
<file path=[Content_Types].xml><?xml version="1.0" encoding="utf-8"?>
<Types xmlns="http://schemas.openxmlformats.org/package/2006/content-types">
  <Default Extension="bin" ContentType="application/vnd.openxmlformats-officedocument.oleObject"/>
  <Default Extension="png" ContentType="image/png"/>
  <Default Extension="svg" ContentType="image/svg+xml"/>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footer3.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2.xml" ContentType="application/vnd.openxmlformats-officedocument.wordprocessingml.head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8.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9.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0.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1.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2.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3.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4.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5.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6.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7.xml" ContentType="application/vnd.openxmlformats-officedocument.drawingml.chart+xml"/>
  <Override PartName="/word/charts/style14.xml" ContentType="application/vnd.ms-office.chartstyle+xml"/>
  <Override PartName="/word/charts/colors14.xml" ContentType="application/vnd.ms-office.chartcolorstyle+xml"/>
  <Override PartName="/word/charts/style15.xml" ContentType="application/vnd.ms-office.chartstyle+xml"/>
  <Override PartName="/word/charts/colors15.xml" ContentType="application/vnd.ms-office.chartcolorstyle+xml"/>
  <Override PartName="/word/charts/chart19.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20.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21.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2.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3.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4.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5.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6.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7.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8.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1.xml" ContentType="application/vnd.openxmlformats-officedocument.theme+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18.xml" ContentType="application/vnd.openxmlformats-officedocument.drawingml.chart+xml"/>
  <Override PartName="/word/settings.xml" ContentType="application/vnd.openxmlformats-officedocument.wordprocessingml.settings+xml"/>
  <Override PartName="/customXml/itemProps1.xml" ContentType="application/vnd.openxmlformats-officedocument.customXmlProperti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16A780" w14:textId="77777777" w:rsidR="00A732E2" w:rsidRPr="00896AB4" w:rsidRDefault="00A732E2" w:rsidP="00A732E2">
      <w:pPr>
        <w:jc w:val="center"/>
        <w:rPr>
          <w:rFonts w:asciiTheme="minorHAnsi" w:hAnsiTheme="minorHAnsi"/>
          <w:sz w:val="40"/>
        </w:rPr>
      </w:pPr>
    </w:p>
    <w:p w14:paraId="4124A986" w14:textId="393A10E1" w:rsidR="00DF1916" w:rsidRPr="00896AB4" w:rsidRDefault="00A34BE4" w:rsidP="00A732E2">
      <w:pPr>
        <w:jc w:val="center"/>
        <w:rPr>
          <w:rFonts w:asciiTheme="minorHAnsi" w:hAnsiTheme="minorHAnsi"/>
          <w:sz w:val="40"/>
        </w:rPr>
      </w:pPr>
      <w:r>
        <w:rPr>
          <w:rFonts w:asciiTheme="minorHAnsi" w:hAnsiTheme="minorHAnsi"/>
          <w:sz w:val="40"/>
        </w:rPr>
        <w:t>CLEAN HYDROGEN</w:t>
      </w:r>
      <w:r w:rsidR="00DF1916" w:rsidRPr="00896AB4">
        <w:rPr>
          <w:rFonts w:asciiTheme="minorHAnsi" w:hAnsiTheme="minorHAnsi"/>
          <w:sz w:val="40"/>
        </w:rPr>
        <w:t xml:space="preserve"> JOINT UNDERTAKING</w:t>
      </w:r>
    </w:p>
    <w:p w14:paraId="36885338" w14:textId="77777777" w:rsidR="00DF1916" w:rsidRPr="00896AB4" w:rsidRDefault="00DF1916">
      <w:pPr>
        <w:rPr>
          <w:rFonts w:asciiTheme="minorHAnsi" w:hAnsiTheme="minorHAnsi"/>
        </w:rPr>
      </w:pPr>
    </w:p>
    <w:p w14:paraId="26ED6782" w14:textId="77777777" w:rsidR="00DF1916" w:rsidRPr="00896AB4" w:rsidRDefault="00DF1916">
      <w:pPr>
        <w:rPr>
          <w:rFonts w:asciiTheme="minorHAnsi" w:hAnsiTheme="minorHAnsi"/>
        </w:rPr>
      </w:pPr>
    </w:p>
    <w:p w14:paraId="7CA8A9BC" w14:textId="77777777" w:rsidR="00A732E2" w:rsidRPr="00896AB4" w:rsidRDefault="00A732E2" w:rsidP="00A732E2">
      <w:pPr>
        <w:jc w:val="center"/>
        <w:rPr>
          <w:rFonts w:asciiTheme="minorHAnsi" w:hAnsiTheme="minorHAnsi"/>
        </w:rPr>
      </w:pPr>
    </w:p>
    <w:p w14:paraId="6D848462" w14:textId="77777777" w:rsidR="00A732E2" w:rsidRPr="00896AB4" w:rsidRDefault="00A732E2" w:rsidP="00A732E2">
      <w:pPr>
        <w:jc w:val="center"/>
        <w:rPr>
          <w:rFonts w:asciiTheme="minorHAnsi" w:hAnsiTheme="minorHAnsi"/>
        </w:rPr>
      </w:pPr>
    </w:p>
    <w:p w14:paraId="0FD7A3CF" w14:textId="77777777" w:rsidR="00A732E2" w:rsidRPr="00896AB4" w:rsidRDefault="00A732E2" w:rsidP="00A732E2">
      <w:pPr>
        <w:jc w:val="center"/>
        <w:rPr>
          <w:rFonts w:asciiTheme="minorHAnsi" w:hAnsiTheme="minorHAnsi"/>
        </w:rPr>
      </w:pPr>
    </w:p>
    <w:p w14:paraId="5EB3E795" w14:textId="77777777" w:rsidR="00A732E2" w:rsidRPr="00896AB4" w:rsidRDefault="00A732E2" w:rsidP="00A732E2">
      <w:pPr>
        <w:jc w:val="center"/>
        <w:rPr>
          <w:rFonts w:asciiTheme="minorHAnsi" w:hAnsiTheme="minorHAnsi"/>
        </w:rPr>
      </w:pPr>
    </w:p>
    <w:p w14:paraId="36C81F7D" w14:textId="77777777" w:rsidR="00A732E2" w:rsidRPr="00896AB4" w:rsidRDefault="00A732E2" w:rsidP="00A732E2">
      <w:pPr>
        <w:jc w:val="center"/>
        <w:rPr>
          <w:rFonts w:asciiTheme="minorHAnsi" w:hAnsiTheme="minorHAnsi"/>
        </w:rPr>
      </w:pPr>
    </w:p>
    <w:p w14:paraId="366CC884" w14:textId="7C399855" w:rsidR="009A0E8B" w:rsidRPr="00896AB4" w:rsidRDefault="009A0E8B" w:rsidP="00E917B3">
      <w:pPr>
        <w:jc w:val="center"/>
        <w:rPr>
          <w:rFonts w:asciiTheme="minorHAnsi" w:hAnsiTheme="minorHAnsi"/>
          <w:sz w:val="40"/>
        </w:rPr>
      </w:pPr>
      <w:r w:rsidRPr="00896AB4">
        <w:rPr>
          <w:rFonts w:asciiTheme="minorHAnsi" w:hAnsiTheme="minorHAnsi"/>
          <w:sz w:val="40"/>
        </w:rPr>
        <w:t>20</w:t>
      </w:r>
      <w:r w:rsidR="001952DF">
        <w:rPr>
          <w:rFonts w:asciiTheme="minorHAnsi" w:hAnsiTheme="minorHAnsi"/>
          <w:sz w:val="40"/>
        </w:rPr>
        <w:t>21</w:t>
      </w:r>
    </w:p>
    <w:p w14:paraId="06553C16" w14:textId="77777777" w:rsidR="00751543" w:rsidRPr="00896AB4" w:rsidRDefault="00DF1916" w:rsidP="00E917B3">
      <w:pPr>
        <w:jc w:val="center"/>
        <w:rPr>
          <w:rFonts w:asciiTheme="minorHAnsi" w:hAnsiTheme="minorHAnsi"/>
          <w:sz w:val="40"/>
        </w:rPr>
      </w:pPr>
      <w:r w:rsidRPr="00896AB4">
        <w:rPr>
          <w:rFonts w:asciiTheme="minorHAnsi" w:hAnsiTheme="minorHAnsi"/>
          <w:sz w:val="40"/>
        </w:rPr>
        <w:t xml:space="preserve">ANNUAL ACTIVITY REPORT </w:t>
      </w:r>
    </w:p>
    <w:p w14:paraId="0EEEBA16" w14:textId="77777777" w:rsidR="00DF1916" w:rsidRPr="00896AB4" w:rsidRDefault="00DF1916" w:rsidP="00E917B3">
      <w:pPr>
        <w:tabs>
          <w:tab w:val="left" w:pos="8222"/>
        </w:tabs>
        <w:rPr>
          <w:rFonts w:asciiTheme="minorHAnsi" w:hAnsiTheme="minorHAnsi"/>
        </w:rPr>
      </w:pPr>
    </w:p>
    <w:p w14:paraId="7765AA44" w14:textId="77777777" w:rsidR="00A732E2" w:rsidRPr="00896AB4" w:rsidRDefault="00A732E2">
      <w:pPr>
        <w:rPr>
          <w:rFonts w:asciiTheme="minorHAnsi" w:hAnsiTheme="minorHAnsi"/>
        </w:rPr>
      </w:pPr>
    </w:p>
    <w:p w14:paraId="1241EF76" w14:textId="77777777" w:rsidR="00A732E2" w:rsidRPr="00896AB4" w:rsidRDefault="00A732E2" w:rsidP="00E917B3">
      <w:pPr>
        <w:tabs>
          <w:tab w:val="left" w:pos="8222"/>
        </w:tabs>
        <w:rPr>
          <w:rFonts w:asciiTheme="minorHAnsi" w:hAnsiTheme="minorHAnsi"/>
        </w:rPr>
      </w:pPr>
    </w:p>
    <w:p w14:paraId="068C45FB" w14:textId="77777777" w:rsidR="00A732E2" w:rsidRPr="00896AB4" w:rsidRDefault="00A732E2">
      <w:pPr>
        <w:rPr>
          <w:rFonts w:asciiTheme="minorHAnsi" w:hAnsiTheme="minorHAnsi"/>
        </w:rPr>
      </w:pPr>
    </w:p>
    <w:p w14:paraId="4E6565EE" w14:textId="77777777" w:rsidR="00A732E2" w:rsidRPr="00896AB4" w:rsidRDefault="00A732E2" w:rsidP="00E917B3">
      <w:pPr>
        <w:tabs>
          <w:tab w:val="left" w:pos="8222"/>
          <w:tab w:val="left" w:pos="8789"/>
        </w:tabs>
        <w:rPr>
          <w:rFonts w:asciiTheme="minorHAnsi" w:hAnsiTheme="minorHAnsi"/>
        </w:rPr>
      </w:pPr>
    </w:p>
    <w:p w14:paraId="23043AB2" w14:textId="77777777" w:rsidR="003F6B0C" w:rsidRPr="00896AB4" w:rsidRDefault="003F6B0C">
      <w:pPr>
        <w:rPr>
          <w:rFonts w:asciiTheme="minorHAnsi" w:hAnsiTheme="minorHAnsi"/>
        </w:rPr>
      </w:pPr>
    </w:p>
    <w:p w14:paraId="744C9355" w14:textId="77777777" w:rsidR="003F6B0C" w:rsidRPr="00896AB4" w:rsidRDefault="003F6B0C">
      <w:pPr>
        <w:rPr>
          <w:rFonts w:asciiTheme="minorHAnsi" w:hAnsiTheme="minorHAnsi"/>
        </w:rPr>
      </w:pPr>
    </w:p>
    <w:p w14:paraId="38BD0776" w14:textId="77777777" w:rsidR="003F6B0C" w:rsidRPr="00896AB4" w:rsidRDefault="003F6B0C">
      <w:pPr>
        <w:rPr>
          <w:rFonts w:asciiTheme="minorHAnsi" w:hAnsiTheme="minorHAnsi"/>
        </w:rPr>
      </w:pPr>
    </w:p>
    <w:p w14:paraId="46D3FCC7" w14:textId="77777777" w:rsidR="00DF1916" w:rsidRPr="00896AB4" w:rsidRDefault="00127450" w:rsidP="00E917B3">
      <w:pPr>
        <w:ind w:left="1320"/>
        <w:rPr>
          <w:rFonts w:asciiTheme="minorHAnsi" w:hAnsiTheme="minorHAnsi"/>
        </w:rPr>
      </w:pPr>
      <w:r w:rsidRPr="00896AB4">
        <w:rPr>
          <w:rFonts w:asciiTheme="minorHAnsi" w:hAnsiTheme="minorHAnsi"/>
          <w:noProof/>
          <w:lang w:eastAsia="en-GB"/>
        </w:rPr>
        <mc:AlternateContent>
          <mc:Choice Requires="wps">
            <w:drawing>
              <wp:anchor distT="0" distB="0" distL="114300" distR="114300" simplePos="0" relativeHeight="251659264" behindDoc="0" locked="0" layoutInCell="1" allowOverlap="1" wp14:anchorId="6E0451FF" wp14:editId="36CA9DEC">
                <wp:simplePos x="0" y="0"/>
                <wp:positionH relativeFrom="column">
                  <wp:posOffset>566420</wp:posOffset>
                </wp:positionH>
                <wp:positionV relativeFrom="paragraph">
                  <wp:posOffset>247650</wp:posOffset>
                </wp:positionV>
                <wp:extent cx="4657725" cy="1345565"/>
                <wp:effectExtent l="0" t="0" r="28575" b="26035"/>
                <wp:wrapNone/>
                <wp:docPr id="1" name="Text Box 1"/>
                <wp:cNvGraphicFramePr/>
                <a:graphic xmlns:a="http://schemas.openxmlformats.org/drawingml/2006/main">
                  <a:graphicData uri="http://schemas.microsoft.com/office/word/2010/wordprocessingShape">
                    <wps:wsp>
                      <wps:cNvSpPr txBox="1"/>
                      <wps:spPr>
                        <a:xfrm>
                          <a:off x="0" y="0"/>
                          <a:ext cx="4657725" cy="13455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DACFF53" w14:textId="0C3A964A" w:rsidR="00DF2591" w:rsidRDefault="00DF2591" w:rsidP="00127450">
                            <w:pPr>
                              <w:jc w:val="both"/>
                            </w:pPr>
                            <w:r>
                              <w:t xml:space="preserve">In accordance </w:t>
                            </w:r>
                            <w:r w:rsidRPr="00D5272A">
                              <w:t xml:space="preserve">with </w:t>
                            </w:r>
                            <w:r w:rsidRPr="0071674E">
                              <w:t xml:space="preserve">Article </w:t>
                            </w:r>
                            <w:r>
                              <w:t>26</w:t>
                            </w:r>
                            <w:r w:rsidRPr="00D5272A">
                              <w:t xml:space="preserve"> of the Council Re</w:t>
                            </w:r>
                            <w:r w:rsidRPr="003F53AA">
                              <w:t>gulation (EU) No 2021/2085 establishing Clean Hydrogen Joint Undertaking</w:t>
                            </w:r>
                            <w:r w:rsidRPr="00D5272A">
                              <w:t xml:space="preserve"> </w:t>
                            </w:r>
                            <w:r>
                              <w:t>and with Article 23 of the Financial Rules of the FCH 2 JU as re-adopted by the Clean Hydrogen Governing Board on 17/12/2021 (</w:t>
                            </w:r>
                            <w:r w:rsidRPr="00A34BE4">
                              <w:t>CleanHydrogen-GB-2021 -02</w:t>
                            </w:r>
                            <w:proofErr w:type="gramStart"/>
                            <w:r>
                              <w:t>) .</w:t>
                            </w:r>
                            <w:proofErr w:type="gramEnd"/>
                          </w:p>
                          <w:p w14:paraId="30CBDEC2" w14:textId="77777777" w:rsidR="00DF2591" w:rsidRDefault="00DF2591" w:rsidP="00127450">
                            <w:pPr>
                              <w:jc w:val="both"/>
                            </w:pPr>
                            <w:r>
                              <w:t xml:space="preserve">The annual activity report will be made publicly available after its </w:t>
                            </w:r>
                            <w:r w:rsidRPr="00731F38">
                              <w:t>approv</w:t>
                            </w:r>
                            <w:r>
                              <w:t xml:space="preserve">al by </w:t>
                            </w:r>
                            <w:r w:rsidRPr="00731F38">
                              <w:t>the Governing Board</w:t>
                            </w:r>
                            <w:r>
                              <w:t>.</w:t>
                            </w:r>
                          </w:p>
                          <w:p w14:paraId="182D7685" w14:textId="77777777" w:rsidR="00DF2591" w:rsidRPr="00D5272A" w:rsidRDefault="00DF25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0451FF" id="_x0000_t202" coordsize="21600,21600" o:spt="202" path="m,l,21600r21600,l21600,xe">
                <v:stroke joinstyle="miter"/>
                <v:path gradientshapeok="t" o:connecttype="rect"/>
              </v:shapetype>
              <v:shape id="Text Box 1" o:spid="_x0000_s1026" type="#_x0000_t202" style="position:absolute;left:0;text-align:left;margin-left:44.6pt;margin-top:19.5pt;width:366.75pt;height:105.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8+HkwIAALMFAAAOAAAAZHJzL2Uyb0RvYy54bWysVE1PGzEQvVfqf7B8L5uEbGgjNigNoqqE&#10;ABUqzo7XTixsj2s72U1/fcfeTQiUC1Uvu2PPm6/nmTm/aI0mW+GDAlvR4cmAEmE51MquKvrz4erT&#10;Z0pCZLZmGqyo6E4EejH7+OG8cVMxgjXoWniCTmyYNq6i6xjdtCgCXwvDwgk4YVEpwRsW8ehXRe1Z&#10;g96NLkaDwaRowNfOAxch4O1lp6Sz7F9KweOtlEFEoiuKucX89fm7TN9ids6mK8/cWvE+DfYPWRim&#10;LAY9uLpkkZGNV3+5Mop7CCDjCQdTgJSKi1wDVjMcvKrmfs2cyLUgOcEdaAr/zy2/2d55omp8O0os&#10;M/hED6KN5Cu0ZJjYaVyYIujeISy2eJ2Q/X3Ay1R0K71JfyyHoB553h24Tc44Xo4n5dnZqKSEo254&#10;Oi7LSZn8FM/mzof4TYAhSaiox8fLnLLtdYgddA9J0QJoVV8prfMhNYxYaE+2DJ9ax5wkOn+B0pY0&#10;FZ2cloPs+IUuuT7YLzXjT316Ryj0p20KJ3Jr9WklijoqshR3WiSMtj+ERGozI2/kyDgX9pBnRieU&#10;xIreY9jjn7N6j3FXB1rkyGDjwdgoC75j6SW19dOeWtnh8Q2P6k5ibJdt3yJLqHfYOR66yQuOXykk&#10;+pqFeMc8jho2C66PeIsfqQFfB3qJkjX432/dJzxOAGopaXB0Kxp+bZgXlOjvFmfjy3A8TrOeD+Py&#10;bIQHf6xZHmvsxiwAWwb7H7PLYsJHvRelB/OIW2aeoqKKWY6xKxr34iJ2CwW3FBfzeQbhdDsWr+29&#10;48l1ojc12EP7yLzrGzzibNzAfsjZ9FWfd9hkaWG+iSBVHoJEcMdqTzxuhjxG/RZLq+f4nFHPu3b2&#10;BwAA//8DAFBLAwQUAAYACAAAACEA+C3H+dwAAAAJAQAADwAAAGRycy9kb3ducmV2LnhtbEyPMU/D&#10;MBSEdyT+g/WQ2KhDEOCEOBWgwsLUgphfY9e2iJ8j203Dv8dMMJ7udPddt178yGYdkwsk4XpVAdM0&#10;BOXISPh4f7kSwFJGUjgG0hK+dYJ1f37WYavCibZ63mXDSgmlFiXYnKeW8zRY7TGtwqSpeIcQPeYi&#10;o+Eq4qmU+5HXVXXHPToqCxYn/Wz18LU7egmbJ9OYQWC0G6Gcm5fPw5t5lfLyYnl8AJb1kv/C8Itf&#10;0KEvTPtwJJXYKEE0dUlKuGnKpeKLur4HtpdQ31YN8L7j/x/0PwAAAP//AwBQSwECLQAUAAYACAAA&#10;ACEAtoM4kv4AAADhAQAAEwAAAAAAAAAAAAAAAAAAAAAAW0NvbnRlbnRfVHlwZXNdLnhtbFBLAQIt&#10;ABQABgAIAAAAIQA4/SH/1gAAAJQBAAALAAAAAAAAAAAAAAAAAC8BAABfcmVscy8ucmVsc1BLAQIt&#10;ABQABgAIAAAAIQA4i8+HkwIAALMFAAAOAAAAAAAAAAAAAAAAAC4CAABkcnMvZTJvRG9jLnhtbFBL&#10;AQItABQABgAIAAAAIQD4Lcf53AAAAAkBAAAPAAAAAAAAAAAAAAAAAO0EAABkcnMvZG93bnJldi54&#10;bWxQSwUGAAAAAAQABADzAAAA9gUAAAAA&#10;" fillcolor="white [3201]" strokeweight=".5pt">
                <v:textbox>
                  <w:txbxContent>
                    <w:p w14:paraId="3DACFF53" w14:textId="0C3A964A" w:rsidR="00DF2591" w:rsidRDefault="00DF2591" w:rsidP="00127450">
                      <w:pPr>
                        <w:jc w:val="both"/>
                      </w:pPr>
                      <w:r>
                        <w:t xml:space="preserve">In accordance </w:t>
                      </w:r>
                      <w:r w:rsidRPr="00D5272A">
                        <w:t xml:space="preserve">with </w:t>
                      </w:r>
                      <w:r w:rsidRPr="0071674E">
                        <w:t xml:space="preserve">Article </w:t>
                      </w:r>
                      <w:r>
                        <w:t>26</w:t>
                      </w:r>
                      <w:r w:rsidRPr="00D5272A">
                        <w:t xml:space="preserve"> of the Council Re</w:t>
                      </w:r>
                      <w:r w:rsidRPr="003F53AA">
                        <w:t>gulation (EU) No 2021/2085 establishing Clean Hydrogen Joint Undertaking</w:t>
                      </w:r>
                      <w:r w:rsidRPr="00D5272A">
                        <w:t xml:space="preserve"> </w:t>
                      </w:r>
                      <w:r>
                        <w:t>and with Article 23 of the Financial Rules of the FCH 2 JU as re-adopted by the Clean Hydrogen Governing Board on 17/12/2021 (</w:t>
                      </w:r>
                      <w:r w:rsidRPr="00A34BE4">
                        <w:t>CleanHydrogen-GB-2021 -02</w:t>
                      </w:r>
                      <w:proofErr w:type="gramStart"/>
                      <w:r>
                        <w:t>) .</w:t>
                      </w:r>
                      <w:proofErr w:type="gramEnd"/>
                    </w:p>
                    <w:p w14:paraId="30CBDEC2" w14:textId="77777777" w:rsidR="00DF2591" w:rsidRDefault="00DF2591" w:rsidP="00127450">
                      <w:pPr>
                        <w:jc w:val="both"/>
                      </w:pPr>
                      <w:r>
                        <w:t xml:space="preserve">The annual activity report will be made publicly available after its </w:t>
                      </w:r>
                      <w:r w:rsidRPr="00731F38">
                        <w:t>approv</w:t>
                      </w:r>
                      <w:r>
                        <w:t xml:space="preserve">al by </w:t>
                      </w:r>
                      <w:r w:rsidRPr="00731F38">
                        <w:t>the Governing Board</w:t>
                      </w:r>
                      <w:r>
                        <w:t>.</w:t>
                      </w:r>
                    </w:p>
                    <w:p w14:paraId="182D7685" w14:textId="77777777" w:rsidR="00DF2591" w:rsidRPr="00D5272A" w:rsidRDefault="00DF2591"/>
                  </w:txbxContent>
                </v:textbox>
              </v:shape>
            </w:pict>
          </mc:Fallback>
        </mc:AlternateContent>
      </w:r>
      <w:r w:rsidR="00B73C74" w:rsidRPr="00896AB4">
        <w:rPr>
          <w:rFonts w:asciiTheme="minorHAnsi" w:hAnsiTheme="minorHAnsi"/>
        </w:rPr>
        <w:t xml:space="preserve"> JU’s </w:t>
      </w:r>
      <w:r w:rsidR="00DF1916" w:rsidRPr="00896AB4">
        <w:rPr>
          <w:rFonts w:asciiTheme="minorHAnsi" w:hAnsiTheme="minorHAnsi"/>
        </w:rPr>
        <w:t>LOGO</w:t>
      </w:r>
    </w:p>
    <w:p w14:paraId="4D954000" w14:textId="77777777" w:rsidR="00D5272A" w:rsidRPr="00896AB4" w:rsidRDefault="00D5272A" w:rsidP="00E917B3">
      <w:pPr>
        <w:pStyle w:val="Heading1"/>
        <w:tabs>
          <w:tab w:val="left" w:pos="8222"/>
        </w:tabs>
        <w:jc w:val="center"/>
        <w:rPr>
          <w:rFonts w:asciiTheme="minorHAnsi" w:hAnsiTheme="minorHAnsi"/>
        </w:rPr>
      </w:pPr>
    </w:p>
    <w:p w14:paraId="71C51471" w14:textId="543C2ADA" w:rsidR="00DF1916" w:rsidRDefault="00DF1916" w:rsidP="005930BB">
      <w:pPr>
        <w:pStyle w:val="Heading1"/>
        <w:jc w:val="both"/>
        <w:rPr>
          <w:rFonts w:asciiTheme="minorHAnsi" w:hAnsiTheme="minorHAnsi"/>
        </w:rPr>
      </w:pPr>
      <w:r w:rsidRPr="00896AB4">
        <w:rPr>
          <w:rFonts w:asciiTheme="minorHAnsi" w:hAnsiTheme="minorHAnsi"/>
        </w:rPr>
        <w:br w:type="page"/>
      </w:r>
      <w:bookmarkStart w:id="0" w:name="_Toc98496319"/>
      <w:bookmarkStart w:id="1" w:name="_Toc101516042"/>
      <w:r w:rsidRPr="00896AB4">
        <w:rPr>
          <w:rFonts w:asciiTheme="minorHAnsi" w:hAnsiTheme="minorHAnsi"/>
        </w:rPr>
        <w:lastRenderedPageBreak/>
        <w:t>TABLE OF CONTENT</w:t>
      </w:r>
      <w:bookmarkEnd w:id="0"/>
      <w:bookmarkEnd w:id="1"/>
    </w:p>
    <w:sdt>
      <w:sdtPr>
        <w:rPr>
          <w:rFonts w:ascii="Calibri" w:eastAsia="Calibri" w:hAnsi="Calibri" w:cs="Times New Roman"/>
          <w:caps w:val="0"/>
          <w:color w:val="auto"/>
          <w:sz w:val="22"/>
          <w:szCs w:val="22"/>
        </w:rPr>
        <w:id w:val="-2070874138"/>
        <w:docPartObj>
          <w:docPartGallery w:val="Table of Contents"/>
          <w:docPartUnique/>
        </w:docPartObj>
      </w:sdtPr>
      <w:sdtEndPr>
        <w:rPr>
          <w:b/>
          <w:bCs/>
          <w:noProof/>
        </w:rPr>
      </w:sdtEndPr>
      <w:sdtContent>
        <w:p w14:paraId="3589FFBA" w14:textId="3C2D0C4B" w:rsidR="00293B9A" w:rsidRDefault="00293B9A">
          <w:pPr>
            <w:pStyle w:val="TOCHeading"/>
          </w:pPr>
        </w:p>
        <w:p w14:paraId="025D45F4" w14:textId="3CC42378" w:rsidR="00A41D3F" w:rsidRDefault="00293B9A">
          <w:pPr>
            <w:pStyle w:val="TOC1"/>
            <w:tabs>
              <w:tab w:val="right" w:leader="dot" w:pos="9062"/>
            </w:tabs>
            <w:rPr>
              <w:rFonts w:asciiTheme="minorHAnsi" w:eastAsiaTheme="minorEastAsia" w:hAnsiTheme="minorHAnsi" w:cstheme="minorBidi"/>
              <w:noProof/>
              <w:lang w:eastAsia="en-GB"/>
            </w:rPr>
          </w:pPr>
          <w:r>
            <w:fldChar w:fldCharType="begin"/>
          </w:r>
          <w:r>
            <w:instrText xml:space="preserve"> TOC \o "1-3" \h \z \u </w:instrText>
          </w:r>
          <w:r>
            <w:fldChar w:fldCharType="separate"/>
          </w:r>
          <w:hyperlink w:anchor="_Toc101516042" w:history="1">
            <w:r w:rsidR="00A41D3F" w:rsidRPr="008F3F9B">
              <w:rPr>
                <w:rStyle w:val="Hyperlink"/>
                <w:noProof/>
              </w:rPr>
              <w:t>TABLE OF CONTENT</w:t>
            </w:r>
            <w:r w:rsidR="00A41D3F">
              <w:rPr>
                <w:noProof/>
                <w:webHidden/>
              </w:rPr>
              <w:tab/>
            </w:r>
            <w:r w:rsidR="00A41D3F">
              <w:rPr>
                <w:noProof/>
                <w:webHidden/>
              </w:rPr>
              <w:fldChar w:fldCharType="begin"/>
            </w:r>
            <w:r w:rsidR="00A41D3F">
              <w:rPr>
                <w:noProof/>
                <w:webHidden/>
              </w:rPr>
              <w:instrText xml:space="preserve"> PAGEREF _Toc101516042 \h </w:instrText>
            </w:r>
            <w:r w:rsidR="00A41D3F">
              <w:rPr>
                <w:noProof/>
                <w:webHidden/>
              </w:rPr>
            </w:r>
            <w:r w:rsidR="00A41D3F">
              <w:rPr>
                <w:noProof/>
                <w:webHidden/>
              </w:rPr>
              <w:fldChar w:fldCharType="separate"/>
            </w:r>
            <w:r w:rsidR="00A41D3F">
              <w:rPr>
                <w:noProof/>
                <w:webHidden/>
              </w:rPr>
              <w:t>2</w:t>
            </w:r>
            <w:r w:rsidR="00A41D3F">
              <w:rPr>
                <w:noProof/>
                <w:webHidden/>
              </w:rPr>
              <w:fldChar w:fldCharType="end"/>
            </w:r>
          </w:hyperlink>
        </w:p>
        <w:p w14:paraId="4F516527" w14:textId="4B91C771" w:rsidR="00A41D3F" w:rsidRDefault="00A41D3F">
          <w:pPr>
            <w:pStyle w:val="TOC1"/>
            <w:tabs>
              <w:tab w:val="right" w:leader="dot" w:pos="9062"/>
            </w:tabs>
            <w:rPr>
              <w:rFonts w:asciiTheme="minorHAnsi" w:eastAsiaTheme="minorEastAsia" w:hAnsiTheme="minorHAnsi" w:cstheme="minorBidi"/>
              <w:noProof/>
              <w:lang w:eastAsia="en-GB"/>
            </w:rPr>
          </w:pPr>
          <w:hyperlink w:anchor="_Toc101516043" w:history="1">
            <w:r w:rsidRPr="008F3F9B">
              <w:rPr>
                <w:rStyle w:val="Hyperlink"/>
                <w:rFonts w:ascii="Arial" w:hAnsi="Arial" w:cs="Arial"/>
                <w:noProof/>
              </w:rPr>
              <w:t>FACTSHEET</w:t>
            </w:r>
            <w:r>
              <w:rPr>
                <w:noProof/>
                <w:webHidden/>
              </w:rPr>
              <w:tab/>
            </w:r>
            <w:r>
              <w:rPr>
                <w:noProof/>
                <w:webHidden/>
              </w:rPr>
              <w:fldChar w:fldCharType="begin"/>
            </w:r>
            <w:r>
              <w:rPr>
                <w:noProof/>
                <w:webHidden/>
              </w:rPr>
              <w:instrText xml:space="preserve"> PAGEREF _Toc101516043 \h </w:instrText>
            </w:r>
            <w:r>
              <w:rPr>
                <w:noProof/>
                <w:webHidden/>
              </w:rPr>
            </w:r>
            <w:r>
              <w:rPr>
                <w:noProof/>
                <w:webHidden/>
              </w:rPr>
              <w:fldChar w:fldCharType="separate"/>
            </w:r>
            <w:r>
              <w:rPr>
                <w:noProof/>
                <w:webHidden/>
              </w:rPr>
              <w:t>5</w:t>
            </w:r>
            <w:r>
              <w:rPr>
                <w:noProof/>
                <w:webHidden/>
              </w:rPr>
              <w:fldChar w:fldCharType="end"/>
            </w:r>
          </w:hyperlink>
        </w:p>
        <w:p w14:paraId="00A255E7" w14:textId="14E9A64E" w:rsidR="00A41D3F" w:rsidRDefault="00A41D3F">
          <w:pPr>
            <w:pStyle w:val="TOC1"/>
            <w:tabs>
              <w:tab w:val="right" w:leader="dot" w:pos="9062"/>
            </w:tabs>
            <w:rPr>
              <w:rFonts w:asciiTheme="minorHAnsi" w:eastAsiaTheme="minorEastAsia" w:hAnsiTheme="minorHAnsi" w:cstheme="minorBidi"/>
              <w:noProof/>
              <w:lang w:eastAsia="en-GB"/>
            </w:rPr>
          </w:pPr>
          <w:hyperlink w:anchor="_Toc101516044" w:history="1">
            <w:r w:rsidRPr="008F3F9B">
              <w:rPr>
                <w:rStyle w:val="Hyperlink"/>
                <w:rFonts w:ascii="Arial" w:hAnsi="Arial" w:cs="Arial"/>
                <w:noProof/>
              </w:rPr>
              <w:t>FOREWORD</w:t>
            </w:r>
            <w:r>
              <w:rPr>
                <w:noProof/>
                <w:webHidden/>
              </w:rPr>
              <w:tab/>
            </w:r>
            <w:r>
              <w:rPr>
                <w:noProof/>
                <w:webHidden/>
              </w:rPr>
              <w:fldChar w:fldCharType="begin"/>
            </w:r>
            <w:r>
              <w:rPr>
                <w:noProof/>
                <w:webHidden/>
              </w:rPr>
              <w:instrText xml:space="preserve"> PAGEREF _Toc101516044 \h </w:instrText>
            </w:r>
            <w:r>
              <w:rPr>
                <w:noProof/>
                <w:webHidden/>
              </w:rPr>
            </w:r>
            <w:r>
              <w:rPr>
                <w:noProof/>
                <w:webHidden/>
              </w:rPr>
              <w:fldChar w:fldCharType="separate"/>
            </w:r>
            <w:r>
              <w:rPr>
                <w:noProof/>
                <w:webHidden/>
              </w:rPr>
              <w:t>8</w:t>
            </w:r>
            <w:r>
              <w:rPr>
                <w:noProof/>
                <w:webHidden/>
              </w:rPr>
              <w:fldChar w:fldCharType="end"/>
            </w:r>
          </w:hyperlink>
        </w:p>
        <w:p w14:paraId="6EC62308" w14:textId="14D9BC15" w:rsidR="00A41D3F" w:rsidRDefault="00A41D3F">
          <w:pPr>
            <w:pStyle w:val="TOC1"/>
            <w:tabs>
              <w:tab w:val="right" w:leader="dot" w:pos="9062"/>
            </w:tabs>
            <w:rPr>
              <w:rFonts w:asciiTheme="minorHAnsi" w:eastAsiaTheme="minorEastAsia" w:hAnsiTheme="minorHAnsi" w:cstheme="minorBidi"/>
              <w:noProof/>
              <w:lang w:eastAsia="en-GB"/>
            </w:rPr>
          </w:pPr>
          <w:hyperlink w:anchor="_Toc101516045" w:history="1">
            <w:r w:rsidRPr="008F3F9B">
              <w:rPr>
                <w:rStyle w:val="Hyperlink"/>
                <w:rFonts w:ascii="Arial" w:hAnsi="Arial" w:cs="Arial"/>
                <w:noProof/>
              </w:rPr>
              <w:t xml:space="preserve">EXECUTIVE SUMMARY </w:t>
            </w:r>
            <w:r>
              <w:rPr>
                <w:noProof/>
                <w:webHidden/>
              </w:rPr>
              <w:tab/>
            </w:r>
            <w:r>
              <w:rPr>
                <w:noProof/>
                <w:webHidden/>
              </w:rPr>
              <w:fldChar w:fldCharType="begin"/>
            </w:r>
            <w:r>
              <w:rPr>
                <w:noProof/>
                <w:webHidden/>
              </w:rPr>
              <w:instrText xml:space="preserve"> PAGEREF _Toc101516045 \h </w:instrText>
            </w:r>
            <w:r>
              <w:rPr>
                <w:noProof/>
                <w:webHidden/>
              </w:rPr>
            </w:r>
            <w:r>
              <w:rPr>
                <w:noProof/>
                <w:webHidden/>
              </w:rPr>
              <w:fldChar w:fldCharType="separate"/>
            </w:r>
            <w:r>
              <w:rPr>
                <w:noProof/>
                <w:webHidden/>
              </w:rPr>
              <w:t>10</w:t>
            </w:r>
            <w:r>
              <w:rPr>
                <w:noProof/>
                <w:webHidden/>
              </w:rPr>
              <w:fldChar w:fldCharType="end"/>
            </w:r>
          </w:hyperlink>
        </w:p>
        <w:p w14:paraId="423AD8E0" w14:textId="5E7E5201" w:rsidR="00A41D3F" w:rsidRDefault="00A41D3F">
          <w:pPr>
            <w:pStyle w:val="TOC1"/>
            <w:tabs>
              <w:tab w:val="left" w:pos="440"/>
              <w:tab w:val="right" w:leader="dot" w:pos="9062"/>
            </w:tabs>
            <w:rPr>
              <w:rFonts w:asciiTheme="minorHAnsi" w:eastAsiaTheme="minorEastAsia" w:hAnsiTheme="minorHAnsi" w:cstheme="minorBidi"/>
              <w:noProof/>
              <w:lang w:eastAsia="en-GB"/>
            </w:rPr>
          </w:pPr>
          <w:hyperlink w:anchor="_Toc101516046" w:history="1">
            <w:r w:rsidRPr="008F3F9B">
              <w:rPr>
                <w:rStyle w:val="Hyperlink"/>
                <w:rFonts w:ascii="Arial" w:hAnsi="Arial" w:cs="Arial"/>
                <w:caps/>
                <w:noProof/>
              </w:rPr>
              <w:t>1.</w:t>
            </w:r>
            <w:r>
              <w:rPr>
                <w:rFonts w:asciiTheme="minorHAnsi" w:eastAsiaTheme="minorEastAsia" w:hAnsiTheme="minorHAnsi" w:cstheme="minorBidi"/>
                <w:noProof/>
                <w:lang w:eastAsia="en-GB"/>
              </w:rPr>
              <w:tab/>
            </w:r>
            <w:r w:rsidRPr="008F3F9B">
              <w:rPr>
                <w:rStyle w:val="Hyperlink"/>
                <w:rFonts w:ascii="Arial" w:hAnsi="Arial" w:cs="Arial"/>
                <w:caps/>
                <w:noProof/>
              </w:rPr>
              <w:t>Implementation of the Annual Work Plan 2021</w:t>
            </w:r>
            <w:r>
              <w:rPr>
                <w:noProof/>
                <w:webHidden/>
              </w:rPr>
              <w:tab/>
            </w:r>
            <w:r>
              <w:rPr>
                <w:noProof/>
                <w:webHidden/>
              </w:rPr>
              <w:fldChar w:fldCharType="begin"/>
            </w:r>
            <w:r>
              <w:rPr>
                <w:noProof/>
                <w:webHidden/>
              </w:rPr>
              <w:instrText xml:space="preserve"> PAGEREF _Toc101516046 \h </w:instrText>
            </w:r>
            <w:r>
              <w:rPr>
                <w:noProof/>
                <w:webHidden/>
              </w:rPr>
            </w:r>
            <w:r>
              <w:rPr>
                <w:noProof/>
                <w:webHidden/>
              </w:rPr>
              <w:fldChar w:fldCharType="separate"/>
            </w:r>
            <w:r>
              <w:rPr>
                <w:noProof/>
                <w:webHidden/>
              </w:rPr>
              <w:t>14</w:t>
            </w:r>
            <w:r>
              <w:rPr>
                <w:noProof/>
                <w:webHidden/>
              </w:rPr>
              <w:fldChar w:fldCharType="end"/>
            </w:r>
          </w:hyperlink>
        </w:p>
        <w:p w14:paraId="669EEF33" w14:textId="3B7CD142" w:rsidR="00A41D3F" w:rsidRDefault="00A41D3F">
          <w:pPr>
            <w:pStyle w:val="TOC3"/>
            <w:tabs>
              <w:tab w:val="left" w:pos="1100"/>
              <w:tab w:val="right" w:leader="dot" w:pos="9062"/>
            </w:tabs>
            <w:rPr>
              <w:rFonts w:asciiTheme="minorHAnsi" w:eastAsiaTheme="minorEastAsia" w:hAnsiTheme="minorHAnsi" w:cstheme="minorBidi"/>
              <w:noProof/>
              <w:lang w:eastAsia="en-GB"/>
            </w:rPr>
          </w:pPr>
          <w:hyperlink w:anchor="_Toc101516047" w:history="1">
            <w:r w:rsidRPr="008F3F9B">
              <w:rPr>
                <w:rStyle w:val="Hyperlink"/>
                <w:rFonts w:ascii="Arial" w:hAnsi="Arial" w:cs="Arial"/>
                <w:noProof/>
              </w:rPr>
              <w:t>1.1.</w:t>
            </w:r>
            <w:r>
              <w:rPr>
                <w:rFonts w:asciiTheme="minorHAnsi" w:eastAsiaTheme="minorEastAsia" w:hAnsiTheme="minorHAnsi" w:cstheme="minorBidi"/>
                <w:noProof/>
                <w:lang w:eastAsia="en-GB"/>
              </w:rPr>
              <w:tab/>
            </w:r>
            <w:r w:rsidRPr="008F3F9B">
              <w:rPr>
                <w:rStyle w:val="Hyperlink"/>
                <w:rFonts w:ascii="Arial" w:hAnsi="Arial" w:cs="Arial"/>
                <w:noProof/>
              </w:rPr>
              <w:t>Key objectives 2021 and associated risks</w:t>
            </w:r>
            <w:r>
              <w:rPr>
                <w:noProof/>
                <w:webHidden/>
              </w:rPr>
              <w:tab/>
            </w:r>
            <w:r>
              <w:rPr>
                <w:noProof/>
                <w:webHidden/>
              </w:rPr>
              <w:fldChar w:fldCharType="begin"/>
            </w:r>
            <w:r>
              <w:rPr>
                <w:noProof/>
                <w:webHidden/>
              </w:rPr>
              <w:instrText xml:space="preserve"> PAGEREF _Toc101516047 \h </w:instrText>
            </w:r>
            <w:r>
              <w:rPr>
                <w:noProof/>
                <w:webHidden/>
              </w:rPr>
            </w:r>
            <w:r>
              <w:rPr>
                <w:noProof/>
                <w:webHidden/>
              </w:rPr>
              <w:fldChar w:fldCharType="separate"/>
            </w:r>
            <w:r>
              <w:rPr>
                <w:noProof/>
                <w:webHidden/>
              </w:rPr>
              <w:t>14</w:t>
            </w:r>
            <w:r>
              <w:rPr>
                <w:noProof/>
                <w:webHidden/>
              </w:rPr>
              <w:fldChar w:fldCharType="end"/>
            </w:r>
          </w:hyperlink>
        </w:p>
        <w:p w14:paraId="7A4B71F5" w14:textId="35398195" w:rsidR="00A41D3F" w:rsidRDefault="00A41D3F">
          <w:pPr>
            <w:pStyle w:val="TOC3"/>
            <w:tabs>
              <w:tab w:val="left" w:pos="1100"/>
              <w:tab w:val="right" w:leader="dot" w:pos="9062"/>
            </w:tabs>
            <w:rPr>
              <w:rFonts w:asciiTheme="minorHAnsi" w:eastAsiaTheme="minorEastAsia" w:hAnsiTheme="minorHAnsi" w:cstheme="minorBidi"/>
              <w:noProof/>
              <w:lang w:eastAsia="en-GB"/>
            </w:rPr>
          </w:pPr>
          <w:hyperlink w:anchor="_Toc101516048" w:history="1">
            <w:r w:rsidRPr="008F3F9B">
              <w:rPr>
                <w:rStyle w:val="Hyperlink"/>
                <w:rFonts w:ascii="Arial" w:hAnsi="Arial" w:cs="Arial"/>
                <w:noProof/>
              </w:rPr>
              <w:t>1.2.</w:t>
            </w:r>
            <w:r>
              <w:rPr>
                <w:rFonts w:asciiTheme="minorHAnsi" w:eastAsiaTheme="minorEastAsia" w:hAnsiTheme="minorHAnsi" w:cstheme="minorBidi"/>
                <w:noProof/>
                <w:lang w:eastAsia="en-GB"/>
              </w:rPr>
              <w:tab/>
            </w:r>
            <w:r w:rsidRPr="008F3F9B">
              <w:rPr>
                <w:rStyle w:val="Hyperlink"/>
                <w:rFonts w:ascii="Arial" w:hAnsi="Arial" w:cs="Arial"/>
                <w:noProof/>
              </w:rPr>
              <w:t>Research &amp; Innovation activities</w:t>
            </w:r>
            <w:r>
              <w:rPr>
                <w:noProof/>
                <w:webHidden/>
              </w:rPr>
              <w:tab/>
            </w:r>
            <w:r>
              <w:rPr>
                <w:noProof/>
                <w:webHidden/>
              </w:rPr>
              <w:fldChar w:fldCharType="begin"/>
            </w:r>
            <w:r>
              <w:rPr>
                <w:noProof/>
                <w:webHidden/>
              </w:rPr>
              <w:instrText xml:space="preserve"> PAGEREF _Toc101516048 \h </w:instrText>
            </w:r>
            <w:r>
              <w:rPr>
                <w:noProof/>
                <w:webHidden/>
              </w:rPr>
            </w:r>
            <w:r>
              <w:rPr>
                <w:noProof/>
                <w:webHidden/>
              </w:rPr>
              <w:fldChar w:fldCharType="separate"/>
            </w:r>
            <w:r>
              <w:rPr>
                <w:noProof/>
                <w:webHidden/>
              </w:rPr>
              <w:t>22</w:t>
            </w:r>
            <w:r>
              <w:rPr>
                <w:noProof/>
                <w:webHidden/>
              </w:rPr>
              <w:fldChar w:fldCharType="end"/>
            </w:r>
          </w:hyperlink>
        </w:p>
        <w:p w14:paraId="3B5FBC90" w14:textId="3664432A" w:rsidR="00A41D3F" w:rsidRDefault="00A41D3F">
          <w:pPr>
            <w:pStyle w:val="TOC3"/>
            <w:tabs>
              <w:tab w:val="left" w:pos="1320"/>
              <w:tab w:val="right" w:leader="dot" w:pos="9062"/>
            </w:tabs>
            <w:rPr>
              <w:rFonts w:asciiTheme="minorHAnsi" w:eastAsiaTheme="minorEastAsia" w:hAnsiTheme="minorHAnsi" w:cstheme="minorBidi"/>
              <w:noProof/>
              <w:lang w:eastAsia="en-GB"/>
            </w:rPr>
          </w:pPr>
          <w:hyperlink w:anchor="_Toc101516049" w:history="1">
            <w:r w:rsidRPr="008F3F9B">
              <w:rPr>
                <w:rStyle w:val="Hyperlink"/>
                <w:rFonts w:cs="Arial"/>
                <w:noProof/>
              </w:rPr>
              <w:t>1.2.1.</w:t>
            </w:r>
            <w:r>
              <w:rPr>
                <w:rFonts w:asciiTheme="minorHAnsi" w:eastAsiaTheme="minorEastAsia" w:hAnsiTheme="minorHAnsi" w:cstheme="minorBidi"/>
                <w:noProof/>
                <w:lang w:eastAsia="en-GB"/>
              </w:rPr>
              <w:tab/>
            </w:r>
            <w:r w:rsidRPr="008F3F9B">
              <w:rPr>
                <w:rStyle w:val="Hyperlink"/>
                <w:rFonts w:ascii="Arial" w:hAnsi="Arial" w:cs="Arial"/>
                <w:noProof/>
              </w:rPr>
              <w:t>Scientific and technological achievements</w:t>
            </w:r>
            <w:r>
              <w:rPr>
                <w:noProof/>
                <w:webHidden/>
              </w:rPr>
              <w:tab/>
            </w:r>
            <w:r>
              <w:rPr>
                <w:noProof/>
                <w:webHidden/>
              </w:rPr>
              <w:fldChar w:fldCharType="begin"/>
            </w:r>
            <w:r>
              <w:rPr>
                <w:noProof/>
                <w:webHidden/>
              </w:rPr>
              <w:instrText xml:space="preserve"> PAGEREF _Toc101516049 \h </w:instrText>
            </w:r>
            <w:r>
              <w:rPr>
                <w:noProof/>
                <w:webHidden/>
              </w:rPr>
            </w:r>
            <w:r>
              <w:rPr>
                <w:noProof/>
                <w:webHidden/>
              </w:rPr>
              <w:fldChar w:fldCharType="separate"/>
            </w:r>
            <w:r>
              <w:rPr>
                <w:noProof/>
                <w:webHidden/>
              </w:rPr>
              <w:t>22</w:t>
            </w:r>
            <w:r>
              <w:rPr>
                <w:noProof/>
                <w:webHidden/>
              </w:rPr>
              <w:fldChar w:fldCharType="end"/>
            </w:r>
          </w:hyperlink>
        </w:p>
        <w:p w14:paraId="62D1C431" w14:textId="4DB1FF20" w:rsidR="00A41D3F" w:rsidRDefault="00A41D3F">
          <w:pPr>
            <w:pStyle w:val="TOC3"/>
            <w:tabs>
              <w:tab w:val="left" w:pos="1540"/>
              <w:tab w:val="right" w:leader="dot" w:pos="9062"/>
            </w:tabs>
            <w:rPr>
              <w:rFonts w:asciiTheme="minorHAnsi" w:eastAsiaTheme="minorEastAsia" w:hAnsiTheme="minorHAnsi" w:cstheme="minorBidi"/>
              <w:noProof/>
              <w:lang w:eastAsia="en-GB"/>
            </w:rPr>
          </w:pPr>
          <w:hyperlink w:anchor="_Toc101516050" w:history="1">
            <w:r w:rsidRPr="008F3F9B">
              <w:rPr>
                <w:rStyle w:val="Hyperlink"/>
                <w:rFonts w:ascii="Arial" w:hAnsi="Arial" w:cs="Arial"/>
                <w:noProof/>
              </w:rPr>
              <w:t>1.2.1.1.</w:t>
            </w:r>
            <w:r>
              <w:rPr>
                <w:rFonts w:asciiTheme="minorHAnsi" w:eastAsiaTheme="minorEastAsia" w:hAnsiTheme="minorHAnsi" w:cstheme="minorBidi"/>
                <w:noProof/>
                <w:lang w:eastAsia="en-GB"/>
              </w:rPr>
              <w:tab/>
            </w:r>
            <w:r w:rsidRPr="008F3F9B">
              <w:rPr>
                <w:rStyle w:val="Hyperlink"/>
                <w:rFonts w:ascii="Arial" w:hAnsi="Arial" w:cs="Arial"/>
                <w:noProof/>
              </w:rPr>
              <w:t>Transport applications</w:t>
            </w:r>
            <w:r>
              <w:rPr>
                <w:noProof/>
                <w:webHidden/>
              </w:rPr>
              <w:tab/>
            </w:r>
            <w:r>
              <w:rPr>
                <w:noProof/>
                <w:webHidden/>
              </w:rPr>
              <w:fldChar w:fldCharType="begin"/>
            </w:r>
            <w:r>
              <w:rPr>
                <w:noProof/>
                <w:webHidden/>
              </w:rPr>
              <w:instrText xml:space="preserve"> PAGEREF _Toc101516050 \h </w:instrText>
            </w:r>
            <w:r>
              <w:rPr>
                <w:noProof/>
                <w:webHidden/>
              </w:rPr>
            </w:r>
            <w:r>
              <w:rPr>
                <w:noProof/>
                <w:webHidden/>
              </w:rPr>
              <w:fldChar w:fldCharType="separate"/>
            </w:r>
            <w:r>
              <w:rPr>
                <w:noProof/>
                <w:webHidden/>
              </w:rPr>
              <w:t>22</w:t>
            </w:r>
            <w:r>
              <w:rPr>
                <w:noProof/>
                <w:webHidden/>
              </w:rPr>
              <w:fldChar w:fldCharType="end"/>
            </w:r>
          </w:hyperlink>
        </w:p>
        <w:p w14:paraId="24606A83" w14:textId="5B1D2043" w:rsidR="00A41D3F" w:rsidRDefault="00A41D3F">
          <w:pPr>
            <w:pStyle w:val="TOC3"/>
            <w:tabs>
              <w:tab w:val="left" w:pos="1540"/>
              <w:tab w:val="right" w:leader="dot" w:pos="9062"/>
            </w:tabs>
            <w:rPr>
              <w:rFonts w:asciiTheme="minorHAnsi" w:eastAsiaTheme="minorEastAsia" w:hAnsiTheme="minorHAnsi" w:cstheme="minorBidi"/>
              <w:noProof/>
              <w:lang w:eastAsia="en-GB"/>
            </w:rPr>
          </w:pPr>
          <w:hyperlink w:anchor="_Toc101516051" w:history="1">
            <w:r w:rsidRPr="008F3F9B">
              <w:rPr>
                <w:rStyle w:val="Hyperlink"/>
                <w:rFonts w:ascii="Arial" w:hAnsi="Arial" w:cs="Arial"/>
                <w:noProof/>
              </w:rPr>
              <w:t>1.2.1.2.</w:t>
            </w:r>
            <w:r>
              <w:rPr>
                <w:rFonts w:asciiTheme="minorHAnsi" w:eastAsiaTheme="minorEastAsia" w:hAnsiTheme="minorHAnsi" w:cstheme="minorBidi"/>
                <w:noProof/>
                <w:lang w:eastAsia="en-GB"/>
              </w:rPr>
              <w:tab/>
            </w:r>
            <w:r w:rsidRPr="008F3F9B">
              <w:rPr>
                <w:rStyle w:val="Hyperlink"/>
                <w:rFonts w:ascii="Arial" w:hAnsi="Arial" w:cs="Arial"/>
                <w:noProof/>
              </w:rPr>
              <w:t>Research oriented activities for transport applications</w:t>
            </w:r>
            <w:r>
              <w:rPr>
                <w:noProof/>
                <w:webHidden/>
              </w:rPr>
              <w:tab/>
            </w:r>
            <w:r>
              <w:rPr>
                <w:noProof/>
                <w:webHidden/>
              </w:rPr>
              <w:fldChar w:fldCharType="begin"/>
            </w:r>
            <w:r>
              <w:rPr>
                <w:noProof/>
                <w:webHidden/>
              </w:rPr>
              <w:instrText xml:space="preserve"> PAGEREF _Toc101516051 \h </w:instrText>
            </w:r>
            <w:r>
              <w:rPr>
                <w:noProof/>
                <w:webHidden/>
              </w:rPr>
            </w:r>
            <w:r>
              <w:rPr>
                <w:noProof/>
                <w:webHidden/>
              </w:rPr>
              <w:fldChar w:fldCharType="separate"/>
            </w:r>
            <w:r>
              <w:rPr>
                <w:noProof/>
                <w:webHidden/>
              </w:rPr>
              <w:t>29</w:t>
            </w:r>
            <w:r>
              <w:rPr>
                <w:noProof/>
                <w:webHidden/>
              </w:rPr>
              <w:fldChar w:fldCharType="end"/>
            </w:r>
          </w:hyperlink>
        </w:p>
        <w:p w14:paraId="21E2EDD9" w14:textId="1882DF64" w:rsidR="00A41D3F" w:rsidRDefault="00A41D3F">
          <w:pPr>
            <w:pStyle w:val="TOC3"/>
            <w:tabs>
              <w:tab w:val="left" w:pos="1540"/>
              <w:tab w:val="right" w:leader="dot" w:pos="9062"/>
            </w:tabs>
            <w:rPr>
              <w:rFonts w:asciiTheme="minorHAnsi" w:eastAsiaTheme="minorEastAsia" w:hAnsiTheme="minorHAnsi" w:cstheme="minorBidi"/>
              <w:noProof/>
              <w:lang w:eastAsia="en-GB"/>
            </w:rPr>
          </w:pPr>
          <w:hyperlink w:anchor="_Toc101516052" w:history="1">
            <w:r w:rsidRPr="008F3F9B">
              <w:rPr>
                <w:rStyle w:val="Hyperlink"/>
                <w:rFonts w:ascii="Arial" w:hAnsi="Arial" w:cs="Arial"/>
                <w:noProof/>
              </w:rPr>
              <w:t>1.2.1.3.</w:t>
            </w:r>
            <w:r>
              <w:rPr>
                <w:rFonts w:asciiTheme="minorHAnsi" w:eastAsiaTheme="minorEastAsia" w:hAnsiTheme="minorHAnsi" w:cstheme="minorBidi"/>
                <w:noProof/>
                <w:lang w:eastAsia="en-GB"/>
              </w:rPr>
              <w:tab/>
            </w:r>
            <w:r w:rsidRPr="008F3F9B">
              <w:rPr>
                <w:rStyle w:val="Hyperlink"/>
                <w:rFonts w:ascii="Arial" w:hAnsi="Arial" w:cs="Arial"/>
                <w:noProof/>
              </w:rPr>
              <w:t>Trials and deployment of fuel cells applications for energy</w:t>
            </w:r>
            <w:r>
              <w:rPr>
                <w:noProof/>
                <w:webHidden/>
              </w:rPr>
              <w:tab/>
            </w:r>
            <w:r>
              <w:rPr>
                <w:noProof/>
                <w:webHidden/>
              </w:rPr>
              <w:fldChar w:fldCharType="begin"/>
            </w:r>
            <w:r>
              <w:rPr>
                <w:noProof/>
                <w:webHidden/>
              </w:rPr>
              <w:instrText xml:space="preserve"> PAGEREF _Toc101516052 \h </w:instrText>
            </w:r>
            <w:r>
              <w:rPr>
                <w:noProof/>
                <w:webHidden/>
              </w:rPr>
            </w:r>
            <w:r>
              <w:rPr>
                <w:noProof/>
                <w:webHidden/>
              </w:rPr>
              <w:fldChar w:fldCharType="separate"/>
            </w:r>
            <w:r>
              <w:rPr>
                <w:noProof/>
                <w:webHidden/>
              </w:rPr>
              <w:t>31</w:t>
            </w:r>
            <w:r>
              <w:rPr>
                <w:noProof/>
                <w:webHidden/>
              </w:rPr>
              <w:fldChar w:fldCharType="end"/>
            </w:r>
          </w:hyperlink>
        </w:p>
        <w:p w14:paraId="19CB5189" w14:textId="4163DEBF" w:rsidR="00A41D3F" w:rsidRDefault="00A41D3F">
          <w:pPr>
            <w:pStyle w:val="TOC3"/>
            <w:tabs>
              <w:tab w:val="left" w:pos="1540"/>
              <w:tab w:val="right" w:leader="dot" w:pos="9062"/>
            </w:tabs>
            <w:rPr>
              <w:rFonts w:asciiTheme="minorHAnsi" w:eastAsiaTheme="minorEastAsia" w:hAnsiTheme="minorHAnsi" w:cstheme="minorBidi"/>
              <w:noProof/>
              <w:lang w:eastAsia="en-GB"/>
            </w:rPr>
          </w:pPr>
          <w:hyperlink w:anchor="_Toc101516053" w:history="1">
            <w:r w:rsidRPr="008F3F9B">
              <w:rPr>
                <w:rStyle w:val="Hyperlink"/>
                <w:rFonts w:ascii="Arial" w:hAnsi="Arial" w:cs="Arial"/>
                <w:noProof/>
              </w:rPr>
              <w:t>1.2.1.4.</w:t>
            </w:r>
            <w:r>
              <w:rPr>
                <w:rFonts w:asciiTheme="minorHAnsi" w:eastAsiaTheme="minorEastAsia" w:hAnsiTheme="minorHAnsi" w:cstheme="minorBidi"/>
                <w:noProof/>
                <w:lang w:eastAsia="en-GB"/>
              </w:rPr>
              <w:tab/>
            </w:r>
            <w:r w:rsidRPr="008F3F9B">
              <w:rPr>
                <w:rStyle w:val="Hyperlink"/>
                <w:rFonts w:ascii="Arial" w:hAnsi="Arial" w:cs="Arial"/>
                <w:noProof/>
              </w:rPr>
              <w:t>Next generation of products -energy</w:t>
            </w:r>
            <w:r>
              <w:rPr>
                <w:noProof/>
                <w:webHidden/>
              </w:rPr>
              <w:tab/>
            </w:r>
            <w:r>
              <w:rPr>
                <w:noProof/>
                <w:webHidden/>
              </w:rPr>
              <w:fldChar w:fldCharType="begin"/>
            </w:r>
            <w:r>
              <w:rPr>
                <w:noProof/>
                <w:webHidden/>
              </w:rPr>
              <w:instrText xml:space="preserve"> PAGEREF _Toc101516053 \h </w:instrText>
            </w:r>
            <w:r>
              <w:rPr>
                <w:noProof/>
                <w:webHidden/>
              </w:rPr>
            </w:r>
            <w:r>
              <w:rPr>
                <w:noProof/>
                <w:webHidden/>
              </w:rPr>
              <w:fldChar w:fldCharType="separate"/>
            </w:r>
            <w:r>
              <w:rPr>
                <w:noProof/>
                <w:webHidden/>
              </w:rPr>
              <w:t>34</w:t>
            </w:r>
            <w:r>
              <w:rPr>
                <w:noProof/>
                <w:webHidden/>
              </w:rPr>
              <w:fldChar w:fldCharType="end"/>
            </w:r>
          </w:hyperlink>
        </w:p>
        <w:p w14:paraId="2803B4FC" w14:textId="315AB560" w:rsidR="00A41D3F" w:rsidRDefault="00A41D3F">
          <w:pPr>
            <w:pStyle w:val="TOC3"/>
            <w:tabs>
              <w:tab w:val="left" w:pos="1540"/>
              <w:tab w:val="right" w:leader="dot" w:pos="9062"/>
            </w:tabs>
            <w:rPr>
              <w:rFonts w:asciiTheme="minorHAnsi" w:eastAsiaTheme="minorEastAsia" w:hAnsiTheme="minorHAnsi" w:cstheme="minorBidi"/>
              <w:noProof/>
              <w:lang w:eastAsia="en-GB"/>
            </w:rPr>
          </w:pPr>
          <w:hyperlink w:anchor="_Toc101516054" w:history="1">
            <w:r w:rsidRPr="008F3F9B">
              <w:rPr>
                <w:rStyle w:val="Hyperlink"/>
                <w:rFonts w:ascii="Arial" w:hAnsi="Arial" w:cs="Arial"/>
                <w:noProof/>
              </w:rPr>
              <w:t>1.2.1.5.</w:t>
            </w:r>
            <w:r>
              <w:rPr>
                <w:rFonts w:asciiTheme="minorHAnsi" w:eastAsiaTheme="minorEastAsia" w:hAnsiTheme="minorHAnsi" w:cstheme="minorBidi"/>
                <w:noProof/>
                <w:lang w:eastAsia="en-GB"/>
              </w:rPr>
              <w:tab/>
            </w:r>
            <w:r w:rsidRPr="008F3F9B">
              <w:rPr>
                <w:rStyle w:val="Hyperlink"/>
                <w:rFonts w:ascii="Arial" w:hAnsi="Arial" w:cs="Arial"/>
                <w:noProof/>
              </w:rPr>
              <w:t>Hydrogen for sectoral integration</w:t>
            </w:r>
            <w:r>
              <w:rPr>
                <w:noProof/>
                <w:webHidden/>
              </w:rPr>
              <w:tab/>
            </w:r>
            <w:r>
              <w:rPr>
                <w:noProof/>
                <w:webHidden/>
              </w:rPr>
              <w:fldChar w:fldCharType="begin"/>
            </w:r>
            <w:r>
              <w:rPr>
                <w:noProof/>
                <w:webHidden/>
              </w:rPr>
              <w:instrText xml:space="preserve"> PAGEREF _Toc101516054 \h </w:instrText>
            </w:r>
            <w:r>
              <w:rPr>
                <w:noProof/>
                <w:webHidden/>
              </w:rPr>
            </w:r>
            <w:r>
              <w:rPr>
                <w:noProof/>
                <w:webHidden/>
              </w:rPr>
              <w:fldChar w:fldCharType="separate"/>
            </w:r>
            <w:r>
              <w:rPr>
                <w:noProof/>
                <w:webHidden/>
              </w:rPr>
              <w:t>37</w:t>
            </w:r>
            <w:r>
              <w:rPr>
                <w:noProof/>
                <w:webHidden/>
              </w:rPr>
              <w:fldChar w:fldCharType="end"/>
            </w:r>
          </w:hyperlink>
        </w:p>
        <w:p w14:paraId="3142F493" w14:textId="2DE9E473" w:rsidR="00A41D3F" w:rsidRDefault="00A41D3F">
          <w:pPr>
            <w:pStyle w:val="TOC3"/>
            <w:tabs>
              <w:tab w:val="left" w:pos="1540"/>
              <w:tab w:val="right" w:leader="dot" w:pos="9062"/>
            </w:tabs>
            <w:rPr>
              <w:rFonts w:asciiTheme="minorHAnsi" w:eastAsiaTheme="minorEastAsia" w:hAnsiTheme="minorHAnsi" w:cstheme="minorBidi"/>
              <w:noProof/>
              <w:lang w:eastAsia="en-GB"/>
            </w:rPr>
          </w:pPr>
          <w:hyperlink w:anchor="_Toc101516055" w:history="1">
            <w:r w:rsidRPr="008F3F9B">
              <w:rPr>
                <w:rStyle w:val="Hyperlink"/>
                <w:rFonts w:ascii="Arial" w:hAnsi="Arial" w:cs="Arial"/>
                <w:noProof/>
              </w:rPr>
              <w:t>1.2.1.6.</w:t>
            </w:r>
            <w:r>
              <w:rPr>
                <w:rFonts w:asciiTheme="minorHAnsi" w:eastAsiaTheme="minorEastAsia" w:hAnsiTheme="minorHAnsi" w:cstheme="minorBidi"/>
                <w:noProof/>
                <w:lang w:eastAsia="en-GB"/>
              </w:rPr>
              <w:tab/>
            </w:r>
            <w:r w:rsidRPr="008F3F9B">
              <w:rPr>
                <w:rStyle w:val="Hyperlink"/>
                <w:rFonts w:ascii="Arial" w:hAnsi="Arial" w:cs="Arial"/>
                <w:noProof/>
              </w:rPr>
              <w:t>Hydrogen storage, distribution and purification</w:t>
            </w:r>
            <w:r>
              <w:rPr>
                <w:noProof/>
                <w:webHidden/>
              </w:rPr>
              <w:tab/>
            </w:r>
            <w:r>
              <w:rPr>
                <w:noProof/>
                <w:webHidden/>
              </w:rPr>
              <w:fldChar w:fldCharType="begin"/>
            </w:r>
            <w:r>
              <w:rPr>
                <w:noProof/>
                <w:webHidden/>
              </w:rPr>
              <w:instrText xml:space="preserve"> PAGEREF _Toc101516055 \h </w:instrText>
            </w:r>
            <w:r>
              <w:rPr>
                <w:noProof/>
                <w:webHidden/>
              </w:rPr>
            </w:r>
            <w:r>
              <w:rPr>
                <w:noProof/>
                <w:webHidden/>
              </w:rPr>
              <w:fldChar w:fldCharType="separate"/>
            </w:r>
            <w:r>
              <w:rPr>
                <w:noProof/>
                <w:webHidden/>
              </w:rPr>
              <w:t>44</w:t>
            </w:r>
            <w:r>
              <w:rPr>
                <w:noProof/>
                <w:webHidden/>
              </w:rPr>
              <w:fldChar w:fldCharType="end"/>
            </w:r>
          </w:hyperlink>
        </w:p>
        <w:p w14:paraId="70AD7AC0" w14:textId="5E80BB2A" w:rsidR="00A41D3F" w:rsidRDefault="00A41D3F">
          <w:pPr>
            <w:pStyle w:val="TOC3"/>
            <w:tabs>
              <w:tab w:val="left" w:pos="1540"/>
              <w:tab w:val="right" w:leader="dot" w:pos="9062"/>
            </w:tabs>
            <w:rPr>
              <w:rFonts w:asciiTheme="minorHAnsi" w:eastAsiaTheme="minorEastAsia" w:hAnsiTheme="minorHAnsi" w:cstheme="minorBidi"/>
              <w:noProof/>
              <w:lang w:eastAsia="en-GB"/>
            </w:rPr>
          </w:pPr>
          <w:hyperlink w:anchor="_Toc101516056" w:history="1">
            <w:r w:rsidRPr="008F3F9B">
              <w:rPr>
                <w:rStyle w:val="Hyperlink"/>
                <w:rFonts w:ascii="Arial" w:hAnsi="Arial" w:cs="Arial"/>
                <w:noProof/>
              </w:rPr>
              <w:t>1.2.1.7.</w:t>
            </w:r>
            <w:r>
              <w:rPr>
                <w:rFonts w:asciiTheme="minorHAnsi" w:eastAsiaTheme="minorEastAsia" w:hAnsiTheme="minorHAnsi" w:cstheme="minorBidi"/>
                <w:noProof/>
                <w:lang w:eastAsia="en-GB"/>
              </w:rPr>
              <w:tab/>
            </w:r>
            <w:r w:rsidRPr="008F3F9B">
              <w:rPr>
                <w:rStyle w:val="Hyperlink"/>
                <w:rFonts w:ascii="Arial" w:hAnsi="Arial" w:cs="Arial"/>
                <w:noProof/>
              </w:rPr>
              <w:t>Hydrogen territories</w:t>
            </w:r>
            <w:r>
              <w:rPr>
                <w:noProof/>
                <w:webHidden/>
              </w:rPr>
              <w:tab/>
            </w:r>
            <w:r>
              <w:rPr>
                <w:noProof/>
                <w:webHidden/>
              </w:rPr>
              <w:fldChar w:fldCharType="begin"/>
            </w:r>
            <w:r>
              <w:rPr>
                <w:noProof/>
                <w:webHidden/>
              </w:rPr>
              <w:instrText xml:space="preserve"> PAGEREF _Toc101516056 \h </w:instrText>
            </w:r>
            <w:r>
              <w:rPr>
                <w:noProof/>
                <w:webHidden/>
              </w:rPr>
            </w:r>
            <w:r>
              <w:rPr>
                <w:noProof/>
                <w:webHidden/>
              </w:rPr>
              <w:fldChar w:fldCharType="separate"/>
            </w:r>
            <w:r>
              <w:rPr>
                <w:noProof/>
                <w:webHidden/>
              </w:rPr>
              <w:t>45</w:t>
            </w:r>
            <w:r>
              <w:rPr>
                <w:noProof/>
                <w:webHidden/>
              </w:rPr>
              <w:fldChar w:fldCharType="end"/>
            </w:r>
          </w:hyperlink>
        </w:p>
        <w:p w14:paraId="4A4AFF4D" w14:textId="254B00AC" w:rsidR="00A41D3F" w:rsidRDefault="00A41D3F">
          <w:pPr>
            <w:pStyle w:val="TOC3"/>
            <w:tabs>
              <w:tab w:val="left" w:pos="1540"/>
              <w:tab w:val="right" w:leader="dot" w:pos="9062"/>
            </w:tabs>
            <w:rPr>
              <w:rFonts w:asciiTheme="minorHAnsi" w:eastAsiaTheme="minorEastAsia" w:hAnsiTheme="minorHAnsi" w:cstheme="minorBidi"/>
              <w:noProof/>
              <w:lang w:eastAsia="en-GB"/>
            </w:rPr>
          </w:pPr>
          <w:hyperlink w:anchor="_Toc101516057" w:history="1">
            <w:r w:rsidRPr="008F3F9B">
              <w:rPr>
                <w:rStyle w:val="Hyperlink"/>
                <w:rFonts w:ascii="Arial" w:hAnsi="Arial" w:cs="Arial"/>
                <w:noProof/>
              </w:rPr>
              <w:t>1.2.1.8.</w:t>
            </w:r>
            <w:r>
              <w:rPr>
                <w:rFonts w:asciiTheme="minorHAnsi" w:eastAsiaTheme="minorEastAsia" w:hAnsiTheme="minorHAnsi" w:cstheme="minorBidi"/>
                <w:noProof/>
                <w:lang w:eastAsia="en-GB"/>
              </w:rPr>
              <w:tab/>
            </w:r>
            <w:r w:rsidRPr="008F3F9B">
              <w:rPr>
                <w:rStyle w:val="Hyperlink"/>
                <w:rFonts w:ascii="Arial" w:hAnsi="Arial" w:cs="Arial"/>
                <w:noProof/>
              </w:rPr>
              <w:t>Support for market uptake - cross-cutting activities</w:t>
            </w:r>
            <w:r>
              <w:rPr>
                <w:noProof/>
                <w:webHidden/>
              </w:rPr>
              <w:tab/>
            </w:r>
            <w:r>
              <w:rPr>
                <w:noProof/>
                <w:webHidden/>
              </w:rPr>
              <w:fldChar w:fldCharType="begin"/>
            </w:r>
            <w:r>
              <w:rPr>
                <w:noProof/>
                <w:webHidden/>
              </w:rPr>
              <w:instrText xml:space="preserve"> PAGEREF _Toc101516057 \h </w:instrText>
            </w:r>
            <w:r>
              <w:rPr>
                <w:noProof/>
                <w:webHidden/>
              </w:rPr>
            </w:r>
            <w:r>
              <w:rPr>
                <w:noProof/>
                <w:webHidden/>
              </w:rPr>
              <w:fldChar w:fldCharType="separate"/>
            </w:r>
            <w:r>
              <w:rPr>
                <w:noProof/>
                <w:webHidden/>
              </w:rPr>
              <w:t>46</w:t>
            </w:r>
            <w:r>
              <w:rPr>
                <w:noProof/>
                <w:webHidden/>
              </w:rPr>
              <w:fldChar w:fldCharType="end"/>
            </w:r>
          </w:hyperlink>
        </w:p>
        <w:p w14:paraId="3A310803" w14:textId="0C3D0BE3" w:rsidR="00A41D3F" w:rsidRDefault="00A41D3F">
          <w:pPr>
            <w:pStyle w:val="TOC3"/>
            <w:tabs>
              <w:tab w:val="left" w:pos="1320"/>
              <w:tab w:val="right" w:leader="dot" w:pos="9062"/>
            </w:tabs>
            <w:rPr>
              <w:rFonts w:asciiTheme="minorHAnsi" w:eastAsiaTheme="minorEastAsia" w:hAnsiTheme="minorHAnsi" w:cstheme="minorBidi"/>
              <w:noProof/>
              <w:lang w:eastAsia="en-GB"/>
            </w:rPr>
          </w:pPr>
          <w:hyperlink w:anchor="_Toc101516058" w:history="1">
            <w:r w:rsidRPr="008F3F9B">
              <w:rPr>
                <w:rStyle w:val="Hyperlink"/>
                <w:rFonts w:ascii="Arial" w:hAnsi="Arial" w:cs="Arial"/>
                <w:noProof/>
              </w:rPr>
              <w:t>1.2.2</w:t>
            </w:r>
            <w:r>
              <w:rPr>
                <w:rFonts w:asciiTheme="minorHAnsi" w:eastAsiaTheme="minorEastAsia" w:hAnsiTheme="minorHAnsi" w:cstheme="minorBidi"/>
                <w:noProof/>
                <w:lang w:eastAsia="en-GB"/>
              </w:rPr>
              <w:tab/>
            </w:r>
            <w:r w:rsidRPr="008F3F9B">
              <w:rPr>
                <w:rStyle w:val="Hyperlink"/>
                <w:rFonts w:ascii="Arial" w:hAnsi="Arial" w:cs="Arial"/>
                <w:noProof/>
              </w:rPr>
              <w:t>Knowledge management</w:t>
            </w:r>
            <w:r>
              <w:rPr>
                <w:noProof/>
                <w:webHidden/>
              </w:rPr>
              <w:tab/>
            </w:r>
            <w:r>
              <w:rPr>
                <w:noProof/>
                <w:webHidden/>
              </w:rPr>
              <w:fldChar w:fldCharType="begin"/>
            </w:r>
            <w:r>
              <w:rPr>
                <w:noProof/>
                <w:webHidden/>
              </w:rPr>
              <w:instrText xml:space="preserve"> PAGEREF _Toc101516058 \h </w:instrText>
            </w:r>
            <w:r>
              <w:rPr>
                <w:noProof/>
                <w:webHidden/>
              </w:rPr>
            </w:r>
            <w:r>
              <w:rPr>
                <w:noProof/>
                <w:webHidden/>
              </w:rPr>
              <w:fldChar w:fldCharType="separate"/>
            </w:r>
            <w:r>
              <w:rPr>
                <w:noProof/>
                <w:webHidden/>
              </w:rPr>
              <w:t>47</w:t>
            </w:r>
            <w:r>
              <w:rPr>
                <w:noProof/>
                <w:webHidden/>
              </w:rPr>
              <w:fldChar w:fldCharType="end"/>
            </w:r>
          </w:hyperlink>
        </w:p>
        <w:p w14:paraId="060D292B" w14:textId="43F0C11B" w:rsidR="00A41D3F" w:rsidRDefault="00A41D3F">
          <w:pPr>
            <w:pStyle w:val="TOC3"/>
            <w:tabs>
              <w:tab w:val="left" w:pos="1320"/>
              <w:tab w:val="right" w:leader="dot" w:pos="9062"/>
            </w:tabs>
            <w:rPr>
              <w:rFonts w:asciiTheme="minorHAnsi" w:eastAsiaTheme="minorEastAsia" w:hAnsiTheme="minorHAnsi" w:cstheme="minorBidi"/>
              <w:noProof/>
              <w:lang w:eastAsia="en-GB"/>
            </w:rPr>
          </w:pPr>
          <w:hyperlink w:anchor="_Toc101516059" w:history="1">
            <w:r w:rsidRPr="008F3F9B">
              <w:rPr>
                <w:rStyle w:val="Hyperlink"/>
                <w:rFonts w:ascii="Arial" w:hAnsi="Arial" w:cs="Arial"/>
                <w:noProof/>
                <w:lang w:eastAsia="nl-BE"/>
              </w:rPr>
              <w:t>1.2.3</w:t>
            </w:r>
            <w:r>
              <w:rPr>
                <w:rFonts w:asciiTheme="minorHAnsi" w:eastAsiaTheme="minorEastAsia" w:hAnsiTheme="minorHAnsi" w:cstheme="minorBidi"/>
                <w:noProof/>
                <w:lang w:eastAsia="en-GB"/>
              </w:rPr>
              <w:tab/>
            </w:r>
            <w:r w:rsidRPr="008F3F9B">
              <w:rPr>
                <w:rStyle w:val="Hyperlink"/>
                <w:rFonts w:ascii="Arial" w:hAnsi="Arial" w:cs="Arial"/>
                <w:noProof/>
              </w:rPr>
              <w:t>Regulations, Codes and Standards Strategy Coordination (RCS SC) Group</w:t>
            </w:r>
            <w:r>
              <w:rPr>
                <w:noProof/>
                <w:webHidden/>
              </w:rPr>
              <w:tab/>
            </w:r>
            <w:r>
              <w:rPr>
                <w:noProof/>
                <w:webHidden/>
              </w:rPr>
              <w:fldChar w:fldCharType="begin"/>
            </w:r>
            <w:r>
              <w:rPr>
                <w:noProof/>
                <w:webHidden/>
              </w:rPr>
              <w:instrText xml:space="preserve"> PAGEREF _Toc101516059 \h </w:instrText>
            </w:r>
            <w:r>
              <w:rPr>
                <w:noProof/>
                <w:webHidden/>
              </w:rPr>
            </w:r>
            <w:r>
              <w:rPr>
                <w:noProof/>
                <w:webHidden/>
              </w:rPr>
              <w:fldChar w:fldCharType="separate"/>
            </w:r>
            <w:r>
              <w:rPr>
                <w:noProof/>
                <w:webHidden/>
              </w:rPr>
              <w:t>49</w:t>
            </w:r>
            <w:r>
              <w:rPr>
                <w:noProof/>
                <w:webHidden/>
              </w:rPr>
              <w:fldChar w:fldCharType="end"/>
            </w:r>
          </w:hyperlink>
        </w:p>
        <w:p w14:paraId="41F11470" w14:textId="637F4DF1" w:rsidR="00A41D3F" w:rsidRDefault="00A41D3F">
          <w:pPr>
            <w:pStyle w:val="TOC3"/>
            <w:tabs>
              <w:tab w:val="left" w:pos="1320"/>
              <w:tab w:val="right" w:leader="dot" w:pos="9062"/>
            </w:tabs>
            <w:rPr>
              <w:rFonts w:asciiTheme="minorHAnsi" w:eastAsiaTheme="minorEastAsia" w:hAnsiTheme="minorHAnsi" w:cstheme="minorBidi"/>
              <w:noProof/>
              <w:lang w:eastAsia="en-GB"/>
            </w:rPr>
          </w:pPr>
          <w:hyperlink w:anchor="_Toc101516060" w:history="1">
            <w:r w:rsidRPr="008F3F9B">
              <w:rPr>
                <w:rStyle w:val="Hyperlink"/>
                <w:rFonts w:ascii="Arial" w:hAnsi="Arial" w:cs="Arial"/>
                <w:noProof/>
              </w:rPr>
              <w:t>1.2.4</w:t>
            </w:r>
            <w:r>
              <w:rPr>
                <w:rFonts w:asciiTheme="minorHAnsi" w:eastAsiaTheme="minorEastAsia" w:hAnsiTheme="minorHAnsi" w:cstheme="minorBidi"/>
                <w:noProof/>
                <w:lang w:eastAsia="en-GB"/>
              </w:rPr>
              <w:tab/>
            </w:r>
            <w:r w:rsidRPr="008F3F9B">
              <w:rPr>
                <w:rStyle w:val="Hyperlink"/>
                <w:rFonts w:ascii="Arial" w:hAnsi="Arial" w:cs="Arial"/>
                <w:noProof/>
              </w:rPr>
              <w:t>European Hydrogen Safety Panel (EHSP)</w:t>
            </w:r>
            <w:r>
              <w:rPr>
                <w:noProof/>
                <w:webHidden/>
              </w:rPr>
              <w:tab/>
            </w:r>
            <w:r>
              <w:rPr>
                <w:noProof/>
                <w:webHidden/>
              </w:rPr>
              <w:fldChar w:fldCharType="begin"/>
            </w:r>
            <w:r>
              <w:rPr>
                <w:noProof/>
                <w:webHidden/>
              </w:rPr>
              <w:instrText xml:space="preserve"> PAGEREF _Toc101516060 \h </w:instrText>
            </w:r>
            <w:r>
              <w:rPr>
                <w:noProof/>
                <w:webHidden/>
              </w:rPr>
            </w:r>
            <w:r>
              <w:rPr>
                <w:noProof/>
                <w:webHidden/>
              </w:rPr>
              <w:fldChar w:fldCharType="separate"/>
            </w:r>
            <w:r>
              <w:rPr>
                <w:noProof/>
                <w:webHidden/>
              </w:rPr>
              <w:t>49</w:t>
            </w:r>
            <w:r>
              <w:rPr>
                <w:noProof/>
                <w:webHidden/>
              </w:rPr>
              <w:fldChar w:fldCharType="end"/>
            </w:r>
          </w:hyperlink>
        </w:p>
        <w:p w14:paraId="58A9E0E8" w14:textId="2C4556C2" w:rsidR="00A41D3F" w:rsidRDefault="00A41D3F">
          <w:pPr>
            <w:pStyle w:val="TOC3"/>
            <w:tabs>
              <w:tab w:val="left" w:pos="1320"/>
              <w:tab w:val="right" w:leader="dot" w:pos="9062"/>
            </w:tabs>
            <w:rPr>
              <w:rFonts w:asciiTheme="minorHAnsi" w:eastAsiaTheme="minorEastAsia" w:hAnsiTheme="minorHAnsi" w:cstheme="minorBidi"/>
              <w:noProof/>
              <w:lang w:eastAsia="en-GB"/>
            </w:rPr>
          </w:pPr>
          <w:hyperlink w:anchor="_Toc101516061" w:history="1">
            <w:r w:rsidRPr="008F3F9B">
              <w:rPr>
                <w:rStyle w:val="Hyperlink"/>
                <w:rFonts w:ascii="Arial" w:hAnsi="Arial" w:cs="Arial"/>
                <w:noProof/>
              </w:rPr>
              <w:t>1.2.5</w:t>
            </w:r>
            <w:r>
              <w:rPr>
                <w:rFonts w:asciiTheme="minorHAnsi" w:eastAsiaTheme="minorEastAsia" w:hAnsiTheme="minorHAnsi" w:cstheme="minorBidi"/>
                <w:noProof/>
                <w:lang w:eastAsia="en-GB"/>
              </w:rPr>
              <w:tab/>
            </w:r>
            <w:r w:rsidRPr="008F3F9B">
              <w:rPr>
                <w:rStyle w:val="Hyperlink"/>
                <w:rFonts w:ascii="Arial" w:hAnsi="Arial" w:cs="Arial"/>
                <w:noProof/>
              </w:rPr>
              <w:t>Collaboration with the JRC</w:t>
            </w:r>
            <w:r>
              <w:rPr>
                <w:noProof/>
                <w:webHidden/>
              </w:rPr>
              <w:tab/>
            </w:r>
            <w:r>
              <w:rPr>
                <w:noProof/>
                <w:webHidden/>
              </w:rPr>
              <w:fldChar w:fldCharType="begin"/>
            </w:r>
            <w:r>
              <w:rPr>
                <w:noProof/>
                <w:webHidden/>
              </w:rPr>
              <w:instrText xml:space="preserve"> PAGEREF _Toc101516061 \h </w:instrText>
            </w:r>
            <w:r>
              <w:rPr>
                <w:noProof/>
                <w:webHidden/>
              </w:rPr>
            </w:r>
            <w:r>
              <w:rPr>
                <w:noProof/>
                <w:webHidden/>
              </w:rPr>
              <w:fldChar w:fldCharType="separate"/>
            </w:r>
            <w:r>
              <w:rPr>
                <w:noProof/>
                <w:webHidden/>
              </w:rPr>
              <w:t>52</w:t>
            </w:r>
            <w:r>
              <w:rPr>
                <w:noProof/>
                <w:webHidden/>
              </w:rPr>
              <w:fldChar w:fldCharType="end"/>
            </w:r>
          </w:hyperlink>
        </w:p>
        <w:p w14:paraId="0826046B" w14:textId="218B4CA6" w:rsidR="00A41D3F" w:rsidRDefault="00A41D3F">
          <w:pPr>
            <w:pStyle w:val="TOC3"/>
            <w:tabs>
              <w:tab w:val="left" w:pos="1320"/>
              <w:tab w:val="right" w:leader="dot" w:pos="9062"/>
            </w:tabs>
            <w:rPr>
              <w:rFonts w:asciiTheme="minorHAnsi" w:eastAsiaTheme="minorEastAsia" w:hAnsiTheme="minorHAnsi" w:cstheme="minorBidi"/>
              <w:noProof/>
              <w:lang w:eastAsia="en-GB"/>
            </w:rPr>
          </w:pPr>
          <w:hyperlink w:anchor="_Toc101516062" w:history="1">
            <w:r w:rsidRPr="008F3F9B">
              <w:rPr>
                <w:rStyle w:val="Hyperlink"/>
                <w:rFonts w:ascii="Arial" w:hAnsi="Arial" w:cs="Arial"/>
                <w:noProof/>
              </w:rPr>
              <w:t>1.2.6</w:t>
            </w:r>
            <w:r>
              <w:rPr>
                <w:rFonts w:asciiTheme="minorHAnsi" w:eastAsiaTheme="minorEastAsia" w:hAnsiTheme="minorHAnsi" w:cstheme="minorBidi"/>
                <w:noProof/>
                <w:lang w:eastAsia="en-GB"/>
              </w:rPr>
              <w:tab/>
            </w:r>
            <w:r w:rsidRPr="008F3F9B">
              <w:rPr>
                <w:rStyle w:val="Hyperlink"/>
                <w:rFonts w:ascii="Arial" w:hAnsi="Arial" w:cs="Arial"/>
                <w:noProof/>
              </w:rPr>
              <w:t>Support to JU policies and funding/financial engineering</w:t>
            </w:r>
            <w:r>
              <w:rPr>
                <w:noProof/>
                <w:webHidden/>
              </w:rPr>
              <w:tab/>
            </w:r>
            <w:r>
              <w:rPr>
                <w:noProof/>
                <w:webHidden/>
              </w:rPr>
              <w:fldChar w:fldCharType="begin"/>
            </w:r>
            <w:r>
              <w:rPr>
                <w:noProof/>
                <w:webHidden/>
              </w:rPr>
              <w:instrText xml:space="preserve"> PAGEREF _Toc101516062 \h </w:instrText>
            </w:r>
            <w:r>
              <w:rPr>
                <w:noProof/>
                <w:webHidden/>
              </w:rPr>
            </w:r>
            <w:r>
              <w:rPr>
                <w:noProof/>
                <w:webHidden/>
              </w:rPr>
              <w:fldChar w:fldCharType="separate"/>
            </w:r>
            <w:r>
              <w:rPr>
                <w:noProof/>
                <w:webHidden/>
              </w:rPr>
              <w:t>54</w:t>
            </w:r>
            <w:r>
              <w:rPr>
                <w:noProof/>
                <w:webHidden/>
              </w:rPr>
              <w:fldChar w:fldCharType="end"/>
            </w:r>
          </w:hyperlink>
        </w:p>
        <w:p w14:paraId="35843212" w14:textId="203CB9C0" w:rsidR="00A41D3F" w:rsidRDefault="00A41D3F">
          <w:pPr>
            <w:pStyle w:val="TOC3"/>
            <w:tabs>
              <w:tab w:val="left" w:pos="1320"/>
              <w:tab w:val="right" w:leader="dot" w:pos="9062"/>
            </w:tabs>
            <w:rPr>
              <w:rFonts w:asciiTheme="minorHAnsi" w:eastAsiaTheme="minorEastAsia" w:hAnsiTheme="minorHAnsi" w:cstheme="minorBidi"/>
              <w:noProof/>
              <w:lang w:eastAsia="en-GB"/>
            </w:rPr>
          </w:pPr>
          <w:hyperlink w:anchor="_Toc101516063" w:history="1">
            <w:r w:rsidRPr="008F3F9B">
              <w:rPr>
                <w:rStyle w:val="Hyperlink"/>
                <w:rFonts w:ascii="Arial" w:hAnsi="Arial" w:cs="Arial"/>
                <w:noProof/>
              </w:rPr>
              <w:t>1.2.7</w:t>
            </w:r>
            <w:r>
              <w:rPr>
                <w:rFonts w:asciiTheme="minorHAnsi" w:eastAsiaTheme="minorEastAsia" w:hAnsiTheme="minorHAnsi" w:cstheme="minorBidi"/>
                <w:noProof/>
                <w:lang w:eastAsia="en-GB"/>
              </w:rPr>
              <w:tab/>
            </w:r>
            <w:r w:rsidRPr="008F3F9B">
              <w:rPr>
                <w:rStyle w:val="Hyperlink"/>
                <w:rFonts w:ascii="Arial" w:hAnsi="Arial" w:cs="Arial"/>
                <w:noProof/>
              </w:rPr>
              <w:t>International cooperation</w:t>
            </w:r>
            <w:r>
              <w:rPr>
                <w:noProof/>
                <w:webHidden/>
              </w:rPr>
              <w:tab/>
            </w:r>
            <w:r>
              <w:rPr>
                <w:noProof/>
                <w:webHidden/>
              </w:rPr>
              <w:fldChar w:fldCharType="begin"/>
            </w:r>
            <w:r>
              <w:rPr>
                <w:noProof/>
                <w:webHidden/>
              </w:rPr>
              <w:instrText xml:space="preserve"> PAGEREF _Toc101516063 \h </w:instrText>
            </w:r>
            <w:r>
              <w:rPr>
                <w:noProof/>
                <w:webHidden/>
              </w:rPr>
            </w:r>
            <w:r>
              <w:rPr>
                <w:noProof/>
                <w:webHidden/>
              </w:rPr>
              <w:fldChar w:fldCharType="separate"/>
            </w:r>
            <w:r>
              <w:rPr>
                <w:noProof/>
                <w:webHidden/>
              </w:rPr>
              <w:t>60</w:t>
            </w:r>
            <w:r>
              <w:rPr>
                <w:noProof/>
                <w:webHidden/>
              </w:rPr>
              <w:fldChar w:fldCharType="end"/>
            </w:r>
          </w:hyperlink>
        </w:p>
        <w:p w14:paraId="2B81B508" w14:textId="45A81B60" w:rsidR="00A41D3F" w:rsidRDefault="00A41D3F">
          <w:pPr>
            <w:pStyle w:val="TOC3"/>
            <w:tabs>
              <w:tab w:val="left" w:pos="1100"/>
              <w:tab w:val="right" w:leader="dot" w:pos="9062"/>
            </w:tabs>
            <w:rPr>
              <w:rFonts w:asciiTheme="minorHAnsi" w:eastAsiaTheme="minorEastAsia" w:hAnsiTheme="minorHAnsi" w:cstheme="minorBidi"/>
              <w:noProof/>
              <w:lang w:eastAsia="en-GB"/>
            </w:rPr>
          </w:pPr>
          <w:hyperlink w:anchor="_Toc101516064" w:history="1">
            <w:r w:rsidRPr="008F3F9B">
              <w:rPr>
                <w:rStyle w:val="Hyperlink"/>
                <w:rFonts w:ascii="Arial" w:hAnsi="Arial" w:cs="Arial"/>
                <w:noProof/>
              </w:rPr>
              <w:t>1.3.</w:t>
            </w:r>
            <w:r>
              <w:rPr>
                <w:rFonts w:asciiTheme="minorHAnsi" w:eastAsiaTheme="minorEastAsia" w:hAnsiTheme="minorHAnsi" w:cstheme="minorBidi"/>
                <w:noProof/>
                <w:lang w:eastAsia="en-GB"/>
              </w:rPr>
              <w:tab/>
            </w:r>
            <w:r w:rsidRPr="008F3F9B">
              <w:rPr>
                <w:rStyle w:val="Hyperlink"/>
                <w:rFonts w:ascii="Arial" w:hAnsi="Arial" w:cs="Arial"/>
                <w:noProof/>
              </w:rPr>
              <w:t>Calls for proposals and grant information</w:t>
            </w:r>
            <w:r>
              <w:rPr>
                <w:noProof/>
                <w:webHidden/>
              </w:rPr>
              <w:tab/>
            </w:r>
            <w:r>
              <w:rPr>
                <w:noProof/>
                <w:webHidden/>
              </w:rPr>
              <w:fldChar w:fldCharType="begin"/>
            </w:r>
            <w:r>
              <w:rPr>
                <w:noProof/>
                <w:webHidden/>
              </w:rPr>
              <w:instrText xml:space="preserve"> PAGEREF _Toc101516064 \h </w:instrText>
            </w:r>
            <w:r>
              <w:rPr>
                <w:noProof/>
                <w:webHidden/>
              </w:rPr>
            </w:r>
            <w:r>
              <w:rPr>
                <w:noProof/>
                <w:webHidden/>
              </w:rPr>
              <w:fldChar w:fldCharType="separate"/>
            </w:r>
            <w:r>
              <w:rPr>
                <w:noProof/>
                <w:webHidden/>
              </w:rPr>
              <w:t>61</w:t>
            </w:r>
            <w:r>
              <w:rPr>
                <w:noProof/>
                <w:webHidden/>
              </w:rPr>
              <w:fldChar w:fldCharType="end"/>
            </w:r>
          </w:hyperlink>
        </w:p>
        <w:p w14:paraId="2A0ABB3D" w14:textId="01034C52" w:rsidR="00A41D3F" w:rsidRDefault="00A41D3F">
          <w:pPr>
            <w:pStyle w:val="TOC3"/>
            <w:tabs>
              <w:tab w:val="left" w:pos="1320"/>
              <w:tab w:val="right" w:leader="dot" w:pos="9062"/>
            </w:tabs>
            <w:rPr>
              <w:rFonts w:asciiTheme="minorHAnsi" w:eastAsiaTheme="minorEastAsia" w:hAnsiTheme="minorHAnsi" w:cstheme="minorBidi"/>
              <w:noProof/>
              <w:lang w:eastAsia="en-GB"/>
            </w:rPr>
          </w:pPr>
          <w:hyperlink w:anchor="_Toc101516065" w:history="1">
            <w:r w:rsidRPr="008F3F9B">
              <w:rPr>
                <w:rStyle w:val="Hyperlink"/>
                <w:rFonts w:cs="Arial"/>
                <w:noProof/>
              </w:rPr>
              <w:t>1.3.1.</w:t>
            </w:r>
            <w:r>
              <w:rPr>
                <w:rFonts w:asciiTheme="minorHAnsi" w:eastAsiaTheme="minorEastAsia" w:hAnsiTheme="minorHAnsi" w:cstheme="minorBidi"/>
                <w:noProof/>
                <w:lang w:eastAsia="en-GB"/>
              </w:rPr>
              <w:tab/>
            </w:r>
            <w:r w:rsidRPr="008F3F9B">
              <w:rPr>
                <w:rStyle w:val="Hyperlink"/>
                <w:rFonts w:ascii="Arial" w:hAnsi="Arial" w:cs="Arial"/>
                <w:noProof/>
              </w:rPr>
              <w:t>Progress against KPIs / Statistics (Annexes 5, 6 and 7)</w:t>
            </w:r>
            <w:r>
              <w:rPr>
                <w:noProof/>
                <w:webHidden/>
              </w:rPr>
              <w:tab/>
            </w:r>
            <w:r>
              <w:rPr>
                <w:noProof/>
                <w:webHidden/>
              </w:rPr>
              <w:fldChar w:fldCharType="begin"/>
            </w:r>
            <w:r>
              <w:rPr>
                <w:noProof/>
                <w:webHidden/>
              </w:rPr>
              <w:instrText xml:space="preserve"> PAGEREF _Toc101516065 \h </w:instrText>
            </w:r>
            <w:r>
              <w:rPr>
                <w:noProof/>
                <w:webHidden/>
              </w:rPr>
            </w:r>
            <w:r>
              <w:rPr>
                <w:noProof/>
                <w:webHidden/>
              </w:rPr>
              <w:fldChar w:fldCharType="separate"/>
            </w:r>
            <w:r>
              <w:rPr>
                <w:noProof/>
                <w:webHidden/>
              </w:rPr>
              <w:t>61</w:t>
            </w:r>
            <w:r>
              <w:rPr>
                <w:noProof/>
                <w:webHidden/>
              </w:rPr>
              <w:fldChar w:fldCharType="end"/>
            </w:r>
          </w:hyperlink>
        </w:p>
        <w:p w14:paraId="78BDEA00" w14:textId="4C435E6B" w:rsidR="00A41D3F" w:rsidRDefault="00A41D3F">
          <w:pPr>
            <w:pStyle w:val="TOC3"/>
            <w:tabs>
              <w:tab w:val="left" w:pos="1320"/>
              <w:tab w:val="right" w:leader="dot" w:pos="9062"/>
            </w:tabs>
            <w:rPr>
              <w:rFonts w:asciiTheme="minorHAnsi" w:eastAsiaTheme="minorEastAsia" w:hAnsiTheme="minorHAnsi" w:cstheme="minorBidi"/>
              <w:noProof/>
              <w:lang w:eastAsia="en-GB"/>
            </w:rPr>
          </w:pPr>
          <w:hyperlink w:anchor="_Toc101516066" w:history="1">
            <w:r w:rsidRPr="008F3F9B">
              <w:rPr>
                <w:rStyle w:val="Hyperlink"/>
                <w:rFonts w:cs="Arial"/>
                <w:noProof/>
              </w:rPr>
              <w:t>1.3.2.</w:t>
            </w:r>
            <w:r>
              <w:rPr>
                <w:rFonts w:asciiTheme="minorHAnsi" w:eastAsiaTheme="minorEastAsia" w:hAnsiTheme="minorHAnsi" w:cstheme="minorBidi"/>
                <w:noProof/>
                <w:lang w:eastAsia="en-GB"/>
              </w:rPr>
              <w:tab/>
            </w:r>
            <w:r w:rsidRPr="008F3F9B">
              <w:rPr>
                <w:rStyle w:val="Hyperlink"/>
                <w:rFonts w:ascii="Arial" w:hAnsi="Arial" w:cs="Arial"/>
                <w:noProof/>
              </w:rPr>
              <w:t>Evaluation: procedures and global evaluation outcome, redress, statistics (no. of evaluators, gender, area, etc.)</w:t>
            </w:r>
            <w:r>
              <w:rPr>
                <w:noProof/>
                <w:webHidden/>
              </w:rPr>
              <w:tab/>
            </w:r>
            <w:r>
              <w:rPr>
                <w:noProof/>
                <w:webHidden/>
              </w:rPr>
              <w:fldChar w:fldCharType="begin"/>
            </w:r>
            <w:r>
              <w:rPr>
                <w:noProof/>
                <w:webHidden/>
              </w:rPr>
              <w:instrText xml:space="preserve"> PAGEREF _Toc101516066 \h </w:instrText>
            </w:r>
            <w:r>
              <w:rPr>
                <w:noProof/>
                <w:webHidden/>
              </w:rPr>
            </w:r>
            <w:r>
              <w:rPr>
                <w:noProof/>
                <w:webHidden/>
              </w:rPr>
              <w:fldChar w:fldCharType="separate"/>
            </w:r>
            <w:r>
              <w:rPr>
                <w:noProof/>
                <w:webHidden/>
              </w:rPr>
              <w:t>61</w:t>
            </w:r>
            <w:r>
              <w:rPr>
                <w:noProof/>
                <w:webHidden/>
              </w:rPr>
              <w:fldChar w:fldCharType="end"/>
            </w:r>
          </w:hyperlink>
        </w:p>
        <w:p w14:paraId="28C6EFD9" w14:textId="60B03E30" w:rsidR="00A41D3F" w:rsidRDefault="00A41D3F">
          <w:pPr>
            <w:pStyle w:val="TOC3"/>
            <w:tabs>
              <w:tab w:val="left" w:pos="1100"/>
              <w:tab w:val="right" w:leader="dot" w:pos="9062"/>
            </w:tabs>
            <w:rPr>
              <w:rFonts w:asciiTheme="minorHAnsi" w:eastAsiaTheme="minorEastAsia" w:hAnsiTheme="minorHAnsi" w:cstheme="minorBidi"/>
              <w:noProof/>
              <w:lang w:eastAsia="en-GB"/>
            </w:rPr>
          </w:pPr>
          <w:hyperlink w:anchor="_Toc101516067" w:history="1">
            <w:r w:rsidRPr="008F3F9B">
              <w:rPr>
                <w:rStyle w:val="Hyperlink"/>
                <w:rFonts w:ascii="Arial" w:hAnsi="Arial" w:cs="Arial"/>
                <w:noProof/>
              </w:rPr>
              <w:t>1.4.</w:t>
            </w:r>
            <w:r>
              <w:rPr>
                <w:rFonts w:asciiTheme="minorHAnsi" w:eastAsiaTheme="minorEastAsia" w:hAnsiTheme="minorHAnsi" w:cstheme="minorBidi"/>
                <w:noProof/>
                <w:lang w:eastAsia="en-GB"/>
              </w:rPr>
              <w:tab/>
            </w:r>
            <w:r w:rsidRPr="008F3F9B">
              <w:rPr>
                <w:rStyle w:val="Hyperlink"/>
                <w:rFonts w:ascii="Arial" w:hAnsi="Arial" w:cs="Arial"/>
                <w:noProof/>
              </w:rPr>
              <w:t>Calls for tender</w:t>
            </w:r>
            <w:r>
              <w:rPr>
                <w:noProof/>
                <w:webHidden/>
              </w:rPr>
              <w:tab/>
            </w:r>
            <w:r>
              <w:rPr>
                <w:noProof/>
                <w:webHidden/>
              </w:rPr>
              <w:fldChar w:fldCharType="begin"/>
            </w:r>
            <w:r>
              <w:rPr>
                <w:noProof/>
                <w:webHidden/>
              </w:rPr>
              <w:instrText xml:space="preserve"> PAGEREF _Toc101516067 \h </w:instrText>
            </w:r>
            <w:r>
              <w:rPr>
                <w:noProof/>
                <w:webHidden/>
              </w:rPr>
            </w:r>
            <w:r>
              <w:rPr>
                <w:noProof/>
                <w:webHidden/>
              </w:rPr>
              <w:fldChar w:fldCharType="separate"/>
            </w:r>
            <w:r>
              <w:rPr>
                <w:noProof/>
                <w:webHidden/>
              </w:rPr>
              <w:t>61</w:t>
            </w:r>
            <w:r>
              <w:rPr>
                <w:noProof/>
                <w:webHidden/>
              </w:rPr>
              <w:fldChar w:fldCharType="end"/>
            </w:r>
          </w:hyperlink>
        </w:p>
        <w:p w14:paraId="72EC1665" w14:textId="1C11470E" w:rsidR="00A41D3F" w:rsidRDefault="00A41D3F">
          <w:pPr>
            <w:pStyle w:val="TOC3"/>
            <w:tabs>
              <w:tab w:val="left" w:pos="1100"/>
              <w:tab w:val="right" w:leader="dot" w:pos="9062"/>
            </w:tabs>
            <w:rPr>
              <w:rFonts w:asciiTheme="minorHAnsi" w:eastAsiaTheme="minorEastAsia" w:hAnsiTheme="minorHAnsi" w:cstheme="minorBidi"/>
              <w:noProof/>
              <w:lang w:eastAsia="en-GB"/>
            </w:rPr>
          </w:pPr>
          <w:hyperlink w:anchor="_Toc101516068" w:history="1">
            <w:r w:rsidRPr="008F3F9B">
              <w:rPr>
                <w:rStyle w:val="Hyperlink"/>
                <w:rFonts w:ascii="Arial" w:hAnsi="Arial" w:cs="Arial"/>
                <w:noProof/>
              </w:rPr>
              <w:t>1.5.</w:t>
            </w:r>
            <w:r>
              <w:rPr>
                <w:rFonts w:asciiTheme="minorHAnsi" w:eastAsiaTheme="minorEastAsia" w:hAnsiTheme="minorHAnsi" w:cstheme="minorBidi"/>
                <w:noProof/>
                <w:lang w:eastAsia="en-GB"/>
              </w:rPr>
              <w:tab/>
            </w:r>
            <w:r w:rsidRPr="008F3F9B">
              <w:rPr>
                <w:rStyle w:val="Hyperlink"/>
                <w:rFonts w:ascii="Arial" w:hAnsi="Arial" w:cs="Arial"/>
                <w:noProof/>
              </w:rPr>
              <w:t>Dissemination and information about projects results</w:t>
            </w:r>
            <w:r>
              <w:rPr>
                <w:noProof/>
                <w:webHidden/>
              </w:rPr>
              <w:tab/>
            </w:r>
            <w:r>
              <w:rPr>
                <w:noProof/>
                <w:webHidden/>
              </w:rPr>
              <w:fldChar w:fldCharType="begin"/>
            </w:r>
            <w:r>
              <w:rPr>
                <w:noProof/>
                <w:webHidden/>
              </w:rPr>
              <w:instrText xml:space="preserve"> PAGEREF _Toc101516068 \h </w:instrText>
            </w:r>
            <w:r>
              <w:rPr>
                <w:noProof/>
                <w:webHidden/>
              </w:rPr>
            </w:r>
            <w:r>
              <w:rPr>
                <w:noProof/>
                <w:webHidden/>
              </w:rPr>
              <w:fldChar w:fldCharType="separate"/>
            </w:r>
            <w:r>
              <w:rPr>
                <w:noProof/>
                <w:webHidden/>
              </w:rPr>
              <w:t>64</w:t>
            </w:r>
            <w:r>
              <w:rPr>
                <w:noProof/>
                <w:webHidden/>
              </w:rPr>
              <w:fldChar w:fldCharType="end"/>
            </w:r>
          </w:hyperlink>
        </w:p>
        <w:p w14:paraId="6624143B" w14:textId="3D3407B9" w:rsidR="00A41D3F" w:rsidRDefault="00A41D3F">
          <w:pPr>
            <w:pStyle w:val="TOC3"/>
            <w:tabs>
              <w:tab w:val="left" w:pos="1100"/>
              <w:tab w:val="right" w:leader="dot" w:pos="9062"/>
            </w:tabs>
            <w:rPr>
              <w:rFonts w:asciiTheme="minorHAnsi" w:eastAsiaTheme="minorEastAsia" w:hAnsiTheme="minorHAnsi" w:cstheme="minorBidi"/>
              <w:noProof/>
              <w:lang w:eastAsia="en-GB"/>
            </w:rPr>
          </w:pPr>
          <w:hyperlink w:anchor="_Toc101516069" w:history="1">
            <w:r w:rsidRPr="008F3F9B">
              <w:rPr>
                <w:rStyle w:val="Hyperlink"/>
                <w:rFonts w:ascii="Arial" w:hAnsi="Arial" w:cs="Arial"/>
                <w:noProof/>
              </w:rPr>
              <w:t>1.6.</w:t>
            </w:r>
            <w:r>
              <w:rPr>
                <w:rFonts w:asciiTheme="minorHAnsi" w:eastAsiaTheme="minorEastAsia" w:hAnsiTheme="minorHAnsi" w:cstheme="minorBidi"/>
                <w:noProof/>
                <w:lang w:eastAsia="en-GB"/>
              </w:rPr>
              <w:tab/>
            </w:r>
            <w:r w:rsidRPr="008F3F9B">
              <w:rPr>
                <w:rStyle w:val="Hyperlink"/>
                <w:rFonts w:ascii="Arial" w:hAnsi="Arial" w:cs="Arial"/>
                <w:noProof/>
              </w:rPr>
              <w:t>Operational budget execution</w:t>
            </w:r>
            <w:r>
              <w:rPr>
                <w:noProof/>
                <w:webHidden/>
              </w:rPr>
              <w:tab/>
            </w:r>
            <w:r>
              <w:rPr>
                <w:noProof/>
                <w:webHidden/>
              </w:rPr>
              <w:fldChar w:fldCharType="begin"/>
            </w:r>
            <w:r>
              <w:rPr>
                <w:noProof/>
                <w:webHidden/>
              </w:rPr>
              <w:instrText xml:space="preserve"> PAGEREF _Toc101516069 \h </w:instrText>
            </w:r>
            <w:r>
              <w:rPr>
                <w:noProof/>
                <w:webHidden/>
              </w:rPr>
            </w:r>
            <w:r>
              <w:rPr>
                <w:noProof/>
                <w:webHidden/>
              </w:rPr>
              <w:fldChar w:fldCharType="separate"/>
            </w:r>
            <w:r>
              <w:rPr>
                <w:noProof/>
                <w:webHidden/>
              </w:rPr>
              <w:t>73</w:t>
            </w:r>
            <w:r>
              <w:rPr>
                <w:noProof/>
                <w:webHidden/>
              </w:rPr>
              <w:fldChar w:fldCharType="end"/>
            </w:r>
          </w:hyperlink>
        </w:p>
        <w:p w14:paraId="1128F8DF" w14:textId="2FB6F2CB" w:rsidR="00A41D3F" w:rsidRDefault="00A41D3F">
          <w:pPr>
            <w:pStyle w:val="TOC3"/>
            <w:tabs>
              <w:tab w:val="left" w:pos="1100"/>
              <w:tab w:val="right" w:leader="dot" w:pos="9062"/>
            </w:tabs>
            <w:rPr>
              <w:rFonts w:asciiTheme="minorHAnsi" w:eastAsiaTheme="minorEastAsia" w:hAnsiTheme="minorHAnsi" w:cstheme="minorBidi"/>
              <w:noProof/>
              <w:lang w:eastAsia="en-GB"/>
            </w:rPr>
          </w:pPr>
          <w:hyperlink w:anchor="_Toc101516070" w:history="1">
            <w:r w:rsidRPr="008F3F9B">
              <w:rPr>
                <w:rStyle w:val="Hyperlink"/>
                <w:rFonts w:ascii="Arial" w:hAnsi="Arial" w:cs="Arial"/>
                <w:noProof/>
              </w:rPr>
              <w:t>1.7.</w:t>
            </w:r>
            <w:r>
              <w:rPr>
                <w:rFonts w:asciiTheme="minorHAnsi" w:eastAsiaTheme="minorEastAsia" w:hAnsiTheme="minorHAnsi" w:cstheme="minorBidi"/>
                <w:noProof/>
                <w:lang w:eastAsia="en-GB"/>
              </w:rPr>
              <w:tab/>
            </w:r>
            <w:r w:rsidRPr="008F3F9B">
              <w:rPr>
                <w:rStyle w:val="Hyperlink"/>
                <w:rFonts w:ascii="Arial" w:hAnsi="Arial" w:cs="Arial"/>
                <w:noProof/>
              </w:rPr>
              <w:t>In-kind contributions</w:t>
            </w:r>
            <w:r>
              <w:rPr>
                <w:noProof/>
                <w:webHidden/>
              </w:rPr>
              <w:tab/>
            </w:r>
            <w:r>
              <w:rPr>
                <w:noProof/>
                <w:webHidden/>
              </w:rPr>
              <w:fldChar w:fldCharType="begin"/>
            </w:r>
            <w:r>
              <w:rPr>
                <w:noProof/>
                <w:webHidden/>
              </w:rPr>
              <w:instrText xml:space="preserve"> PAGEREF _Toc101516070 \h </w:instrText>
            </w:r>
            <w:r>
              <w:rPr>
                <w:noProof/>
                <w:webHidden/>
              </w:rPr>
            </w:r>
            <w:r>
              <w:rPr>
                <w:noProof/>
                <w:webHidden/>
              </w:rPr>
              <w:fldChar w:fldCharType="separate"/>
            </w:r>
            <w:r>
              <w:rPr>
                <w:noProof/>
                <w:webHidden/>
              </w:rPr>
              <w:t>74</w:t>
            </w:r>
            <w:r>
              <w:rPr>
                <w:noProof/>
                <w:webHidden/>
              </w:rPr>
              <w:fldChar w:fldCharType="end"/>
            </w:r>
          </w:hyperlink>
        </w:p>
        <w:p w14:paraId="6BE049E4" w14:textId="324899D9" w:rsidR="00A41D3F" w:rsidRDefault="00A41D3F">
          <w:pPr>
            <w:pStyle w:val="TOC1"/>
            <w:tabs>
              <w:tab w:val="left" w:pos="440"/>
              <w:tab w:val="right" w:leader="dot" w:pos="9062"/>
            </w:tabs>
            <w:rPr>
              <w:rFonts w:asciiTheme="minorHAnsi" w:eastAsiaTheme="minorEastAsia" w:hAnsiTheme="minorHAnsi" w:cstheme="minorBidi"/>
              <w:noProof/>
              <w:lang w:eastAsia="en-GB"/>
            </w:rPr>
          </w:pPr>
          <w:hyperlink w:anchor="_Toc101516071" w:history="1">
            <w:r w:rsidRPr="008F3F9B">
              <w:rPr>
                <w:rStyle w:val="Hyperlink"/>
                <w:rFonts w:ascii="Arial" w:hAnsi="Arial" w:cs="Arial"/>
                <w:noProof/>
              </w:rPr>
              <w:t>2.</w:t>
            </w:r>
            <w:r>
              <w:rPr>
                <w:rFonts w:asciiTheme="minorHAnsi" w:eastAsiaTheme="minorEastAsia" w:hAnsiTheme="minorHAnsi" w:cstheme="minorBidi"/>
                <w:noProof/>
                <w:lang w:eastAsia="en-GB"/>
              </w:rPr>
              <w:tab/>
            </w:r>
            <w:r w:rsidRPr="008F3F9B">
              <w:rPr>
                <w:rStyle w:val="Hyperlink"/>
                <w:rFonts w:ascii="Arial" w:hAnsi="Arial" w:cs="Arial"/>
                <w:noProof/>
              </w:rPr>
              <w:t>SUPPORT TO OPERATIONS</w:t>
            </w:r>
            <w:r>
              <w:rPr>
                <w:noProof/>
                <w:webHidden/>
              </w:rPr>
              <w:tab/>
            </w:r>
            <w:r>
              <w:rPr>
                <w:noProof/>
                <w:webHidden/>
              </w:rPr>
              <w:fldChar w:fldCharType="begin"/>
            </w:r>
            <w:r>
              <w:rPr>
                <w:noProof/>
                <w:webHidden/>
              </w:rPr>
              <w:instrText xml:space="preserve"> PAGEREF _Toc101516071 \h </w:instrText>
            </w:r>
            <w:r>
              <w:rPr>
                <w:noProof/>
                <w:webHidden/>
              </w:rPr>
            </w:r>
            <w:r>
              <w:rPr>
                <w:noProof/>
                <w:webHidden/>
              </w:rPr>
              <w:fldChar w:fldCharType="separate"/>
            </w:r>
            <w:r>
              <w:rPr>
                <w:noProof/>
                <w:webHidden/>
              </w:rPr>
              <w:t>83</w:t>
            </w:r>
            <w:r>
              <w:rPr>
                <w:noProof/>
                <w:webHidden/>
              </w:rPr>
              <w:fldChar w:fldCharType="end"/>
            </w:r>
          </w:hyperlink>
        </w:p>
        <w:p w14:paraId="167FA997" w14:textId="564C20A4" w:rsidR="00A41D3F" w:rsidRDefault="00A41D3F">
          <w:pPr>
            <w:pStyle w:val="TOC3"/>
            <w:tabs>
              <w:tab w:val="left" w:pos="1100"/>
              <w:tab w:val="right" w:leader="dot" w:pos="9062"/>
            </w:tabs>
            <w:rPr>
              <w:rFonts w:asciiTheme="minorHAnsi" w:eastAsiaTheme="minorEastAsia" w:hAnsiTheme="minorHAnsi" w:cstheme="minorBidi"/>
              <w:noProof/>
              <w:lang w:eastAsia="en-GB"/>
            </w:rPr>
          </w:pPr>
          <w:hyperlink w:anchor="_Toc101516072" w:history="1">
            <w:r w:rsidRPr="008F3F9B">
              <w:rPr>
                <w:rStyle w:val="Hyperlink"/>
                <w:rFonts w:ascii="Arial" w:hAnsi="Arial" w:cs="Arial"/>
                <w:noProof/>
              </w:rPr>
              <w:t>2.1.</w:t>
            </w:r>
            <w:r>
              <w:rPr>
                <w:rFonts w:asciiTheme="minorHAnsi" w:eastAsiaTheme="minorEastAsia" w:hAnsiTheme="minorHAnsi" w:cstheme="minorBidi"/>
                <w:noProof/>
                <w:lang w:eastAsia="en-GB"/>
              </w:rPr>
              <w:tab/>
            </w:r>
            <w:r w:rsidRPr="008F3F9B">
              <w:rPr>
                <w:rStyle w:val="Hyperlink"/>
                <w:rFonts w:ascii="Arial" w:hAnsi="Arial" w:cs="Arial"/>
                <w:noProof/>
              </w:rPr>
              <w:t>Communication activities</w:t>
            </w:r>
            <w:r>
              <w:rPr>
                <w:noProof/>
                <w:webHidden/>
              </w:rPr>
              <w:tab/>
            </w:r>
            <w:r>
              <w:rPr>
                <w:noProof/>
                <w:webHidden/>
              </w:rPr>
              <w:fldChar w:fldCharType="begin"/>
            </w:r>
            <w:r>
              <w:rPr>
                <w:noProof/>
                <w:webHidden/>
              </w:rPr>
              <w:instrText xml:space="preserve"> PAGEREF _Toc101516072 \h </w:instrText>
            </w:r>
            <w:r>
              <w:rPr>
                <w:noProof/>
                <w:webHidden/>
              </w:rPr>
            </w:r>
            <w:r>
              <w:rPr>
                <w:noProof/>
                <w:webHidden/>
              </w:rPr>
              <w:fldChar w:fldCharType="separate"/>
            </w:r>
            <w:r>
              <w:rPr>
                <w:noProof/>
                <w:webHidden/>
              </w:rPr>
              <w:t>83</w:t>
            </w:r>
            <w:r>
              <w:rPr>
                <w:noProof/>
                <w:webHidden/>
              </w:rPr>
              <w:fldChar w:fldCharType="end"/>
            </w:r>
          </w:hyperlink>
        </w:p>
        <w:p w14:paraId="3A99BFC7" w14:textId="1B2C6081" w:rsidR="00A41D3F" w:rsidRDefault="00A41D3F">
          <w:pPr>
            <w:pStyle w:val="TOC3"/>
            <w:tabs>
              <w:tab w:val="left" w:pos="1100"/>
              <w:tab w:val="right" w:leader="dot" w:pos="9062"/>
            </w:tabs>
            <w:rPr>
              <w:rFonts w:asciiTheme="minorHAnsi" w:eastAsiaTheme="minorEastAsia" w:hAnsiTheme="minorHAnsi" w:cstheme="minorBidi"/>
              <w:noProof/>
              <w:lang w:eastAsia="en-GB"/>
            </w:rPr>
          </w:pPr>
          <w:hyperlink w:anchor="_Toc101516073" w:history="1">
            <w:r w:rsidRPr="008F3F9B">
              <w:rPr>
                <w:rStyle w:val="Hyperlink"/>
                <w:rFonts w:ascii="Arial" w:hAnsi="Arial" w:cs="Arial"/>
                <w:noProof/>
              </w:rPr>
              <w:t>2.2.</w:t>
            </w:r>
            <w:r>
              <w:rPr>
                <w:rFonts w:asciiTheme="minorHAnsi" w:eastAsiaTheme="minorEastAsia" w:hAnsiTheme="minorHAnsi" w:cstheme="minorBidi"/>
                <w:noProof/>
                <w:lang w:eastAsia="en-GB"/>
              </w:rPr>
              <w:tab/>
            </w:r>
            <w:r w:rsidRPr="008F3F9B">
              <w:rPr>
                <w:rStyle w:val="Hyperlink"/>
                <w:rFonts w:ascii="Arial" w:hAnsi="Arial" w:cs="Arial"/>
                <w:noProof/>
              </w:rPr>
              <w:t>Legal and financial framework</w:t>
            </w:r>
            <w:r>
              <w:rPr>
                <w:noProof/>
                <w:webHidden/>
              </w:rPr>
              <w:tab/>
            </w:r>
            <w:r>
              <w:rPr>
                <w:noProof/>
                <w:webHidden/>
              </w:rPr>
              <w:fldChar w:fldCharType="begin"/>
            </w:r>
            <w:r>
              <w:rPr>
                <w:noProof/>
                <w:webHidden/>
              </w:rPr>
              <w:instrText xml:space="preserve"> PAGEREF _Toc101516073 \h </w:instrText>
            </w:r>
            <w:r>
              <w:rPr>
                <w:noProof/>
                <w:webHidden/>
              </w:rPr>
            </w:r>
            <w:r>
              <w:rPr>
                <w:noProof/>
                <w:webHidden/>
              </w:rPr>
              <w:fldChar w:fldCharType="separate"/>
            </w:r>
            <w:r>
              <w:rPr>
                <w:noProof/>
                <w:webHidden/>
              </w:rPr>
              <w:t>100</w:t>
            </w:r>
            <w:r>
              <w:rPr>
                <w:noProof/>
                <w:webHidden/>
              </w:rPr>
              <w:fldChar w:fldCharType="end"/>
            </w:r>
          </w:hyperlink>
        </w:p>
        <w:p w14:paraId="375EF86E" w14:textId="67C2196F" w:rsidR="00A41D3F" w:rsidRDefault="00A41D3F">
          <w:pPr>
            <w:pStyle w:val="TOC3"/>
            <w:tabs>
              <w:tab w:val="left" w:pos="1100"/>
              <w:tab w:val="right" w:leader="dot" w:pos="9062"/>
            </w:tabs>
            <w:rPr>
              <w:rFonts w:asciiTheme="minorHAnsi" w:eastAsiaTheme="minorEastAsia" w:hAnsiTheme="minorHAnsi" w:cstheme="minorBidi"/>
              <w:noProof/>
              <w:lang w:eastAsia="en-GB"/>
            </w:rPr>
          </w:pPr>
          <w:hyperlink w:anchor="_Toc101516074" w:history="1">
            <w:r w:rsidRPr="008F3F9B">
              <w:rPr>
                <w:rStyle w:val="Hyperlink"/>
                <w:rFonts w:ascii="Arial" w:hAnsi="Arial" w:cs="Arial"/>
                <w:noProof/>
              </w:rPr>
              <w:t>2.3.</w:t>
            </w:r>
            <w:r>
              <w:rPr>
                <w:rFonts w:asciiTheme="minorHAnsi" w:eastAsiaTheme="minorEastAsia" w:hAnsiTheme="minorHAnsi" w:cstheme="minorBidi"/>
                <w:noProof/>
                <w:lang w:eastAsia="en-GB"/>
              </w:rPr>
              <w:tab/>
            </w:r>
            <w:r w:rsidRPr="008F3F9B">
              <w:rPr>
                <w:rStyle w:val="Hyperlink"/>
                <w:rFonts w:ascii="Arial" w:hAnsi="Arial" w:cs="Arial"/>
                <w:noProof/>
              </w:rPr>
              <w:t xml:space="preserve">Budgetary and financial management </w:t>
            </w:r>
            <w:r>
              <w:rPr>
                <w:noProof/>
                <w:webHidden/>
              </w:rPr>
              <w:tab/>
            </w:r>
            <w:r>
              <w:rPr>
                <w:noProof/>
                <w:webHidden/>
              </w:rPr>
              <w:fldChar w:fldCharType="begin"/>
            </w:r>
            <w:r>
              <w:rPr>
                <w:noProof/>
                <w:webHidden/>
              </w:rPr>
              <w:instrText xml:space="preserve"> PAGEREF _Toc101516074 \h </w:instrText>
            </w:r>
            <w:r>
              <w:rPr>
                <w:noProof/>
                <w:webHidden/>
              </w:rPr>
            </w:r>
            <w:r>
              <w:rPr>
                <w:noProof/>
                <w:webHidden/>
              </w:rPr>
              <w:fldChar w:fldCharType="separate"/>
            </w:r>
            <w:r>
              <w:rPr>
                <w:noProof/>
                <w:webHidden/>
              </w:rPr>
              <w:t>101</w:t>
            </w:r>
            <w:r>
              <w:rPr>
                <w:noProof/>
                <w:webHidden/>
              </w:rPr>
              <w:fldChar w:fldCharType="end"/>
            </w:r>
          </w:hyperlink>
        </w:p>
        <w:p w14:paraId="516D6435" w14:textId="537B3A1B" w:rsidR="00A41D3F" w:rsidRDefault="00A41D3F">
          <w:pPr>
            <w:pStyle w:val="TOC3"/>
            <w:tabs>
              <w:tab w:val="left" w:pos="1100"/>
              <w:tab w:val="right" w:leader="dot" w:pos="9062"/>
            </w:tabs>
            <w:rPr>
              <w:rFonts w:asciiTheme="minorHAnsi" w:eastAsiaTheme="minorEastAsia" w:hAnsiTheme="minorHAnsi" w:cstheme="minorBidi"/>
              <w:noProof/>
              <w:lang w:eastAsia="en-GB"/>
            </w:rPr>
          </w:pPr>
          <w:hyperlink w:anchor="_Toc101516075" w:history="1">
            <w:r w:rsidRPr="008F3F9B">
              <w:rPr>
                <w:rStyle w:val="Hyperlink"/>
                <w:noProof/>
              </w:rPr>
              <w:t>2.4.</w:t>
            </w:r>
            <w:r>
              <w:rPr>
                <w:rFonts w:asciiTheme="minorHAnsi" w:eastAsiaTheme="minorEastAsia" w:hAnsiTheme="minorHAnsi" w:cstheme="minorBidi"/>
                <w:noProof/>
                <w:lang w:eastAsia="en-GB"/>
              </w:rPr>
              <w:tab/>
            </w:r>
            <w:r w:rsidRPr="008F3F9B">
              <w:rPr>
                <w:rStyle w:val="Hyperlink"/>
                <w:noProof/>
              </w:rPr>
              <w:t>Procurement and contracts</w:t>
            </w:r>
            <w:r>
              <w:rPr>
                <w:noProof/>
                <w:webHidden/>
              </w:rPr>
              <w:tab/>
            </w:r>
            <w:r>
              <w:rPr>
                <w:noProof/>
                <w:webHidden/>
              </w:rPr>
              <w:fldChar w:fldCharType="begin"/>
            </w:r>
            <w:r>
              <w:rPr>
                <w:noProof/>
                <w:webHidden/>
              </w:rPr>
              <w:instrText xml:space="preserve"> PAGEREF _Toc101516075 \h </w:instrText>
            </w:r>
            <w:r>
              <w:rPr>
                <w:noProof/>
                <w:webHidden/>
              </w:rPr>
            </w:r>
            <w:r>
              <w:rPr>
                <w:noProof/>
                <w:webHidden/>
              </w:rPr>
              <w:fldChar w:fldCharType="separate"/>
            </w:r>
            <w:r>
              <w:rPr>
                <w:noProof/>
                <w:webHidden/>
              </w:rPr>
              <w:t>110</w:t>
            </w:r>
            <w:r>
              <w:rPr>
                <w:noProof/>
                <w:webHidden/>
              </w:rPr>
              <w:fldChar w:fldCharType="end"/>
            </w:r>
          </w:hyperlink>
        </w:p>
        <w:p w14:paraId="6CAA33B2" w14:textId="7C669002" w:rsidR="00A41D3F" w:rsidRDefault="00A41D3F">
          <w:pPr>
            <w:pStyle w:val="TOC3"/>
            <w:tabs>
              <w:tab w:val="left" w:pos="1100"/>
              <w:tab w:val="right" w:leader="dot" w:pos="9062"/>
            </w:tabs>
            <w:rPr>
              <w:rFonts w:asciiTheme="minorHAnsi" w:eastAsiaTheme="minorEastAsia" w:hAnsiTheme="minorHAnsi" w:cstheme="minorBidi"/>
              <w:noProof/>
              <w:lang w:eastAsia="en-GB"/>
            </w:rPr>
          </w:pPr>
          <w:hyperlink w:anchor="_Toc101516076" w:history="1">
            <w:r w:rsidRPr="008F3F9B">
              <w:rPr>
                <w:rStyle w:val="Hyperlink"/>
                <w:rFonts w:ascii="Arial" w:hAnsi="Arial" w:cs="Arial"/>
                <w:noProof/>
              </w:rPr>
              <w:t>2.5.</w:t>
            </w:r>
            <w:r>
              <w:rPr>
                <w:rFonts w:asciiTheme="minorHAnsi" w:eastAsiaTheme="minorEastAsia" w:hAnsiTheme="minorHAnsi" w:cstheme="minorBidi"/>
                <w:noProof/>
                <w:lang w:eastAsia="en-GB"/>
              </w:rPr>
              <w:tab/>
            </w:r>
            <w:r w:rsidRPr="008F3F9B">
              <w:rPr>
                <w:rStyle w:val="Hyperlink"/>
                <w:rFonts w:ascii="Arial" w:hAnsi="Arial" w:cs="Arial"/>
                <w:noProof/>
              </w:rPr>
              <w:t>IT and logistics</w:t>
            </w:r>
            <w:r>
              <w:rPr>
                <w:noProof/>
                <w:webHidden/>
              </w:rPr>
              <w:tab/>
            </w:r>
            <w:r>
              <w:rPr>
                <w:noProof/>
                <w:webHidden/>
              </w:rPr>
              <w:fldChar w:fldCharType="begin"/>
            </w:r>
            <w:r>
              <w:rPr>
                <w:noProof/>
                <w:webHidden/>
              </w:rPr>
              <w:instrText xml:space="preserve"> PAGEREF _Toc101516076 \h </w:instrText>
            </w:r>
            <w:r>
              <w:rPr>
                <w:noProof/>
                <w:webHidden/>
              </w:rPr>
            </w:r>
            <w:r>
              <w:rPr>
                <w:noProof/>
                <w:webHidden/>
              </w:rPr>
              <w:fldChar w:fldCharType="separate"/>
            </w:r>
            <w:r>
              <w:rPr>
                <w:noProof/>
                <w:webHidden/>
              </w:rPr>
              <w:t>112</w:t>
            </w:r>
            <w:r>
              <w:rPr>
                <w:noProof/>
                <w:webHidden/>
              </w:rPr>
              <w:fldChar w:fldCharType="end"/>
            </w:r>
          </w:hyperlink>
        </w:p>
        <w:p w14:paraId="588E29D3" w14:textId="129B1585" w:rsidR="00A41D3F" w:rsidRDefault="00A41D3F">
          <w:pPr>
            <w:pStyle w:val="TOC3"/>
            <w:tabs>
              <w:tab w:val="left" w:pos="1100"/>
              <w:tab w:val="right" w:leader="dot" w:pos="9062"/>
            </w:tabs>
            <w:rPr>
              <w:rFonts w:asciiTheme="minorHAnsi" w:eastAsiaTheme="minorEastAsia" w:hAnsiTheme="minorHAnsi" w:cstheme="minorBidi"/>
              <w:noProof/>
              <w:lang w:eastAsia="en-GB"/>
            </w:rPr>
          </w:pPr>
          <w:hyperlink w:anchor="_Toc101516077" w:history="1">
            <w:r w:rsidRPr="008F3F9B">
              <w:rPr>
                <w:rStyle w:val="Hyperlink"/>
                <w:rFonts w:ascii="Arial" w:hAnsi="Arial" w:cs="Arial"/>
                <w:noProof/>
              </w:rPr>
              <w:t>2.6.</w:t>
            </w:r>
            <w:r>
              <w:rPr>
                <w:rFonts w:asciiTheme="minorHAnsi" w:eastAsiaTheme="minorEastAsia" w:hAnsiTheme="minorHAnsi" w:cstheme="minorBidi"/>
                <w:noProof/>
                <w:lang w:eastAsia="en-GB"/>
              </w:rPr>
              <w:tab/>
            </w:r>
            <w:r w:rsidRPr="008F3F9B">
              <w:rPr>
                <w:rStyle w:val="Hyperlink"/>
                <w:rFonts w:ascii="Arial" w:hAnsi="Arial" w:cs="Arial"/>
                <w:noProof/>
              </w:rPr>
              <w:t>Human Resources</w:t>
            </w:r>
            <w:r>
              <w:rPr>
                <w:noProof/>
                <w:webHidden/>
              </w:rPr>
              <w:tab/>
            </w:r>
            <w:r>
              <w:rPr>
                <w:noProof/>
                <w:webHidden/>
              </w:rPr>
              <w:fldChar w:fldCharType="begin"/>
            </w:r>
            <w:r>
              <w:rPr>
                <w:noProof/>
                <w:webHidden/>
              </w:rPr>
              <w:instrText xml:space="preserve"> PAGEREF _Toc101516077 \h </w:instrText>
            </w:r>
            <w:r>
              <w:rPr>
                <w:noProof/>
                <w:webHidden/>
              </w:rPr>
            </w:r>
            <w:r>
              <w:rPr>
                <w:noProof/>
                <w:webHidden/>
              </w:rPr>
              <w:fldChar w:fldCharType="separate"/>
            </w:r>
            <w:r>
              <w:rPr>
                <w:noProof/>
                <w:webHidden/>
              </w:rPr>
              <w:t>114</w:t>
            </w:r>
            <w:r>
              <w:rPr>
                <w:noProof/>
                <w:webHidden/>
              </w:rPr>
              <w:fldChar w:fldCharType="end"/>
            </w:r>
          </w:hyperlink>
        </w:p>
        <w:p w14:paraId="60E76EB9" w14:textId="67CDDCAB" w:rsidR="00A41D3F" w:rsidRDefault="00A41D3F">
          <w:pPr>
            <w:pStyle w:val="TOC1"/>
            <w:tabs>
              <w:tab w:val="left" w:pos="440"/>
              <w:tab w:val="right" w:leader="dot" w:pos="9062"/>
            </w:tabs>
            <w:rPr>
              <w:rFonts w:asciiTheme="minorHAnsi" w:eastAsiaTheme="minorEastAsia" w:hAnsiTheme="minorHAnsi" w:cstheme="minorBidi"/>
              <w:noProof/>
              <w:lang w:eastAsia="en-GB"/>
            </w:rPr>
          </w:pPr>
          <w:hyperlink w:anchor="_Toc101516078" w:history="1">
            <w:r w:rsidRPr="008F3F9B">
              <w:rPr>
                <w:rStyle w:val="Hyperlink"/>
                <w:noProof/>
              </w:rPr>
              <w:t>3.</w:t>
            </w:r>
            <w:r>
              <w:rPr>
                <w:rFonts w:asciiTheme="minorHAnsi" w:eastAsiaTheme="minorEastAsia" w:hAnsiTheme="minorHAnsi" w:cstheme="minorBidi"/>
                <w:noProof/>
                <w:lang w:eastAsia="en-GB"/>
              </w:rPr>
              <w:tab/>
            </w:r>
            <w:r w:rsidRPr="008F3F9B">
              <w:rPr>
                <w:rStyle w:val="Hyperlink"/>
                <w:noProof/>
              </w:rPr>
              <w:t>GOVERNANCE</w:t>
            </w:r>
            <w:r>
              <w:rPr>
                <w:noProof/>
                <w:webHidden/>
              </w:rPr>
              <w:tab/>
            </w:r>
            <w:r>
              <w:rPr>
                <w:noProof/>
                <w:webHidden/>
              </w:rPr>
              <w:fldChar w:fldCharType="begin"/>
            </w:r>
            <w:r>
              <w:rPr>
                <w:noProof/>
                <w:webHidden/>
              </w:rPr>
              <w:instrText xml:space="preserve"> PAGEREF _Toc101516078 \h </w:instrText>
            </w:r>
            <w:r>
              <w:rPr>
                <w:noProof/>
                <w:webHidden/>
              </w:rPr>
            </w:r>
            <w:r>
              <w:rPr>
                <w:noProof/>
                <w:webHidden/>
              </w:rPr>
              <w:fldChar w:fldCharType="separate"/>
            </w:r>
            <w:r>
              <w:rPr>
                <w:noProof/>
                <w:webHidden/>
              </w:rPr>
              <w:t>117</w:t>
            </w:r>
            <w:r>
              <w:rPr>
                <w:noProof/>
                <w:webHidden/>
              </w:rPr>
              <w:fldChar w:fldCharType="end"/>
            </w:r>
          </w:hyperlink>
        </w:p>
        <w:p w14:paraId="298F9EB4" w14:textId="03ABED21" w:rsidR="00A41D3F" w:rsidRDefault="00A41D3F">
          <w:pPr>
            <w:pStyle w:val="TOC3"/>
            <w:tabs>
              <w:tab w:val="left" w:pos="1100"/>
              <w:tab w:val="right" w:leader="dot" w:pos="9062"/>
            </w:tabs>
            <w:rPr>
              <w:rFonts w:asciiTheme="minorHAnsi" w:eastAsiaTheme="minorEastAsia" w:hAnsiTheme="minorHAnsi" w:cstheme="minorBidi"/>
              <w:noProof/>
              <w:lang w:eastAsia="en-GB"/>
            </w:rPr>
          </w:pPr>
          <w:hyperlink w:anchor="_Toc101516079" w:history="1">
            <w:r w:rsidRPr="008F3F9B">
              <w:rPr>
                <w:rStyle w:val="Hyperlink"/>
                <w:noProof/>
              </w:rPr>
              <w:t>3.1.</w:t>
            </w:r>
            <w:r>
              <w:rPr>
                <w:rFonts w:asciiTheme="minorHAnsi" w:eastAsiaTheme="minorEastAsia" w:hAnsiTheme="minorHAnsi" w:cstheme="minorBidi"/>
                <w:noProof/>
                <w:lang w:eastAsia="en-GB"/>
              </w:rPr>
              <w:tab/>
            </w:r>
            <w:r w:rsidRPr="008F3F9B">
              <w:rPr>
                <w:rStyle w:val="Hyperlink"/>
                <w:noProof/>
              </w:rPr>
              <w:t>Governing Board</w:t>
            </w:r>
            <w:r>
              <w:rPr>
                <w:noProof/>
                <w:webHidden/>
              </w:rPr>
              <w:tab/>
            </w:r>
            <w:r>
              <w:rPr>
                <w:noProof/>
                <w:webHidden/>
              </w:rPr>
              <w:fldChar w:fldCharType="begin"/>
            </w:r>
            <w:r>
              <w:rPr>
                <w:noProof/>
                <w:webHidden/>
              </w:rPr>
              <w:instrText xml:space="preserve"> PAGEREF _Toc101516079 \h </w:instrText>
            </w:r>
            <w:r>
              <w:rPr>
                <w:noProof/>
                <w:webHidden/>
              </w:rPr>
            </w:r>
            <w:r>
              <w:rPr>
                <w:noProof/>
                <w:webHidden/>
              </w:rPr>
              <w:fldChar w:fldCharType="separate"/>
            </w:r>
            <w:r>
              <w:rPr>
                <w:noProof/>
                <w:webHidden/>
              </w:rPr>
              <w:t>117</w:t>
            </w:r>
            <w:r>
              <w:rPr>
                <w:noProof/>
                <w:webHidden/>
              </w:rPr>
              <w:fldChar w:fldCharType="end"/>
            </w:r>
          </w:hyperlink>
        </w:p>
        <w:p w14:paraId="05C81DA9" w14:textId="67E63D22" w:rsidR="00A41D3F" w:rsidRDefault="00A41D3F">
          <w:pPr>
            <w:pStyle w:val="TOC3"/>
            <w:tabs>
              <w:tab w:val="left" w:pos="1100"/>
              <w:tab w:val="right" w:leader="dot" w:pos="9062"/>
            </w:tabs>
            <w:rPr>
              <w:rFonts w:asciiTheme="minorHAnsi" w:eastAsiaTheme="minorEastAsia" w:hAnsiTheme="minorHAnsi" w:cstheme="minorBidi"/>
              <w:noProof/>
              <w:lang w:eastAsia="en-GB"/>
            </w:rPr>
          </w:pPr>
          <w:hyperlink w:anchor="_Toc101516080" w:history="1">
            <w:r w:rsidRPr="008F3F9B">
              <w:rPr>
                <w:rStyle w:val="Hyperlink"/>
                <w:noProof/>
              </w:rPr>
              <w:t>3.2.</w:t>
            </w:r>
            <w:r>
              <w:rPr>
                <w:rFonts w:asciiTheme="minorHAnsi" w:eastAsiaTheme="minorEastAsia" w:hAnsiTheme="minorHAnsi" w:cstheme="minorBidi"/>
                <w:noProof/>
                <w:lang w:eastAsia="en-GB"/>
              </w:rPr>
              <w:tab/>
            </w:r>
            <w:r w:rsidRPr="008F3F9B">
              <w:rPr>
                <w:rStyle w:val="Hyperlink"/>
                <w:noProof/>
              </w:rPr>
              <w:t>Executive Director</w:t>
            </w:r>
            <w:r>
              <w:rPr>
                <w:noProof/>
                <w:webHidden/>
              </w:rPr>
              <w:tab/>
            </w:r>
            <w:r>
              <w:rPr>
                <w:noProof/>
                <w:webHidden/>
              </w:rPr>
              <w:fldChar w:fldCharType="begin"/>
            </w:r>
            <w:r>
              <w:rPr>
                <w:noProof/>
                <w:webHidden/>
              </w:rPr>
              <w:instrText xml:space="preserve"> PAGEREF _Toc101516080 \h </w:instrText>
            </w:r>
            <w:r>
              <w:rPr>
                <w:noProof/>
                <w:webHidden/>
              </w:rPr>
            </w:r>
            <w:r>
              <w:rPr>
                <w:noProof/>
                <w:webHidden/>
              </w:rPr>
              <w:fldChar w:fldCharType="separate"/>
            </w:r>
            <w:r>
              <w:rPr>
                <w:noProof/>
                <w:webHidden/>
              </w:rPr>
              <w:t>119</w:t>
            </w:r>
            <w:r>
              <w:rPr>
                <w:noProof/>
                <w:webHidden/>
              </w:rPr>
              <w:fldChar w:fldCharType="end"/>
            </w:r>
          </w:hyperlink>
        </w:p>
        <w:p w14:paraId="69268DB2" w14:textId="7D3FB84F" w:rsidR="00A41D3F" w:rsidRDefault="00A41D3F">
          <w:pPr>
            <w:pStyle w:val="TOC3"/>
            <w:tabs>
              <w:tab w:val="left" w:pos="1100"/>
              <w:tab w:val="right" w:leader="dot" w:pos="9062"/>
            </w:tabs>
            <w:rPr>
              <w:rFonts w:asciiTheme="minorHAnsi" w:eastAsiaTheme="minorEastAsia" w:hAnsiTheme="minorHAnsi" w:cstheme="minorBidi"/>
              <w:noProof/>
              <w:lang w:eastAsia="en-GB"/>
            </w:rPr>
          </w:pPr>
          <w:hyperlink w:anchor="_Toc101516081" w:history="1">
            <w:r w:rsidRPr="008F3F9B">
              <w:rPr>
                <w:rStyle w:val="Hyperlink"/>
                <w:noProof/>
              </w:rPr>
              <w:t>3.3.</w:t>
            </w:r>
            <w:r>
              <w:rPr>
                <w:rFonts w:asciiTheme="minorHAnsi" w:eastAsiaTheme="minorEastAsia" w:hAnsiTheme="minorHAnsi" w:cstheme="minorBidi"/>
                <w:noProof/>
                <w:lang w:eastAsia="en-GB"/>
              </w:rPr>
              <w:tab/>
            </w:r>
            <w:r w:rsidRPr="008F3F9B">
              <w:rPr>
                <w:rStyle w:val="Hyperlink"/>
                <w:noProof/>
              </w:rPr>
              <w:t>States Representatives Group</w:t>
            </w:r>
            <w:r>
              <w:rPr>
                <w:noProof/>
                <w:webHidden/>
              </w:rPr>
              <w:tab/>
            </w:r>
            <w:r>
              <w:rPr>
                <w:noProof/>
                <w:webHidden/>
              </w:rPr>
              <w:fldChar w:fldCharType="begin"/>
            </w:r>
            <w:r>
              <w:rPr>
                <w:noProof/>
                <w:webHidden/>
              </w:rPr>
              <w:instrText xml:space="preserve"> PAGEREF _Toc101516081 \h </w:instrText>
            </w:r>
            <w:r>
              <w:rPr>
                <w:noProof/>
                <w:webHidden/>
              </w:rPr>
            </w:r>
            <w:r>
              <w:rPr>
                <w:noProof/>
                <w:webHidden/>
              </w:rPr>
              <w:fldChar w:fldCharType="separate"/>
            </w:r>
            <w:r>
              <w:rPr>
                <w:noProof/>
                <w:webHidden/>
              </w:rPr>
              <w:t>119</w:t>
            </w:r>
            <w:r>
              <w:rPr>
                <w:noProof/>
                <w:webHidden/>
              </w:rPr>
              <w:fldChar w:fldCharType="end"/>
            </w:r>
          </w:hyperlink>
        </w:p>
        <w:p w14:paraId="0716D370" w14:textId="18EBAF01" w:rsidR="00A41D3F" w:rsidRDefault="00A41D3F">
          <w:pPr>
            <w:pStyle w:val="TOC3"/>
            <w:tabs>
              <w:tab w:val="left" w:pos="1100"/>
              <w:tab w:val="right" w:leader="dot" w:pos="9062"/>
            </w:tabs>
            <w:rPr>
              <w:rFonts w:asciiTheme="minorHAnsi" w:eastAsiaTheme="minorEastAsia" w:hAnsiTheme="minorHAnsi" w:cstheme="minorBidi"/>
              <w:noProof/>
              <w:lang w:eastAsia="en-GB"/>
            </w:rPr>
          </w:pPr>
          <w:hyperlink w:anchor="_Toc101516082" w:history="1">
            <w:r w:rsidRPr="008F3F9B">
              <w:rPr>
                <w:rStyle w:val="Hyperlink"/>
                <w:noProof/>
              </w:rPr>
              <w:t>3.4.</w:t>
            </w:r>
            <w:r>
              <w:rPr>
                <w:rFonts w:asciiTheme="minorHAnsi" w:eastAsiaTheme="minorEastAsia" w:hAnsiTheme="minorHAnsi" w:cstheme="minorBidi"/>
                <w:noProof/>
                <w:lang w:eastAsia="en-GB"/>
              </w:rPr>
              <w:tab/>
            </w:r>
            <w:r w:rsidRPr="008F3F9B">
              <w:rPr>
                <w:rStyle w:val="Hyperlink"/>
                <w:noProof/>
              </w:rPr>
              <w:t>Scientific Committee</w:t>
            </w:r>
            <w:r>
              <w:rPr>
                <w:noProof/>
                <w:webHidden/>
              </w:rPr>
              <w:tab/>
            </w:r>
            <w:r>
              <w:rPr>
                <w:noProof/>
                <w:webHidden/>
              </w:rPr>
              <w:fldChar w:fldCharType="begin"/>
            </w:r>
            <w:r>
              <w:rPr>
                <w:noProof/>
                <w:webHidden/>
              </w:rPr>
              <w:instrText xml:space="preserve"> PAGEREF _Toc101516082 \h </w:instrText>
            </w:r>
            <w:r>
              <w:rPr>
                <w:noProof/>
                <w:webHidden/>
              </w:rPr>
            </w:r>
            <w:r>
              <w:rPr>
                <w:noProof/>
                <w:webHidden/>
              </w:rPr>
              <w:fldChar w:fldCharType="separate"/>
            </w:r>
            <w:r>
              <w:rPr>
                <w:noProof/>
                <w:webHidden/>
              </w:rPr>
              <w:t>119</w:t>
            </w:r>
            <w:r>
              <w:rPr>
                <w:noProof/>
                <w:webHidden/>
              </w:rPr>
              <w:fldChar w:fldCharType="end"/>
            </w:r>
          </w:hyperlink>
        </w:p>
        <w:p w14:paraId="11BA2723" w14:textId="49E1ED4D" w:rsidR="00A41D3F" w:rsidRDefault="00A41D3F">
          <w:pPr>
            <w:pStyle w:val="TOC3"/>
            <w:tabs>
              <w:tab w:val="left" w:pos="1100"/>
              <w:tab w:val="right" w:leader="dot" w:pos="9062"/>
            </w:tabs>
            <w:rPr>
              <w:rFonts w:asciiTheme="minorHAnsi" w:eastAsiaTheme="minorEastAsia" w:hAnsiTheme="minorHAnsi" w:cstheme="minorBidi"/>
              <w:noProof/>
              <w:lang w:eastAsia="en-GB"/>
            </w:rPr>
          </w:pPr>
          <w:hyperlink w:anchor="_Toc101516083" w:history="1">
            <w:r w:rsidRPr="008F3F9B">
              <w:rPr>
                <w:rStyle w:val="Hyperlink"/>
                <w:noProof/>
              </w:rPr>
              <w:t>3.5.</w:t>
            </w:r>
            <w:r>
              <w:rPr>
                <w:rFonts w:asciiTheme="minorHAnsi" w:eastAsiaTheme="minorEastAsia" w:hAnsiTheme="minorHAnsi" w:cstheme="minorBidi"/>
                <w:noProof/>
                <w:lang w:eastAsia="en-GB"/>
              </w:rPr>
              <w:tab/>
            </w:r>
            <w:r w:rsidRPr="008F3F9B">
              <w:rPr>
                <w:rStyle w:val="Hyperlink"/>
                <w:noProof/>
              </w:rPr>
              <w:t>Stakeholders Forum</w:t>
            </w:r>
            <w:r>
              <w:rPr>
                <w:noProof/>
                <w:webHidden/>
              </w:rPr>
              <w:tab/>
            </w:r>
            <w:r>
              <w:rPr>
                <w:noProof/>
                <w:webHidden/>
              </w:rPr>
              <w:fldChar w:fldCharType="begin"/>
            </w:r>
            <w:r>
              <w:rPr>
                <w:noProof/>
                <w:webHidden/>
              </w:rPr>
              <w:instrText xml:space="preserve"> PAGEREF _Toc101516083 \h </w:instrText>
            </w:r>
            <w:r>
              <w:rPr>
                <w:noProof/>
                <w:webHidden/>
              </w:rPr>
            </w:r>
            <w:r>
              <w:rPr>
                <w:noProof/>
                <w:webHidden/>
              </w:rPr>
              <w:fldChar w:fldCharType="separate"/>
            </w:r>
            <w:r>
              <w:rPr>
                <w:noProof/>
                <w:webHidden/>
              </w:rPr>
              <w:t>119</w:t>
            </w:r>
            <w:r>
              <w:rPr>
                <w:noProof/>
                <w:webHidden/>
              </w:rPr>
              <w:fldChar w:fldCharType="end"/>
            </w:r>
          </w:hyperlink>
        </w:p>
        <w:p w14:paraId="2D7C2D14" w14:textId="537ADC88" w:rsidR="00A41D3F" w:rsidRDefault="00A41D3F">
          <w:pPr>
            <w:pStyle w:val="TOC3"/>
            <w:tabs>
              <w:tab w:val="left" w:pos="1100"/>
              <w:tab w:val="right" w:leader="dot" w:pos="9062"/>
            </w:tabs>
            <w:rPr>
              <w:rFonts w:asciiTheme="minorHAnsi" w:eastAsiaTheme="minorEastAsia" w:hAnsiTheme="minorHAnsi" w:cstheme="minorBidi"/>
              <w:noProof/>
              <w:lang w:eastAsia="en-GB"/>
            </w:rPr>
          </w:pPr>
          <w:hyperlink w:anchor="_Toc101516084" w:history="1">
            <w:r w:rsidRPr="008F3F9B">
              <w:rPr>
                <w:rStyle w:val="Hyperlink"/>
                <w:noProof/>
              </w:rPr>
              <w:t>3.6.</w:t>
            </w:r>
            <w:r>
              <w:rPr>
                <w:rFonts w:asciiTheme="minorHAnsi" w:eastAsiaTheme="minorEastAsia" w:hAnsiTheme="minorHAnsi" w:cstheme="minorBidi"/>
                <w:noProof/>
                <w:lang w:eastAsia="en-GB"/>
              </w:rPr>
              <w:tab/>
            </w:r>
            <w:r w:rsidRPr="008F3F9B">
              <w:rPr>
                <w:rStyle w:val="Hyperlink"/>
                <w:noProof/>
              </w:rPr>
              <w:t>Preparation of Stakeholders Group</w:t>
            </w:r>
            <w:r>
              <w:rPr>
                <w:noProof/>
                <w:webHidden/>
              </w:rPr>
              <w:tab/>
            </w:r>
            <w:r>
              <w:rPr>
                <w:noProof/>
                <w:webHidden/>
              </w:rPr>
              <w:fldChar w:fldCharType="begin"/>
            </w:r>
            <w:r>
              <w:rPr>
                <w:noProof/>
                <w:webHidden/>
              </w:rPr>
              <w:instrText xml:space="preserve"> PAGEREF _Toc101516084 \h </w:instrText>
            </w:r>
            <w:r>
              <w:rPr>
                <w:noProof/>
                <w:webHidden/>
              </w:rPr>
            </w:r>
            <w:r>
              <w:rPr>
                <w:noProof/>
                <w:webHidden/>
              </w:rPr>
              <w:fldChar w:fldCharType="separate"/>
            </w:r>
            <w:r>
              <w:rPr>
                <w:noProof/>
                <w:webHidden/>
              </w:rPr>
              <w:t>120</w:t>
            </w:r>
            <w:r>
              <w:rPr>
                <w:noProof/>
                <w:webHidden/>
              </w:rPr>
              <w:fldChar w:fldCharType="end"/>
            </w:r>
          </w:hyperlink>
        </w:p>
        <w:p w14:paraId="0FDA170F" w14:textId="267C2061" w:rsidR="00A41D3F" w:rsidRDefault="00A41D3F">
          <w:pPr>
            <w:pStyle w:val="TOC1"/>
            <w:tabs>
              <w:tab w:val="left" w:pos="440"/>
              <w:tab w:val="right" w:leader="dot" w:pos="9062"/>
            </w:tabs>
            <w:rPr>
              <w:rFonts w:asciiTheme="minorHAnsi" w:eastAsiaTheme="minorEastAsia" w:hAnsiTheme="minorHAnsi" w:cstheme="minorBidi"/>
              <w:noProof/>
              <w:lang w:eastAsia="en-GB"/>
            </w:rPr>
          </w:pPr>
          <w:hyperlink w:anchor="_Toc101516085" w:history="1">
            <w:r w:rsidRPr="008F3F9B">
              <w:rPr>
                <w:rStyle w:val="Hyperlink"/>
                <w:noProof/>
              </w:rPr>
              <w:t>4.</w:t>
            </w:r>
            <w:r>
              <w:rPr>
                <w:rFonts w:asciiTheme="minorHAnsi" w:eastAsiaTheme="minorEastAsia" w:hAnsiTheme="minorHAnsi" w:cstheme="minorBidi"/>
                <w:noProof/>
                <w:lang w:eastAsia="en-GB"/>
              </w:rPr>
              <w:tab/>
            </w:r>
            <w:r w:rsidRPr="008F3F9B">
              <w:rPr>
                <w:rStyle w:val="Hyperlink"/>
                <w:noProof/>
              </w:rPr>
              <w:t>INTERNAL CONTROL FRAMEWORK</w:t>
            </w:r>
            <w:r>
              <w:rPr>
                <w:noProof/>
                <w:webHidden/>
              </w:rPr>
              <w:tab/>
            </w:r>
            <w:r>
              <w:rPr>
                <w:noProof/>
                <w:webHidden/>
              </w:rPr>
              <w:fldChar w:fldCharType="begin"/>
            </w:r>
            <w:r>
              <w:rPr>
                <w:noProof/>
                <w:webHidden/>
              </w:rPr>
              <w:instrText xml:space="preserve"> PAGEREF _Toc101516085 \h </w:instrText>
            </w:r>
            <w:r>
              <w:rPr>
                <w:noProof/>
                <w:webHidden/>
              </w:rPr>
            </w:r>
            <w:r>
              <w:rPr>
                <w:noProof/>
                <w:webHidden/>
              </w:rPr>
              <w:fldChar w:fldCharType="separate"/>
            </w:r>
            <w:r>
              <w:rPr>
                <w:noProof/>
                <w:webHidden/>
              </w:rPr>
              <w:t>121</w:t>
            </w:r>
            <w:r>
              <w:rPr>
                <w:noProof/>
                <w:webHidden/>
              </w:rPr>
              <w:fldChar w:fldCharType="end"/>
            </w:r>
          </w:hyperlink>
        </w:p>
        <w:p w14:paraId="3CB3562B" w14:textId="56001544" w:rsidR="00A41D3F" w:rsidRDefault="00A41D3F">
          <w:pPr>
            <w:pStyle w:val="TOC3"/>
            <w:tabs>
              <w:tab w:val="left" w:pos="1100"/>
              <w:tab w:val="right" w:leader="dot" w:pos="9062"/>
            </w:tabs>
            <w:rPr>
              <w:rFonts w:asciiTheme="minorHAnsi" w:eastAsiaTheme="minorEastAsia" w:hAnsiTheme="minorHAnsi" w:cstheme="minorBidi"/>
              <w:noProof/>
              <w:lang w:eastAsia="en-GB"/>
            </w:rPr>
          </w:pPr>
          <w:hyperlink w:anchor="_Toc101516086" w:history="1">
            <w:r w:rsidRPr="008F3F9B">
              <w:rPr>
                <w:rStyle w:val="Hyperlink"/>
                <w:noProof/>
              </w:rPr>
              <w:t>4.1.</w:t>
            </w:r>
            <w:r>
              <w:rPr>
                <w:rFonts w:asciiTheme="minorHAnsi" w:eastAsiaTheme="minorEastAsia" w:hAnsiTheme="minorHAnsi" w:cstheme="minorBidi"/>
                <w:noProof/>
                <w:lang w:eastAsia="en-GB"/>
              </w:rPr>
              <w:tab/>
            </w:r>
            <w:r w:rsidRPr="008F3F9B">
              <w:rPr>
                <w:rStyle w:val="Hyperlink"/>
                <w:noProof/>
              </w:rPr>
              <w:t>Financial Procedures</w:t>
            </w:r>
            <w:r>
              <w:rPr>
                <w:noProof/>
                <w:webHidden/>
              </w:rPr>
              <w:tab/>
            </w:r>
            <w:r>
              <w:rPr>
                <w:noProof/>
                <w:webHidden/>
              </w:rPr>
              <w:fldChar w:fldCharType="begin"/>
            </w:r>
            <w:r>
              <w:rPr>
                <w:noProof/>
                <w:webHidden/>
              </w:rPr>
              <w:instrText xml:space="preserve"> PAGEREF _Toc101516086 \h </w:instrText>
            </w:r>
            <w:r>
              <w:rPr>
                <w:noProof/>
                <w:webHidden/>
              </w:rPr>
            </w:r>
            <w:r>
              <w:rPr>
                <w:noProof/>
                <w:webHidden/>
              </w:rPr>
              <w:fldChar w:fldCharType="separate"/>
            </w:r>
            <w:r>
              <w:rPr>
                <w:noProof/>
                <w:webHidden/>
              </w:rPr>
              <w:t>121</w:t>
            </w:r>
            <w:r>
              <w:rPr>
                <w:noProof/>
                <w:webHidden/>
              </w:rPr>
              <w:fldChar w:fldCharType="end"/>
            </w:r>
          </w:hyperlink>
        </w:p>
        <w:p w14:paraId="46FD808B" w14:textId="4FC9A1E9" w:rsidR="00A41D3F" w:rsidRDefault="00A41D3F">
          <w:pPr>
            <w:pStyle w:val="TOC3"/>
            <w:tabs>
              <w:tab w:val="left" w:pos="1100"/>
              <w:tab w:val="right" w:leader="dot" w:pos="9062"/>
            </w:tabs>
            <w:rPr>
              <w:rFonts w:asciiTheme="minorHAnsi" w:eastAsiaTheme="minorEastAsia" w:hAnsiTheme="minorHAnsi" w:cstheme="minorBidi"/>
              <w:noProof/>
              <w:lang w:eastAsia="en-GB"/>
            </w:rPr>
          </w:pPr>
          <w:hyperlink w:anchor="_Toc101516087" w:history="1">
            <w:r w:rsidRPr="008F3F9B">
              <w:rPr>
                <w:rStyle w:val="Hyperlink"/>
                <w:noProof/>
              </w:rPr>
              <w:t>4.2.</w:t>
            </w:r>
            <w:r>
              <w:rPr>
                <w:rFonts w:asciiTheme="minorHAnsi" w:eastAsiaTheme="minorEastAsia" w:hAnsiTheme="minorHAnsi" w:cstheme="minorBidi"/>
                <w:noProof/>
                <w:lang w:eastAsia="en-GB"/>
              </w:rPr>
              <w:tab/>
            </w:r>
            <w:r w:rsidRPr="008F3F9B">
              <w:rPr>
                <w:rStyle w:val="Hyperlink"/>
                <w:noProof/>
              </w:rPr>
              <w:t>Ex ante Controls on Operational Expenditure</w:t>
            </w:r>
            <w:r>
              <w:rPr>
                <w:noProof/>
                <w:webHidden/>
              </w:rPr>
              <w:tab/>
            </w:r>
            <w:r>
              <w:rPr>
                <w:noProof/>
                <w:webHidden/>
              </w:rPr>
              <w:fldChar w:fldCharType="begin"/>
            </w:r>
            <w:r>
              <w:rPr>
                <w:noProof/>
                <w:webHidden/>
              </w:rPr>
              <w:instrText xml:space="preserve"> PAGEREF _Toc101516087 \h </w:instrText>
            </w:r>
            <w:r>
              <w:rPr>
                <w:noProof/>
                <w:webHidden/>
              </w:rPr>
            </w:r>
            <w:r>
              <w:rPr>
                <w:noProof/>
                <w:webHidden/>
              </w:rPr>
              <w:fldChar w:fldCharType="separate"/>
            </w:r>
            <w:r>
              <w:rPr>
                <w:noProof/>
                <w:webHidden/>
              </w:rPr>
              <w:t>121</w:t>
            </w:r>
            <w:r>
              <w:rPr>
                <w:noProof/>
                <w:webHidden/>
              </w:rPr>
              <w:fldChar w:fldCharType="end"/>
            </w:r>
          </w:hyperlink>
        </w:p>
        <w:p w14:paraId="063934EF" w14:textId="43A8506F" w:rsidR="00A41D3F" w:rsidRDefault="00A41D3F">
          <w:pPr>
            <w:pStyle w:val="TOC3"/>
            <w:tabs>
              <w:tab w:val="left" w:pos="1100"/>
              <w:tab w:val="right" w:leader="dot" w:pos="9062"/>
            </w:tabs>
            <w:rPr>
              <w:rFonts w:asciiTheme="minorHAnsi" w:eastAsiaTheme="minorEastAsia" w:hAnsiTheme="minorHAnsi" w:cstheme="minorBidi"/>
              <w:noProof/>
              <w:lang w:eastAsia="en-GB"/>
            </w:rPr>
          </w:pPr>
          <w:hyperlink w:anchor="_Toc101516088" w:history="1">
            <w:r w:rsidRPr="008F3F9B">
              <w:rPr>
                <w:rStyle w:val="Hyperlink"/>
                <w:noProof/>
              </w:rPr>
              <w:t>4.3.</w:t>
            </w:r>
            <w:r>
              <w:rPr>
                <w:rFonts w:asciiTheme="minorHAnsi" w:eastAsiaTheme="minorEastAsia" w:hAnsiTheme="minorHAnsi" w:cstheme="minorBidi"/>
                <w:noProof/>
                <w:lang w:eastAsia="en-GB"/>
              </w:rPr>
              <w:tab/>
            </w:r>
            <w:r w:rsidRPr="008F3F9B">
              <w:rPr>
                <w:rStyle w:val="Hyperlink"/>
                <w:noProof/>
              </w:rPr>
              <w:t>Ex-post Control of Operational Expenditure and Error Rates identified</w:t>
            </w:r>
            <w:r>
              <w:rPr>
                <w:noProof/>
                <w:webHidden/>
              </w:rPr>
              <w:tab/>
            </w:r>
            <w:r>
              <w:rPr>
                <w:noProof/>
                <w:webHidden/>
              </w:rPr>
              <w:fldChar w:fldCharType="begin"/>
            </w:r>
            <w:r>
              <w:rPr>
                <w:noProof/>
                <w:webHidden/>
              </w:rPr>
              <w:instrText xml:space="preserve"> PAGEREF _Toc101516088 \h </w:instrText>
            </w:r>
            <w:r>
              <w:rPr>
                <w:noProof/>
                <w:webHidden/>
              </w:rPr>
            </w:r>
            <w:r>
              <w:rPr>
                <w:noProof/>
                <w:webHidden/>
              </w:rPr>
              <w:fldChar w:fldCharType="separate"/>
            </w:r>
            <w:r>
              <w:rPr>
                <w:noProof/>
                <w:webHidden/>
              </w:rPr>
              <w:t>125</w:t>
            </w:r>
            <w:r>
              <w:rPr>
                <w:noProof/>
                <w:webHidden/>
              </w:rPr>
              <w:fldChar w:fldCharType="end"/>
            </w:r>
          </w:hyperlink>
        </w:p>
        <w:p w14:paraId="5BB05F88" w14:textId="0492D718" w:rsidR="00A41D3F" w:rsidRDefault="00A41D3F">
          <w:pPr>
            <w:pStyle w:val="TOC3"/>
            <w:tabs>
              <w:tab w:val="left" w:pos="1100"/>
              <w:tab w:val="right" w:leader="dot" w:pos="9062"/>
            </w:tabs>
            <w:rPr>
              <w:rFonts w:asciiTheme="minorHAnsi" w:eastAsiaTheme="minorEastAsia" w:hAnsiTheme="minorHAnsi" w:cstheme="minorBidi"/>
              <w:noProof/>
              <w:lang w:eastAsia="en-GB"/>
            </w:rPr>
          </w:pPr>
          <w:hyperlink w:anchor="_Toc101516089" w:history="1">
            <w:r w:rsidRPr="008F3F9B">
              <w:rPr>
                <w:rStyle w:val="Hyperlink"/>
                <w:noProof/>
              </w:rPr>
              <w:t>4.4.</w:t>
            </w:r>
            <w:r>
              <w:rPr>
                <w:rFonts w:asciiTheme="minorHAnsi" w:eastAsiaTheme="minorEastAsia" w:hAnsiTheme="minorHAnsi" w:cstheme="minorBidi"/>
                <w:noProof/>
                <w:lang w:eastAsia="en-GB"/>
              </w:rPr>
              <w:tab/>
            </w:r>
            <w:r w:rsidRPr="008F3F9B">
              <w:rPr>
                <w:rStyle w:val="Hyperlink"/>
                <w:noProof/>
              </w:rPr>
              <w:t>Audit of the European Court of Auditors</w:t>
            </w:r>
            <w:r>
              <w:rPr>
                <w:noProof/>
                <w:webHidden/>
              </w:rPr>
              <w:tab/>
            </w:r>
            <w:r>
              <w:rPr>
                <w:noProof/>
                <w:webHidden/>
              </w:rPr>
              <w:fldChar w:fldCharType="begin"/>
            </w:r>
            <w:r>
              <w:rPr>
                <w:noProof/>
                <w:webHidden/>
              </w:rPr>
              <w:instrText xml:space="preserve"> PAGEREF _Toc101516089 \h </w:instrText>
            </w:r>
            <w:r>
              <w:rPr>
                <w:noProof/>
                <w:webHidden/>
              </w:rPr>
            </w:r>
            <w:r>
              <w:rPr>
                <w:noProof/>
                <w:webHidden/>
              </w:rPr>
              <w:fldChar w:fldCharType="separate"/>
            </w:r>
            <w:r>
              <w:rPr>
                <w:noProof/>
                <w:webHidden/>
              </w:rPr>
              <w:t>134</w:t>
            </w:r>
            <w:r>
              <w:rPr>
                <w:noProof/>
                <w:webHidden/>
              </w:rPr>
              <w:fldChar w:fldCharType="end"/>
            </w:r>
          </w:hyperlink>
        </w:p>
        <w:p w14:paraId="184DD2C7" w14:textId="7A88BDB4" w:rsidR="00A41D3F" w:rsidRDefault="00A41D3F">
          <w:pPr>
            <w:pStyle w:val="TOC3"/>
            <w:tabs>
              <w:tab w:val="left" w:pos="1100"/>
              <w:tab w:val="right" w:leader="dot" w:pos="9062"/>
            </w:tabs>
            <w:rPr>
              <w:rFonts w:asciiTheme="minorHAnsi" w:eastAsiaTheme="minorEastAsia" w:hAnsiTheme="minorHAnsi" w:cstheme="minorBidi"/>
              <w:noProof/>
              <w:lang w:eastAsia="en-GB"/>
            </w:rPr>
          </w:pPr>
          <w:hyperlink w:anchor="_Toc101516090" w:history="1">
            <w:r w:rsidRPr="008F3F9B">
              <w:rPr>
                <w:rStyle w:val="Hyperlink"/>
                <w:noProof/>
              </w:rPr>
              <w:t>4.5.</w:t>
            </w:r>
            <w:r>
              <w:rPr>
                <w:rFonts w:asciiTheme="minorHAnsi" w:eastAsiaTheme="minorEastAsia" w:hAnsiTheme="minorHAnsi" w:cstheme="minorBidi"/>
                <w:noProof/>
                <w:lang w:eastAsia="en-GB"/>
              </w:rPr>
              <w:tab/>
            </w:r>
            <w:r w:rsidRPr="008F3F9B">
              <w:rPr>
                <w:rStyle w:val="Hyperlink"/>
                <w:noProof/>
              </w:rPr>
              <w:t>Internal Audit</w:t>
            </w:r>
            <w:r>
              <w:rPr>
                <w:noProof/>
                <w:webHidden/>
              </w:rPr>
              <w:tab/>
            </w:r>
            <w:r>
              <w:rPr>
                <w:noProof/>
                <w:webHidden/>
              </w:rPr>
              <w:fldChar w:fldCharType="begin"/>
            </w:r>
            <w:r>
              <w:rPr>
                <w:noProof/>
                <w:webHidden/>
              </w:rPr>
              <w:instrText xml:space="preserve"> PAGEREF _Toc101516090 \h </w:instrText>
            </w:r>
            <w:r>
              <w:rPr>
                <w:noProof/>
                <w:webHidden/>
              </w:rPr>
            </w:r>
            <w:r>
              <w:rPr>
                <w:noProof/>
                <w:webHidden/>
              </w:rPr>
              <w:fldChar w:fldCharType="separate"/>
            </w:r>
            <w:r>
              <w:rPr>
                <w:noProof/>
                <w:webHidden/>
              </w:rPr>
              <w:t>135</w:t>
            </w:r>
            <w:r>
              <w:rPr>
                <w:noProof/>
                <w:webHidden/>
              </w:rPr>
              <w:fldChar w:fldCharType="end"/>
            </w:r>
          </w:hyperlink>
        </w:p>
        <w:p w14:paraId="7C9BE51F" w14:textId="6744E5DA" w:rsidR="00A41D3F" w:rsidRDefault="00A41D3F">
          <w:pPr>
            <w:pStyle w:val="TOC3"/>
            <w:tabs>
              <w:tab w:val="left" w:pos="1100"/>
              <w:tab w:val="right" w:leader="dot" w:pos="9062"/>
            </w:tabs>
            <w:rPr>
              <w:rFonts w:asciiTheme="minorHAnsi" w:eastAsiaTheme="minorEastAsia" w:hAnsiTheme="minorHAnsi" w:cstheme="minorBidi"/>
              <w:noProof/>
              <w:lang w:eastAsia="en-GB"/>
            </w:rPr>
          </w:pPr>
          <w:hyperlink w:anchor="_Toc101516091" w:history="1">
            <w:r w:rsidRPr="008F3F9B">
              <w:rPr>
                <w:rStyle w:val="Hyperlink"/>
                <w:noProof/>
              </w:rPr>
              <w:t>4.6.</w:t>
            </w:r>
            <w:r>
              <w:rPr>
                <w:rFonts w:asciiTheme="minorHAnsi" w:eastAsiaTheme="minorEastAsia" w:hAnsiTheme="minorHAnsi" w:cstheme="minorBidi"/>
                <w:noProof/>
                <w:lang w:eastAsia="en-GB"/>
              </w:rPr>
              <w:tab/>
            </w:r>
            <w:r w:rsidRPr="008F3F9B">
              <w:rPr>
                <w:rStyle w:val="Hyperlink"/>
                <w:noProof/>
              </w:rPr>
              <w:t>Risk management and Conflict of Interest</w:t>
            </w:r>
            <w:r>
              <w:rPr>
                <w:noProof/>
                <w:webHidden/>
              </w:rPr>
              <w:tab/>
            </w:r>
            <w:r>
              <w:rPr>
                <w:noProof/>
                <w:webHidden/>
              </w:rPr>
              <w:fldChar w:fldCharType="begin"/>
            </w:r>
            <w:r>
              <w:rPr>
                <w:noProof/>
                <w:webHidden/>
              </w:rPr>
              <w:instrText xml:space="preserve"> PAGEREF _Toc101516091 \h </w:instrText>
            </w:r>
            <w:r>
              <w:rPr>
                <w:noProof/>
                <w:webHidden/>
              </w:rPr>
            </w:r>
            <w:r>
              <w:rPr>
                <w:noProof/>
                <w:webHidden/>
              </w:rPr>
              <w:fldChar w:fldCharType="separate"/>
            </w:r>
            <w:r>
              <w:rPr>
                <w:noProof/>
                <w:webHidden/>
              </w:rPr>
              <w:t>135</w:t>
            </w:r>
            <w:r>
              <w:rPr>
                <w:noProof/>
                <w:webHidden/>
              </w:rPr>
              <w:fldChar w:fldCharType="end"/>
            </w:r>
          </w:hyperlink>
        </w:p>
        <w:p w14:paraId="03B1C562" w14:textId="0CCD735C" w:rsidR="00A41D3F" w:rsidRDefault="00A41D3F">
          <w:pPr>
            <w:pStyle w:val="TOC3"/>
            <w:tabs>
              <w:tab w:val="right" w:leader="dot" w:pos="9062"/>
            </w:tabs>
            <w:rPr>
              <w:rFonts w:asciiTheme="minorHAnsi" w:eastAsiaTheme="minorEastAsia" w:hAnsiTheme="minorHAnsi" w:cstheme="minorBidi"/>
              <w:noProof/>
              <w:lang w:eastAsia="en-GB"/>
            </w:rPr>
          </w:pPr>
          <w:hyperlink w:anchor="_Toc101516092" w:history="1">
            <w:r w:rsidRPr="008F3F9B">
              <w:rPr>
                <w:rStyle w:val="Hyperlink"/>
                <w:noProof/>
              </w:rPr>
              <w:t>4.7. Compliance and effectiveness of internal control</w:t>
            </w:r>
            <w:r>
              <w:rPr>
                <w:noProof/>
                <w:webHidden/>
              </w:rPr>
              <w:tab/>
            </w:r>
            <w:r>
              <w:rPr>
                <w:noProof/>
                <w:webHidden/>
              </w:rPr>
              <w:fldChar w:fldCharType="begin"/>
            </w:r>
            <w:r>
              <w:rPr>
                <w:noProof/>
                <w:webHidden/>
              </w:rPr>
              <w:instrText xml:space="preserve"> PAGEREF _Toc101516092 \h </w:instrText>
            </w:r>
            <w:r>
              <w:rPr>
                <w:noProof/>
                <w:webHidden/>
              </w:rPr>
            </w:r>
            <w:r>
              <w:rPr>
                <w:noProof/>
                <w:webHidden/>
              </w:rPr>
              <w:fldChar w:fldCharType="separate"/>
            </w:r>
            <w:r>
              <w:rPr>
                <w:noProof/>
                <w:webHidden/>
              </w:rPr>
              <w:t>136</w:t>
            </w:r>
            <w:r>
              <w:rPr>
                <w:noProof/>
                <w:webHidden/>
              </w:rPr>
              <w:fldChar w:fldCharType="end"/>
            </w:r>
          </w:hyperlink>
        </w:p>
        <w:p w14:paraId="55EE0276" w14:textId="7D14CF16" w:rsidR="00A41D3F" w:rsidRDefault="00A41D3F">
          <w:pPr>
            <w:pStyle w:val="TOC1"/>
            <w:tabs>
              <w:tab w:val="left" w:pos="440"/>
              <w:tab w:val="right" w:leader="dot" w:pos="9062"/>
            </w:tabs>
            <w:rPr>
              <w:rFonts w:asciiTheme="minorHAnsi" w:eastAsiaTheme="minorEastAsia" w:hAnsiTheme="minorHAnsi" w:cstheme="minorBidi"/>
              <w:noProof/>
              <w:lang w:eastAsia="en-GB"/>
            </w:rPr>
          </w:pPr>
          <w:hyperlink w:anchor="_Toc101516093" w:history="1">
            <w:r w:rsidRPr="008F3F9B">
              <w:rPr>
                <w:rStyle w:val="Hyperlink"/>
                <w:caps/>
                <w:noProof/>
              </w:rPr>
              <w:t>5.</w:t>
            </w:r>
            <w:r>
              <w:rPr>
                <w:rFonts w:asciiTheme="minorHAnsi" w:eastAsiaTheme="minorEastAsia" w:hAnsiTheme="minorHAnsi" w:cstheme="minorBidi"/>
                <w:noProof/>
                <w:lang w:eastAsia="en-GB"/>
              </w:rPr>
              <w:tab/>
            </w:r>
            <w:r w:rsidRPr="008F3F9B">
              <w:rPr>
                <w:rStyle w:val="Hyperlink"/>
                <w:caps/>
                <w:noProof/>
              </w:rPr>
              <w:t>MANAGEMENT assurance</w:t>
            </w:r>
            <w:r>
              <w:rPr>
                <w:noProof/>
                <w:webHidden/>
              </w:rPr>
              <w:tab/>
            </w:r>
            <w:r>
              <w:rPr>
                <w:noProof/>
                <w:webHidden/>
              </w:rPr>
              <w:fldChar w:fldCharType="begin"/>
            </w:r>
            <w:r>
              <w:rPr>
                <w:noProof/>
                <w:webHidden/>
              </w:rPr>
              <w:instrText xml:space="preserve"> PAGEREF _Toc101516093 \h </w:instrText>
            </w:r>
            <w:r>
              <w:rPr>
                <w:noProof/>
                <w:webHidden/>
              </w:rPr>
            </w:r>
            <w:r>
              <w:rPr>
                <w:noProof/>
                <w:webHidden/>
              </w:rPr>
              <w:fldChar w:fldCharType="separate"/>
            </w:r>
            <w:r>
              <w:rPr>
                <w:noProof/>
                <w:webHidden/>
              </w:rPr>
              <w:t>138</w:t>
            </w:r>
            <w:r>
              <w:rPr>
                <w:noProof/>
                <w:webHidden/>
              </w:rPr>
              <w:fldChar w:fldCharType="end"/>
            </w:r>
          </w:hyperlink>
        </w:p>
        <w:p w14:paraId="26E15C1C" w14:textId="561B5728" w:rsidR="00A41D3F" w:rsidRDefault="00A41D3F">
          <w:pPr>
            <w:pStyle w:val="TOC3"/>
            <w:tabs>
              <w:tab w:val="left" w:pos="1100"/>
              <w:tab w:val="right" w:leader="dot" w:pos="9062"/>
            </w:tabs>
            <w:rPr>
              <w:rFonts w:asciiTheme="minorHAnsi" w:eastAsiaTheme="minorEastAsia" w:hAnsiTheme="minorHAnsi" w:cstheme="minorBidi"/>
              <w:noProof/>
              <w:lang w:eastAsia="en-GB"/>
            </w:rPr>
          </w:pPr>
          <w:hyperlink w:anchor="_Toc101516094" w:history="1">
            <w:r w:rsidRPr="008F3F9B">
              <w:rPr>
                <w:rStyle w:val="Hyperlink"/>
                <w:noProof/>
              </w:rPr>
              <w:t>5.1.</w:t>
            </w:r>
            <w:r>
              <w:rPr>
                <w:rFonts w:asciiTheme="minorHAnsi" w:eastAsiaTheme="minorEastAsia" w:hAnsiTheme="minorHAnsi" w:cstheme="minorBidi"/>
                <w:noProof/>
                <w:lang w:eastAsia="en-GB"/>
              </w:rPr>
              <w:tab/>
            </w:r>
            <w:r w:rsidRPr="008F3F9B">
              <w:rPr>
                <w:rStyle w:val="Hyperlink"/>
                <w:noProof/>
              </w:rPr>
              <w:t>Assessment of the Annual Activity Report by the Governing Board</w:t>
            </w:r>
            <w:r>
              <w:rPr>
                <w:noProof/>
                <w:webHidden/>
              </w:rPr>
              <w:tab/>
            </w:r>
            <w:r>
              <w:rPr>
                <w:noProof/>
                <w:webHidden/>
              </w:rPr>
              <w:fldChar w:fldCharType="begin"/>
            </w:r>
            <w:r>
              <w:rPr>
                <w:noProof/>
                <w:webHidden/>
              </w:rPr>
              <w:instrText xml:space="preserve"> PAGEREF _Toc101516094 \h </w:instrText>
            </w:r>
            <w:r>
              <w:rPr>
                <w:noProof/>
                <w:webHidden/>
              </w:rPr>
            </w:r>
            <w:r>
              <w:rPr>
                <w:noProof/>
                <w:webHidden/>
              </w:rPr>
              <w:fldChar w:fldCharType="separate"/>
            </w:r>
            <w:r>
              <w:rPr>
                <w:noProof/>
                <w:webHidden/>
              </w:rPr>
              <w:t>138</w:t>
            </w:r>
            <w:r>
              <w:rPr>
                <w:noProof/>
                <w:webHidden/>
              </w:rPr>
              <w:fldChar w:fldCharType="end"/>
            </w:r>
          </w:hyperlink>
        </w:p>
        <w:p w14:paraId="2E975F96" w14:textId="30F91F60" w:rsidR="00A41D3F" w:rsidRDefault="00A41D3F">
          <w:pPr>
            <w:pStyle w:val="TOC3"/>
            <w:tabs>
              <w:tab w:val="left" w:pos="1100"/>
              <w:tab w:val="right" w:leader="dot" w:pos="9062"/>
            </w:tabs>
            <w:rPr>
              <w:rFonts w:asciiTheme="minorHAnsi" w:eastAsiaTheme="minorEastAsia" w:hAnsiTheme="minorHAnsi" w:cstheme="minorBidi"/>
              <w:noProof/>
              <w:lang w:eastAsia="en-GB"/>
            </w:rPr>
          </w:pPr>
          <w:hyperlink w:anchor="_Toc101516095" w:history="1">
            <w:r w:rsidRPr="008F3F9B">
              <w:rPr>
                <w:rStyle w:val="Hyperlink"/>
                <w:noProof/>
              </w:rPr>
              <w:t>5.2.</w:t>
            </w:r>
            <w:r>
              <w:rPr>
                <w:rFonts w:asciiTheme="minorHAnsi" w:eastAsiaTheme="minorEastAsia" w:hAnsiTheme="minorHAnsi" w:cstheme="minorBidi"/>
                <w:noProof/>
                <w:lang w:eastAsia="en-GB"/>
              </w:rPr>
              <w:tab/>
            </w:r>
            <w:r w:rsidRPr="008F3F9B">
              <w:rPr>
                <w:rStyle w:val="Hyperlink"/>
                <w:noProof/>
              </w:rPr>
              <w:t>Elements supporting assurance</w:t>
            </w:r>
            <w:r>
              <w:rPr>
                <w:noProof/>
                <w:webHidden/>
              </w:rPr>
              <w:tab/>
            </w:r>
            <w:r>
              <w:rPr>
                <w:noProof/>
                <w:webHidden/>
              </w:rPr>
              <w:fldChar w:fldCharType="begin"/>
            </w:r>
            <w:r>
              <w:rPr>
                <w:noProof/>
                <w:webHidden/>
              </w:rPr>
              <w:instrText xml:space="preserve"> PAGEREF _Toc101516095 \h </w:instrText>
            </w:r>
            <w:r>
              <w:rPr>
                <w:noProof/>
                <w:webHidden/>
              </w:rPr>
            </w:r>
            <w:r>
              <w:rPr>
                <w:noProof/>
                <w:webHidden/>
              </w:rPr>
              <w:fldChar w:fldCharType="separate"/>
            </w:r>
            <w:r>
              <w:rPr>
                <w:noProof/>
                <w:webHidden/>
              </w:rPr>
              <w:t>138</w:t>
            </w:r>
            <w:r>
              <w:rPr>
                <w:noProof/>
                <w:webHidden/>
              </w:rPr>
              <w:fldChar w:fldCharType="end"/>
            </w:r>
          </w:hyperlink>
        </w:p>
        <w:p w14:paraId="003AC6ED" w14:textId="66CC9C38" w:rsidR="00A41D3F" w:rsidRDefault="00A41D3F">
          <w:pPr>
            <w:pStyle w:val="TOC3"/>
            <w:tabs>
              <w:tab w:val="left" w:pos="1100"/>
              <w:tab w:val="right" w:leader="dot" w:pos="9062"/>
            </w:tabs>
            <w:rPr>
              <w:rFonts w:asciiTheme="minorHAnsi" w:eastAsiaTheme="minorEastAsia" w:hAnsiTheme="minorHAnsi" w:cstheme="minorBidi"/>
              <w:noProof/>
              <w:lang w:eastAsia="en-GB"/>
            </w:rPr>
          </w:pPr>
          <w:hyperlink w:anchor="_Toc101516096" w:history="1">
            <w:r w:rsidRPr="008F3F9B">
              <w:rPr>
                <w:rStyle w:val="Hyperlink"/>
                <w:noProof/>
              </w:rPr>
              <w:t>5.3.</w:t>
            </w:r>
            <w:r>
              <w:rPr>
                <w:rFonts w:asciiTheme="minorHAnsi" w:eastAsiaTheme="minorEastAsia" w:hAnsiTheme="minorHAnsi" w:cstheme="minorBidi"/>
                <w:noProof/>
                <w:lang w:eastAsia="en-GB"/>
              </w:rPr>
              <w:tab/>
            </w:r>
            <w:r w:rsidRPr="008F3F9B">
              <w:rPr>
                <w:rStyle w:val="Hyperlink"/>
                <w:noProof/>
              </w:rPr>
              <w:t>Reservations</w:t>
            </w:r>
            <w:r>
              <w:rPr>
                <w:noProof/>
                <w:webHidden/>
              </w:rPr>
              <w:tab/>
            </w:r>
            <w:r>
              <w:rPr>
                <w:noProof/>
                <w:webHidden/>
              </w:rPr>
              <w:fldChar w:fldCharType="begin"/>
            </w:r>
            <w:r>
              <w:rPr>
                <w:noProof/>
                <w:webHidden/>
              </w:rPr>
              <w:instrText xml:space="preserve"> PAGEREF _Toc101516096 \h </w:instrText>
            </w:r>
            <w:r>
              <w:rPr>
                <w:noProof/>
                <w:webHidden/>
              </w:rPr>
            </w:r>
            <w:r>
              <w:rPr>
                <w:noProof/>
                <w:webHidden/>
              </w:rPr>
              <w:fldChar w:fldCharType="separate"/>
            </w:r>
            <w:r>
              <w:rPr>
                <w:noProof/>
                <w:webHidden/>
              </w:rPr>
              <w:t>138</w:t>
            </w:r>
            <w:r>
              <w:rPr>
                <w:noProof/>
                <w:webHidden/>
              </w:rPr>
              <w:fldChar w:fldCharType="end"/>
            </w:r>
          </w:hyperlink>
        </w:p>
        <w:p w14:paraId="69EE25DF" w14:textId="50590F52" w:rsidR="00A41D3F" w:rsidRDefault="00A41D3F">
          <w:pPr>
            <w:pStyle w:val="TOC3"/>
            <w:tabs>
              <w:tab w:val="left" w:pos="1100"/>
              <w:tab w:val="right" w:leader="dot" w:pos="9062"/>
            </w:tabs>
            <w:rPr>
              <w:rFonts w:asciiTheme="minorHAnsi" w:eastAsiaTheme="minorEastAsia" w:hAnsiTheme="minorHAnsi" w:cstheme="minorBidi"/>
              <w:noProof/>
              <w:lang w:eastAsia="en-GB"/>
            </w:rPr>
          </w:pPr>
          <w:hyperlink w:anchor="_Toc101516097" w:history="1">
            <w:r w:rsidRPr="008F3F9B">
              <w:rPr>
                <w:rStyle w:val="Hyperlink"/>
                <w:noProof/>
              </w:rPr>
              <w:t>5.4.</w:t>
            </w:r>
            <w:r>
              <w:rPr>
                <w:rFonts w:asciiTheme="minorHAnsi" w:eastAsiaTheme="minorEastAsia" w:hAnsiTheme="minorHAnsi" w:cstheme="minorBidi"/>
                <w:noProof/>
                <w:lang w:eastAsia="en-GB"/>
              </w:rPr>
              <w:tab/>
            </w:r>
            <w:r w:rsidRPr="008F3F9B">
              <w:rPr>
                <w:rStyle w:val="Hyperlink"/>
                <w:noProof/>
              </w:rPr>
              <w:t>Overall conclusion</w:t>
            </w:r>
            <w:r>
              <w:rPr>
                <w:noProof/>
                <w:webHidden/>
              </w:rPr>
              <w:tab/>
            </w:r>
            <w:r>
              <w:rPr>
                <w:noProof/>
                <w:webHidden/>
              </w:rPr>
              <w:fldChar w:fldCharType="begin"/>
            </w:r>
            <w:r>
              <w:rPr>
                <w:noProof/>
                <w:webHidden/>
              </w:rPr>
              <w:instrText xml:space="preserve"> PAGEREF _Toc101516097 \h </w:instrText>
            </w:r>
            <w:r>
              <w:rPr>
                <w:noProof/>
                <w:webHidden/>
              </w:rPr>
            </w:r>
            <w:r>
              <w:rPr>
                <w:noProof/>
                <w:webHidden/>
              </w:rPr>
              <w:fldChar w:fldCharType="separate"/>
            </w:r>
            <w:r>
              <w:rPr>
                <w:noProof/>
                <w:webHidden/>
              </w:rPr>
              <w:t>140</w:t>
            </w:r>
            <w:r>
              <w:rPr>
                <w:noProof/>
                <w:webHidden/>
              </w:rPr>
              <w:fldChar w:fldCharType="end"/>
            </w:r>
          </w:hyperlink>
        </w:p>
        <w:p w14:paraId="702FC98E" w14:textId="0D352C9F" w:rsidR="00A41D3F" w:rsidRDefault="00A41D3F">
          <w:pPr>
            <w:pStyle w:val="TOC3"/>
            <w:tabs>
              <w:tab w:val="left" w:pos="1100"/>
              <w:tab w:val="right" w:leader="dot" w:pos="9062"/>
            </w:tabs>
            <w:rPr>
              <w:rFonts w:asciiTheme="minorHAnsi" w:eastAsiaTheme="minorEastAsia" w:hAnsiTheme="minorHAnsi" w:cstheme="minorBidi"/>
              <w:noProof/>
              <w:lang w:eastAsia="en-GB"/>
            </w:rPr>
          </w:pPr>
          <w:hyperlink w:anchor="_Toc101516098" w:history="1">
            <w:r w:rsidRPr="008F3F9B">
              <w:rPr>
                <w:rStyle w:val="Hyperlink"/>
                <w:noProof/>
              </w:rPr>
              <w:t>5.5.</w:t>
            </w:r>
            <w:r>
              <w:rPr>
                <w:rFonts w:asciiTheme="minorHAnsi" w:eastAsiaTheme="minorEastAsia" w:hAnsiTheme="minorHAnsi" w:cstheme="minorBidi"/>
                <w:noProof/>
                <w:lang w:eastAsia="en-GB"/>
              </w:rPr>
              <w:tab/>
            </w:r>
            <w:r w:rsidRPr="008F3F9B">
              <w:rPr>
                <w:rStyle w:val="Hyperlink"/>
                <w:noProof/>
              </w:rPr>
              <w:t>Statement on management reporting</w:t>
            </w:r>
            <w:r>
              <w:rPr>
                <w:noProof/>
                <w:webHidden/>
              </w:rPr>
              <w:tab/>
            </w:r>
            <w:r>
              <w:rPr>
                <w:noProof/>
                <w:webHidden/>
              </w:rPr>
              <w:fldChar w:fldCharType="begin"/>
            </w:r>
            <w:r>
              <w:rPr>
                <w:noProof/>
                <w:webHidden/>
              </w:rPr>
              <w:instrText xml:space="preserve"> PAGEREF _Toc101516098 \h </w:instrText>
            </w:r>
            <w:r>
              <w:rPr>
                <w:noProof/>
                <w:webHidden/>
              </w:rPr>
            </w:r>
            <w:r>
              <w:rPr>
                <w:noProof/>
                <w:webHidden/>
              </w:rPr>
              <w:fldChar w:fldCharType="separate"/>
            </w:r>
            <w:r>
              <w:rPr>
                <w:noProof/>
                <w:webHidden/>
              </w:rPr>
              <w:t>141</w:t>
            </w:r>
            <w:r>
              <w:rPr>
                <w:noProof/>
                <w:webHidden/>
              </w:rPr>
              <w:fldChar w:fldCharType="end"/>
            </w:r>
          </w:hyperlink>
        </w:p>
        <w:p w14:paraId="74544A3D" w14:textId="6FBC6CAB" w:rsidR="00A41D3F" w:rsidRDefault="00A41D3F">
          <w:pPr>
            <w:pStyle w:val="TOC1"/>
            <w:tabs>
              <w:tab w:val="left" w:pos="440"/>
              <w:tab w:val="right" w:leader="dot" w:pos="9062"/>
            </w:tabs>
            <w:rPr>
              <w:rFonts w:asciiTheme="minorHAnsi" w:eastAsiaTheme="minorEastAsia" w:hAnsiTheme="minorHAnsi" w:cstheme="minorBidi"/>
              <w:noProof/>
              <w:lang w:eastAsia="en-GB"/>
            </w:rPr>
          </w:pPr>
          <w:hyperlink w:anchor="_Toc101516099" w:history="1">
            <w:r w:rsidRPr="008F3F9B">
              <w:rPr>
                <w:rStyle w:val="Hyperlink"/>
                <w:caps/>
                <w:noProof/>
              </w:rPr>
              <w:t>6.</w:t>
            </w:r>
            <w:r>
              <w:rPr>
                <w:rFonts w:asciiTheme="minorHAnsi" w:eastAsiaTheme="minorEastAsia" w:hAnsiTheme="minorHAnsi" w:cstheme="minorBidi"/>
                <w:noProof/>
                <w:lang w:eastAsia="en-GB"/>
              </w:rPr>
              <w:tab/>
            </w:r>
            <w:r w:rsidRPr="008F3F9B">
              <w:rPr>
                <w:rStyle w:val="Hyperlink"/>
                <w:caps/>
                <w:noProof/>
              </w:rPr>
              <w:t>DECLARATION OF ASSURANCE</w:t>
            </w:r>
            <w:r>
              <w:rPr>
                <w:noProof/>
                <w:webHidden/>
              </w:rPr>
              <w:tab/>
            </w:r>
            <w:r>
              <w:rPr>
                <w:noProof/>
                <w:webHidden/>
              </w:rPr>
              <w:fldChar w:fldCharType="begin"/>
            </w:r>
            <w:r>
              <w:rPr>
                <w:noProof/>
                <w:webHidden/>
              </w:rPr>
              <w:instrText xml:space="preserve"> PAGEREF _Toc101516099 \h </w:instrText>
            </w:r>
            <w:r>
              <w:rPr>
                <w:noProof/>
                <w:webHidden/>
              </w:rPr>
            </w:r>
            <w:r>
              <w:rPr>
                <w:noProof/>
                <w:webHidden/>
              </w:rPr>
              <w:fldChar w:fldCharType="separate"/>
            </w:r>
            <w:r>
              <w:rPr>
                <w:noProof/>
                <w:webHidden/>
              </w:rPr>
              <w:t>142</w:t>
            </w:r>
            <w:r>
              <w:rPr>
                <w:noProof/>
                <w:webHidden/>
              </w:rPr>
              <w:fldChar w:fldCharType="end"/>
            </w:r>
          </w:hyperlink>
        </w:p>
        <w:p w14:paraId="60B0F786" w14:textId="5BF3654A" w:rsidR="00A41D3F" w:rsidRDefault="00A41D3F">
          <w:pPr>
            <w:pStyle w:val="TOC1"/>
            <w:tabs>
              <w:tab w:val="left" w:pos="440"/>
              <w:tab w:val="right" w:leader="dot" w:pos="9062"/>
            </w:tabs>
            <w:rPr>
              <w:rFonts w:asciiTheme="minorHAnsi" w:eastAsiaTheme="minorEastAsia" w:hAnsiTheme="minorHAnsi" w:cstheme="minorBidi"/>
              <w:noProof/>
              <w:lang w:eastAsia="en-GB"/>
            </w:rPr>
          </w:pPr>
          <w:hyperlink w:anchor="_Toc101516100" w:history="1">
            <w:r w:rsidRPr="008F3F9B">
              <w:rPr>
                <w:rStyle w:val="Hyperlink"/>
                <w:caps/>
                <w:noProof/>
              </w:rPr>
              <w:t>7.</w:t>
            </w:r>
            <w:r>
              <w:rPr>
                <w:rFonts w:asciiTheme="minorHAnsi" w:eastAsiaTheme="minorEastAsia" w:hAnsiTheme="minorHAnsi" w:cstheme="minorBidi"/>
                <w:noProof/>
                <w:lang w:eastAsia="en-GB"/>
              </w:rPr>
              <w:tab/>
            </w:r>
            <w:r w:rsidRPr="008F3F9B">
              <w:rPr>
                <w:rStyle w:val="Hyperlink"/>
                <w:caps/>
                <w:noProof/>
              </w:rPr>
              <w:t>ANNEXES</w:t>
            </w:r>
            <w:r>
              <w:rPr>
                <w:noProof/>
                <w:webHidden/>
              </w:rPr>
              <w:tab/>
            </w:r>
            <w:r>
              <w:rPr>
                <w:noProof/>
                <w:webHidden/>
              </w:rPr>
              <w:fldChar w:fldCharType="begin"/>
            </w:r>
            <w:r>
              <w:rPr>
                <w:noProof/>
                <w:webHidden/>
              </w:rPr>
              <w:instrText xml:space="preserve"> PAGEREF _Toc101516100 \h </w:instrText>
            </w:r>
            <w:r>
              <w:rPr>
                <w:noProof/>
                <w:webHidden/>
              </w:rPr>
            </w:r>
            <w:r>
              <w:rPr>
                <w:noProof/>
                <w:webHidden/>
              </w:rPr>
              <w:fldChar w:fldCharType="separate"/>
            </w:r>
            <w:r>
              <w:rPr>
                <w:noProof/>
                <w:webHidden/>
              </w:rPr>
              <w:t>142</w:t>
            </w:r>
            <w:r>
              <w:rPr>
                <w:noProof/>
                <w:webHidden/>
              </w:rPr>
              <w:fldChar w:fldCharType="end"/>
            </w:r>
          </w:hyperlink>
        </w:p>
        <w:p w14:paraId="0014C925" w14:textId="44BD4BEA" w:rsidR="00A41D3F" w:rsidRDefault="00A41D3F">
          <w:pPr>
            <w:pStyle w:val="TOC2"/>
            <w:tabs>
              <w:tab w:val="right" w:leader="dot" w:pos="9062"/>
            </w:tabs>
            <w:rPr>
              <w:noProof/>
            </w:rPr>
          </w:pPr>
          <w:hyperlink w:anchor="_Toc101516101" w:history="1">
            <w:r w:rsidRPr="008F3F9B">
              <w:rPr>
                <w:rStyle w:val="Hyperlink"/>
                <w:noProof/>
              </w:rPr>
              <w:t>Annex 1 – Organisational chart</w:t>
            </w:r>
            <w:r>
              <w:rPr>
                <w:noProof/>
                <w:webHidden/>
              </w:rPr>
              <w:tab/>
            </w:r>
            <w:r>
              <w:rPr>
                <w:noProof/>
                <w:webHidden/>
              </w:rPr>
              <w:fldChar w:fldCharType="begin"/>
            </w:r>
            <w:r>
              <w:rPr>
                <w:noProof/>
                <w:webHidden/>
              </w:rPr>
              <w:instrText xml:space="preserve"> PAGEREF _Toc101516101 \h </w:instrText>
            </w:r>
            <w:r>
              <w:rPr>
                <w:noProof/>
                <w:webHidden/>
              </w:rPr>
            </w:r>
            <w:r>
              <w:rPr>
                <w:noProof/>
                <w:webHidden/>
              </w:rPr>
              <w:fldChar w:fldCharType="separate"/>
            </w:r>
            <w:r>
              <w:rPr>
                <w:noProof/>
                <w:webHidden/>
              </w:rPr>
              <w:t>143</w:t>
            </w:r>
            <w:r>
              <w:rPr>
                <w:noProof/>
                <w:webHidden/>
              </w:rPr>
              <w:fldChar w:fldCharType="end"/>
            </w:r>
          </w:hyperlink>
        </w:p>
        <w:p w14:paraId="38752E6A" w14:textId="1F1CCC58" w:rsidR="00A41D3F" w:rsidRDefault="00A41D3F">
          <w:pPr>
            <w:pStyle w:val="TOC2"/>
            <w:tabs>
              <w:tab w:val="right" w:leader="dot" w:pos="9062"/>
            </w:tabs>
            <w:rPr>
              <w:noProof/>
            </w:rPr>
          </w:pPr>
          <w:hyperlink w:anchor="_Toc101516102" w:history="1">
            <w:r w:rsidRPr="008F3F9B">
              <w:rPr>
                <w:rStyle w:val="Hyperlink"/>
                <w:noProof/>
              </w:rPr>
              <w:t>Annex 2 – Staff Establishment Plan</w:t>
            </w:r>
            <w:r>
              <w:rPr>
                <w:noProof/>
                <w:webHidden/>
              </w:rPr>
              <w:tab/>
            </w:r>
            <w:r>
              <w:rPr>
                <w:noProof/>
                <w:webHidden/>
              </w:rPr>
              <w:fldChar w:fldCharType="begin"/>
            </w:r>
            <w:r>
              <w:rPr>
                <w:noProof/>
                <w:webHidden/>
              </w:rPr>
              <w:instrText xml:space="preserve"> PAGEREF _Toc101516102 \h </w:instrText>
            </w:r>
            <w:r>
              <w:rPr>
                <w:noProof/>
                <w:webHidden/>
              </w:rPr>
            </w:r>
            <w:r>
              <w:rPr>
                <w:noProof/>
                <w:webHidden/>
              </w:rPr>
              <w:fldChar w:fldCharType="separate"/>
            </w:r>
            <w:r>
              <w:rPr>
                <w:noProof/>
                <w:webHidden/>
              </w:rPr>
              <w:t>144</w:t>
            </w:r>
            <w:r>
              <w:rPr>
                <w:noProof/>
                <w:webHidden/>
              </w:rPr>
              <w:fldChar w:fldCharType="end"/>
            </w:r>
          </w:hyperlink>
        </w:p>
        <w:p w14:paraId="0282652A" w14:textId="57BB12A7" w:rsidR="00A41D3F" w:rsidRDefault="00A41D3F">
          <w:pPr>
            <w:pStyle w:val="TOC2"/>
            <w:tabs>
              <w:tab w:val="right" w:leader="dot" w:pos="9062"/>
            </w:tabs>
            <w:rPr>
              <w:noProof/>
            </w:rPr>
          </w:pPr>
          <w:hyperlink w:anchor="_Toc101516103" w:history="1">
            <w:r w:rsidRPr="008F3F9B">
              <w:rPr>
                <w:rStyle w:val="Hyperlink"/>
                <w:noProof/>
              </w:rPr>
              <w:t>Annex 3 - Publications from projects</w:t>
            </w:r>
            <w:r>
              <w:rPr>
                <w:noProof/>
                <w:webHidden/>
              </w:rPr>
              <w:tab/>
            </w:r>
            <w:r>
              <w:rPr>
                <w:noProof/>
                <w:webHidden/>
              </w:rPr>
              <w:fldChar w:fldCharType="begin"/>
            </w:r>
            <w:r>
              <w:rPr>
                <w:noProof/>
                <w:webHidden/>
              </w:rPr>
              <w:instrText xml:space="preserve"> PAGEREF _Toc101516103 \h </w:instrText>
            </w:r>
            <w:r>
              <w:rPr>
                <w:noProof/>
                <w:webHidden/>
              </w:rPr>
            </w:r>
            <w:r>
              <w:rPr>
                <w:noProof/>
                <w:webHidden/>
              </w:rPr>
              <w:fldChar w:fldCharType="separate"/>
            </w:r>
            <w:r>
              <w:rPr>
                <w:noProof/>
                <w:webHidden/>
              </w:rPr>
              <w:t>145</w:t>
            </w:r>
            <w:r>
              <w:rPr>
                <w:noProof/>
                <w:webHidden/>
              </w:rPr>
              <w:fldChar w:fldCharType="end"/>
            </w:r>
          </w:hyperlink>
        </w:p>
        <w:p w14:paraId="5F6FB667" w14:textId="61EBE467" w:rsidR="00A41D3F" w:rsidRDefault="00A41D3F">
          <w:pPr>
            <w:pStyle w:val="TOC2"/>
            <w:tabs>
              <w:tab w:val="right" w:leader="dot" w:pos="9062"/>
            </w:tabs>
            <w:rPr>
              <w:noProof/>
            </w:rPr>
          </w:pPr>
          <w:hyperlink w:anchor="_Toc101516106" w:history="1">
            <w:r w:rsidRPr="008F3F9B">
              <w:rPr>
                <w:rStyle w:val="Hyperlink"/>
                <w:noProof/>
              </w:rPr>
              <w:t>Annex 4 - Patents from projects</w:t>
            </w:r>
            <w:r>
              <w:rPr>
                <w:noProof/>
                <w:webHidden/>
              </w:rPr>
              <w:tab/>
            </w:r>
            <w:r>
              <w:rPr>
                <w:noProof/>
                <w:webHidden/>
              </w:rPr>
              <w:fldChar w:fldCharType="begin"/>
            </w:r>
            <w:r>
              <w:rPr>
                <w:noProof/>
                <w:webHidden/>
              </w:rPr>
              <w:instrText xml:space="preserve"> PAGEREF _Toc101516106 \h </w:instrText>
            </w:r>
            <w:r>
              <w:rPr>
                <w:noProof/>
                <w:webHidden/>
              </w:rPr>
            </w:r>
            <w:r>
              <w:rPr>
                <w:noProof/>
                <w:webHidden/>
              </w:rPr>
              <w:fldChar w:fldCharType="separate"/>
            </w:r>
            <w:r>
              <w:rPr>
                <w:noProof/>
                <w:webHidden/>
              </w:rPr>
              <w:t>157</w:t>
            </w:r>
            <w:r>
              <w:rPr>
                <w:noProof/>
                <w:webHidden/>
              </w:rPr>
              <w:fldChar w:fldCharType="end"/>
            </w:r>
          </w:hyperlink>
        </w:p>
        <w:p w14:paraId="5BB56576" w14:textId="2EC1A824" w:rsidR="00A41D3F" w:rsidRDefault="00A41D3F">
          <w:pPr>
            <w:pStyle w:val="TOC2"/>
            <w:tabs>
              <w:tab w:val="right" w:leader="dot" w:pos="9062"/>
            </w:tabs>
            <w:rPr>
              <w:noProof/>
            </w:rPr>
          </w:pPr>
          <w:hyperlink w:anchor="_Toc101516107" w:history="1">
            <w:r w:rsidRPr="008F3F9B">
              <w:rPr>
                <w:rStyle w:val="Hyperlink"/>
                <w:noProof/>
              </w:rPr>
              <w:t>Annex 5 - Scoreboard of H2020 common KPIs</w:t>
            </w:r>
            <w:r>
              <w:rPr>
                <w:noProof/>
                <w:webHidden/>
              </w:rPr>
              <w:tab/>
            </w:r>
            <w:r>
              <w:rPr>
                <w:noProof/>
                <w:webHidden/>
              </w:rPr>
              <w:fldChar w:fldCharType="begin"/>
            </w:r>
            <w:r>
              <w:rPr>
                <w:noProof/>
                <w:webHidden/>
              </w:rPr>
              <w:instrText xml:space="preserve"> PAGEREF _Toc101516107 \h </w:instrText>
            </w:r>
            <w:r>
              <w:rPr>
                <w:noProof/>
                <w:webHidden/>
              </w:rPr>
            </w:r>
            <w:r>
              <w:rPr>
                <w:noProof/>
                <w:webHidden/>
              </w:rPr>
              <w:fldChar w:fldCharType="separate"/>
            </w:r>
            <w:r>
              <w:rPr>
                <w:noProof/>
                <w:webHidden/>
              </w:rPr>
              <w:t>159</w:t>
            </w:r>
            <w:r>
              <w:rPr>
                <w:noProof/>
                <w:webHidden/>
              </w:rPr>
              <w:fldChar w:fldCharType="end"/>
            </w:r>
          </w:hyperlink>
        </w:p>
        <w:p w14:paraId="59023AC1" w14:textId="10FF8001" w:rsidR="00A41D3F" w:rsidRDefault="00A41D3F">
          <w:pPr>
            <w:pStyle w:val="TOC2"/>
            <w:tabs>
              <w:tab w:val="right" w:leader="dot" w:pos="9062"/>
            </w:tabs>
            <w:rPr>
              <w:noProof/>
            </w:rPr>
          </w:pPr>
          <w:hyperlink w:anchor="_Toc101516108" w:history="1">
            <w:r w:rsidRPr="008F3F9B">
              <w:rPr>
                <w:rStyle w:val="Hyperlink"/>
                <w:noProof/>
              </w:rPr>
              <w:t>Annex</w:t>
            </w:r>
            <w:r w:rsidRPr="008F3F9B">
              <w:rPr>
                <w:rStyle w:val="Hyperlink"/>
                <w:noProof/>
                <w:lang w:val="en-US"/>
              </w:rPr>
              <w:t xml:space="preserve"> </w:t>
            </w:r>
            <w:r w:rsidRPr="008F3F9B">
              <w:rPr>
                <w:rStyle w:val="Hyperlink"/>
                <w:noProof/>
              </w:rPr>
              <w:t>6</w:t>
            </w:r>
            <w:r w:rsidRPr="008F3F9B">
              <w:rPr>
                <w:rStyle w:val="Hyperlink"/>
                <w:noProof/>
                <w:lang w:val="en-US"/>
              </w:rPr>
              <w:t xml:space="preserve"> - </w:t>
            </w:r>
            <w:r w:rsidRPr="008F3F9B">
              <w:rPr>
                <w:rStyle w:val="Hyperlink"/>
                <w:noProof/>
              </w:rPr>
              <w:t>Indicators for monitoring cross-cutting issues</w:t>
            </w:r>
            <w:r w:rsidRPr="008F3F9B">
              <w:rPr>
                <w:rStyle w:val="Hyperlink"/>
                <w:noProof/>
                <w:lang w:val="en-US"/>
              </w:rPr>
              <w:t xml:space="preserve"> </w:t>
            </w:r>
            <w:r>
              <w:rPr>
                <w:noProof/>
                <w:webHidden/>
              </w:rPr>
              <w:tab/>
            </w:r>
            <w:r>
              <w:rPr>
                <w:noProof/>
                <w:webHidden/>
              </w:rPr>
              <w:fldChar w:fldCharType="begin"/>
            </w:r>
            <w:r>
              <w:rPr>
                <w:noProof/>
                <w:webHidden/>
              </w:rPr>
              <w:instrText xml:space="preserve"> PAGEREF _Toc101516108 \h </w:instrText>
            </w:r>
            <w:r>
              <w:rPr>
                <w:noProof/>
                <w:webHidden/>
              </w:rPr>
            </w:r>
            <w:r>
              <w:rPr>
                <w:noProof/>
                <w:webHidden/>
              </w:rPr>
              <w:fldChar w:fldCharType="separate"/>
            </w:r>
            <w:r>
              <w:rPr>
                <w:noProof/>
                <w:webHidden/>
              </w:rPr>
              <w:t>161</w:t>
            </w:r>
            <w:r>
              <w:rPr>
                <w:noProof/>
                <w:webHidden/>
              </w:rPr>
              <w:fldChar w:fldCharType="end"/>
            </w:r>
          </w:hyperlink>
        </w:p>
        <w:p w14:paraId="4594E49D" w14:textId="0201104B" w:rsidR="00A41D3F" w:rsidRDefault="00A41D3F">
          <w:pPr>
            <w:pStyle w:val="TOC2"/>
            <w:tabs>
              <w:tab w:val="right" w:leader="dot" w:pos="9062"/>
            </w:tabs>
            <w:rPr>
              <w:noProof/>
            </w:rPr>
          </w:pPr>
          <w:hyperlink w:anchor="_Toc101516109" w:history="1">
            <w:r w:rsidRPr="008F3F9B">
              <w:rPr>
                <w:rStyle w:val="Hyperlink"/>
                <w:noProof/>
              </w:rPr>
              <w:t>Annex</w:t>
            </w:r>
            <w:r w:rsidRPr="008F3F9B">
              <w:rPr>
                <w:rStyle w:val="Hyperlink"/>
                <w:noProof/>
                <w:lang w:val="en-US"/>
              </w:rPr>
              <w:t xml:space="preserve"> 7 - Scoreboard of KPIs specific to JU</w:t>
            </w:r>
            <w:r>
              <w:rPr>
                <w:noProof/>
                <w:webHidden/>
              </w:rPr>
              <w:tab/>
            </w:r>
            <w:r>
              <w:rPr>
                <w:noProof/>
                <w:webHidden/>
              </w:rPr>
              <w:fldChar w:fldCharType="begin"/>
            </w:r>
            <w:r>
              <w:rPr>
                <w:noProof/>
                <w:webHidden/>
              </w:rPr>
              <w:instrText xml:space="preserve"> PAGEREF _Toc101516109 \h </w:instrText>
            </w:r>
            <w:r>
              <w:rPr>
                <w:noProof/>
                <w:webHidden/>
              </w:rPr>
            </w:r>
            <w:r>
              <w:rPr>
                <w:noProof/>
                <w:webHidden/>
              </w:rPr>
              <w:fldChar w:fldCharType="separate"/>
            </w:r>
            <w:r>
              <w:rPr>
                <w:noProof/>
                <w:webHidden/>
              </w:rPr>
              <w:t>166</w:t>
            </w:r>
            <w:r>
              <w:rPr>
                <w:noProof/>
                <w:webHidden/>
              </w:rPr>
              <w:fldChar w:fldCharType="end"/>
            </w:r>
          </w:hyperlink>
        </w:p>
        <w:p w14:paraId="7C134774" w14:textId="56D6E549" w:rsidR="00A41D3F" w:rsidRDefault="00A41D3F">
          <w:pPr>
            <w:pStyle w:val="TOC2"/>
            <w:tabs>
              <w:tab w:val="right" w:leader="dot" w:pos="9062"/>
            </w:tabs>
            <w:rPr>
              <w:noProof/>
            </w:rPr>
          </w:pPr>
          <w:hyperlink w:anchor="_Toc101516110" w:history="1">
            <w:r w:rsidRPr="008F3F9B">
              <w:rPr>
                <w:rStyle w:val="Hyperlink"/>
                <w:rFonts w:ascii="Arial" w:hAnsi="Arial" w:cs="Arial"/>
                <w:noProof/>
              </w:rPr>
              <w:t>Annex 8- Draft annual accounts</w:t>
            </w:r>
            <w:r>
              <w:rPr>
                <w:noProof/>
                <w:webHidden/>
              </w:rPr>
              <w:tab/>
            </w:r>
            <w:r>
              <w:rPr>
                <w:noProof/>
                <w:webHidden/>
              </w:rPr>
              <w:fldChar w:fldCharType="begin"/>
            </w:r>
            <w:r>
              <w:rPr>
                <w:noProof/>
                <w:webHidden/>
              </w:rPr>
              <w:instrText xml:space="preserve"> PAGEREF _Toc101516110 \h </w:instrText>
            </w:r>
            <w:r>
              <w:rPr>
                <w:noProof/>
                <w:webHidden/>
              </w:rPr>
            </w:r>
            <w:r>
              <w:rPr>
                <w:noProof/>
                <w:webHidden/>
              </w:rPr>
              <w:fldChar w:fldCharType="separate"/>
            </w:r>
            <w:r>
              <w:rPr>
                <w:noProof/>
                <w:webHidden/>
              </w:rPr>
              <w:t>169</w:t>
            </w:r>
            <w:r>
              <w:rPr>
                <w:noProof/>
                <w:webHidden/>
              </w:rPr>
              <w:fldChar w:fldCharType="end"/>
            </w:r>
          </w:hyperlink>
        </w:p>
        <w:p w14:paraId="0AA926FA" w14:textId="58EE6D21" w:rsidR="00A41D3F" w:rsidRDefault="00A41D3F">
          <w:pPr>
            <w:pStyle w:val="TOC2"/>
            <w:tabs>
              <w:tab w:val="right" w:leader="dot" w:pos="9062"/>
            </w:tabs>
            <w:rPr>
              <w:noProof/>
            </w:rPr>
          </w:pPr>
          <w:hyperlink w:anchor="_Toc101516111" w:history="1">
            <w:r w:rsidRPr="008F3F9B">
              <w:rPr>
                <w:rStyle w:val="Hyperlink"/>
                <w:noProof/>
              </w:rPr>
              <w:t xml:space="preserve">Annex </w:t>
            </w:r>
            <w:r w:rsidRPr="008F3F9B">
              <w:rPr>
                <w:rStyle w:val="Hyperlink"/>
                <w:noProof/>
                <w:lang w:val="el-GR"/>
              </w:rPr>
              <w:t>9</w:t>
            </w:r>
            <w:r w:rsidRPr="008F3F9B">
              <w:rPr>
                <w:rStyle w:val="Hyperlink"/>
                <w:noProof/>
              </w:rPr>
              <w:t xml:space="preserve"> – </w:t>
            </w:r>
            <w:r w:rsidRPr="008F3F9B">
              <w:rPr>
                <w:rStyle w:val="Hyperlink"/>
                <w:noProof/>
                <w:lang w:val="en-US"/>
              </w:rPr>
              <w:t>Materiality criteria</w:t>
            </w:r>
            <w:r>
              <w:rPr>
                <w:noProof/>
                <w:webHidden/>
              </w:rPr>
              <w:tab/>
            </w:r>
            <w:r>
              <w:rPr>
                <w:noProof/>
                <w:webHidden/>
              </w:rPr>
              <w:fldChar w:fldCharType="begin"/>
            </w:r>
            <w:r>
              <w:rPr>
                <w:noProof/>
                <w:webHidden/>
              </w:rPr>
              <w:instrText xml:space="preserve"> PAGEREF _Toc101516111 \h </w:instrText>
            </w:r>
            <w:r>
              <w:rPr>
                <w:noProof/>
                <w:webHidden/>
              </w:rPr>
            </w:r>
            <w:r>
              <w:rPr>
                <w:noProof/>
                <w:webHidden/>
              </w:rPr>
              <w:fldChar w:fldCharType="separate"/>
            </w:r>
            <w:r>
              <w:rPr>
                <w:noProof/>
                <w:webHidden/>
              </w:rPr>
              <w:t>171</w:t>
            </w:r>
            <w:r>
              <w:rPr>
                <w:noProof/>
                <w:webHidden/>
              </w:rPr>
              <w:fldChar w:fldCharType="end"/>
            </w:r>
          </w:hyperlink>
        </w:p>
        <w:p w14:paraId="164905C9" w14:textId="01A23DC8" w:rsidR="00A41D3F" w:rsidRDefault="00A41D3F">
          <w:pPr>
            <w:pStyle w:val="TOC2"/>
            <w:tabs>
              <w:tab w:val="right" w:leader="dot" w:pos="9062"/>
            </w:tabs>
            <w:rPr>
              <w:noProof/>
            </w:rPr>
          </w:pPr>
          <w:hyperlink w:anchor="_Toc101516112" w:history="1">
            <w:r w:rsidRPr="008F3F9B">
              <w:rPr>
                <w:rStyle w:val="Hyperlink"/>
                <w:noProof/>
              </w:rPr>
              <w:t xml:space="preserve">Annex 10 – </w:t>
            </w:r>
            <w:r w:rsidRPr="008F3F9B">
              <w:rPr>
                <w:rStyle w:val="Hyperlink"/>
                <w:noProof/>
                <w:lang w:val="en-US"/>
              </w:rPr>
              <w:t>List of acronyms</w:t>
            </w:r>
            <w:r>
              <w:rPr>
                <w:noProof/>
                <w:webHidden/>
              </w:rPr>
              <w:tab/>
            </w:r>
            <w:r>
              <w:rPr>
                <w:noProof/>
                <w:webHidden/>
              </w:rPr>
              <w:fldChar w:fldCharType="begin"/>
            </w:r>
            <w:r>
              <w:rPr>
                <w:noProof/>
                <w:webHidden/>
              </w:rPr>
              <w:instrText xml:space="preserve"> PAGEREF _Toc101516112 \h </w:instrText>
            </w:r>
            <w:r>
              <w:rPr>
                <w:noProof/>
                <w:webHidden/>
              </w:rPr>
            </w:r>
            <w:r>
              <w:rPr>
                <w:noProof/>
                <w:webHidden/>
              </w:rPr>
              <w:fldChar w:fldCharType="separate"/>
            </w:r>
            <w:r>
              <w:rPr>
                <w:noProof/>
                <w:webHidden/>
              </w:rPr>
              <w:t>173</w:t>
            </w:r>
            <w:r>
              <w:rPr>
                <w:noProof/>
                <w:webHidden/>
              </w:rPr>
              <w:fldChar w:fldCharType="end"/>
            </w:r>
          </w:hyperlink>
        </w:p>
        <w:p w14:paraId="0A246421" w14:textId="0A6FB602" w:rsidR="00293B9A" w:rsidRDefault="00293B9A">
          <w:r>
            <w:rPr>
              <w:b/>
              <w:bCs/>
              <w:noProof/>
            </w:rPr>
            <w:fldChar w:fldCharType="end"/>
          </w:r>
        </w:p>
      </w:sdtContent>
    </w:sdt>
    <w:p w14:paraId="2344C10B" w14:textId="5E07A5E7" w:rsidR="00293B9A" w:rsidRDefault="00293B9A" w:rsidP="00293B9A"/>
    <w:p w14:paraId="66746BD4" w14:textId="1B5986D9" w:rsidR="009868A4" w:rsidRDefault="009868A4" w:rsidP="00293B9A"/>
    <w:p w14:paraId="5496FCB6" w14:textId="3F69AFB4" w:rsidR="009868A4" w:rsidRDefault="009868A4" w:rsidP="00293B9A"/>
    <w:p w14:paraId="54866135" w14:textId="424C1FC5" w:rsidR="009868A4" w:rsidRDefault="009868A4" w:rsidP="00293B9A"/>
    <w:p w14:paraId="7D6BA985" w14:textId="2653552B" w:rsidR="009868A4" w:rsidRDefault="009868A4" w:rsidP="00293B9A"/>
    <w:p w14:paraId="65F72437" w14:textId="55354AC4" w:rsidR="009868A4" w:rsidRDefault="009868A4" w:rsidP="00293B9A"/>
    <w:p w14:paraId="7882138C" w14:textId="3134D39A" w:rsidR="009868A4" w:rsidRDefault="009868A4" w:rsidP="00293B9A"/>
    <w:p w14:paraId="52A68A98" w14:textId="5A1FC647" w:rsidR="009868A4" w:rsidRDefault="009868A4" w:rsidP="00293B9A"/>
    <w:p w14:paraId="10068290" w14:textId="64CB8FF3" w:rsidR="009868A4" w:rsidRDefault="009868A4" w:rsidP="00293B9A"/>
    <w:p w14:paraId="705E3B9C" w14:textId="6A21C3CF" w:rsidR="009868A4" w:rsidRDefault="009868A4" w:rsidP="00293B9A"/>
    <w:p w14:paraId="2C61CB05" w14:textId="3EB64B18" w:rsidR="009868A4" w:rsidRDefault="009868A4" w:rsidP="00293B9A"/>
    <w:p w14:paraId="726BAE1C" w14:textId="28035292" w:rsidR="009868A4" w:rsidRDefault="009868A4" w:rsidP="00293B9A"/>
    <w:p w14:paraId="2283822F" w14:textId="2A260211" w:rsidR="009868A4" w:rsidRDefault="009868A4" w:rsidP="00293B9A"/>
    <w:p w14:paraId="0F2A1A79" w14:textId="5D4654B2" w:rsidR="009868A4" w:rsidRDefault="009868A4" w:rsidP="00293B9A"/>
    <w:p w14:paraId="6E2C081A" w14:textId="2A3FCCAD" w:rsidR="009868A4" w:rsidRDefault="009868A4" w:rsidP="00293B9A"/>
    <w:p w14:paraId="6C9BCCCE" w14:textId="300CF160" w:rsidR="009868A4" w:rsidRDefault="009868A4" w:rsidP="00293B9A"/>
    <w:p w14:paraId="7B94B122" w14:textId="125C6D93" w:rsidR="009868A4" w:rsidRDefault="009868A4" w:rsidP="00293B9A"/>
    <w:p w14:paraId="7ACE80FF" w14:textId="77777777" w:rsidR="009868A4" w:rsidRPr="00293B9A" w:rsidRDefault="009868A4" w:rsidP="00293B9A"/>
    <w:p w14:paraId="0CCA3500" w14:textId="480C329D" w:rsidR="00361F11" w:rsidRDefault="00361F11">
      <w:pPr>
        <w:spacing w:after="0" w:line="240" w:lineRule="auto"/>
      </w:pPr>
      <w:bookmarkStart w:id="2" w:name="_Toc98496320"/>
      <w:r>
        <w:br w:type="page"/>
      </w:r>
    </w:p>
    <w:p w14:paraId="2444C9B5" w14:textId="2EC18419" w:rsidR="006600B1" w:rsidRPr="00BB4A45" w:rsidRDefault="00BB2B1B" w:rsidP="005930BB">
      <w:pPr>
        <w:pStyle w:val="Heading1"/>
        <w:jc w:val="both"/>
        <w:rPr>
          <w:rFonts w:ascii="Arial" w:hAnsi="Arial" w:cs="Arial"/>
        </w:rPr>
      </w:pPr>
      <w:bookmarkStart w:id="3" w:name="_Toc101516043"/>
      <w:r w:rsidRPr="00BB4A45">
        <w:rPr>
          <w:rFonts w:ascii="Arial" w:hAnsi="Arial" w:cs="Arial"/>
        </w:rPr>
        <w:lastRenderedPageBreak/>
        <w:t>FAC</w:t>
      </w:r>
      <w:r w:rsidR="003F6B0C" w:rsidRPr="00BB4A45">
        <w:rPr>
          <w:rFonts w:ascii="Arial" w:hAnsi="Arial" w:cs="Arial"/>
        </w:rPr>
        <w:t>T</w:t>
      </w:r>
      <w:r w:rsidRPr="00BB4A45">
        <w:rPr>
          <w:rFonts w:ascii="Arial" w:hAnsi="Arial" w:cs="Arial"/>
        </w:rPr>
        <w:t>SHEET</w:t>
      </w:r>
      <w:bookmarkEnd w:id="2"/>
      <w:bookmarkEnd w:id="3"/>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8"/>
        <w:gridCol w:w="7272"/>
      </w:tblGrid>
      <w:tr w:rsidR="00BB2B1B" w:rsidRPr="008913E5" w14:paraId="1D32C1BB" w14:textId="77777777" w:rsidTr="00A06C44">
        <w:trPr>
          <w:trHeight w:val="661"/>
        </w:trPr>
        <w:tc>
          <w:tcPr>
            <w:tcW w:w="1908" w:type="dxa"/>
            <w:shd w:val="clear" w:color="auto" w:fill="CCCCCC"/>
            <w:vAlign w:val="center"/>
          </w:tcPr>
          <w:p w14:paraId="1D542971" w14:textId="77777777" w:rsidR="00BB2B1B" w:rsidRPr="008913E5" w:rsidRDefault="00BB2B1B" w:rsidP="00A65E80">
            <w:pPr>
              <w:spacing w:after="0"/>
              <w:jc w:val="center"/>
              <w:rPr>
                <w:rFonts w:ascii="Arial" w:hAnsi="Arial" w:cs="Arial"/>
                <w:b/>
                <w:color w:val="0070C0"/>
                <w:sz w:val="20"/>
                <w:highlight w:val="yellow"/>
              </w:rPr>
            </w:pPr>
            <w:r w:rsidRPr="008913E5">
              <w:rPr>
                <w:rFonts w:ascii="Arial" w:hAnsi="Arial" w:cs="Arial"/>
                <w:b/>
                <w:color w:val="0070C0"/>
                <w:sz w:val="20"/>
              </w:rPr>
              <w:t>Name</w:t>
            </w:r>
          </w:p>
        </w:tc>
        <w:tc>
          <w:tcPr>
            <w:tcW w:w="7272" w:type="dxa"/>
          </w:tcPr>
          <w:p w14:paraId="12ABC680" w14:textId="22E8730A" w:rsidR="00BB2B1B" w:rsidRDefault="008913E5" w:rsidP="00290ECC">
            <w:pPr>
              <w:pStyle w:val="Text1"/>
              <w:ind w:left="-57"/>
              <w:rPr>
                <w:rFonts w:ascii="Arial" w:hAnsi="Arial" w:cs="Arial"/>
                <w:color w:val="0070C0"/>
                <w:sz w:val="20"/>
              </w:rPr>
            </w:pPr>
            <w:r w:rsidRPr="008913E5">
              <w:rPr>
                <w:rFonts w:ascii="Arial" w:hAnsi="Arial" w:cs="Arial"/>
                <w:color w:val="0070C0"/>
                <w:sz w:val="20"/>
              </w:rPr>
              <w:t>Fuel Cells and Hydrogen 2 Joint Undertaking</w:t>
            </w:r>
            <w:r>
              <w:rPr>
                <w:rFonts w:ascii="Arial" w:hAnsi="Arial" w:cs="Arial"/>
                <w:color w:val="0070C0"/>
                <w:sz w:val="20"/>
              </w:rPr>
              <w:t xml:space="preserve"> (until </w:t>
            </w:r>
            <w:r w:rsidR="005A3A75">
              <w:rPr>
                <w:rFonts w:ascii="Arial" w:hAnsi="Arial" w:cs="Arial"/>
                <w:color w:val="0070C0"/>
                <w:sz w:val="20"/>
              </w:rPr>
              <w:t>30</w:t>
            </w:r>
            <w:r>
              <w:rPr>
                <w:rFonts w:ascii="Arial" w:hAnsi="Arial" w:cs="Arial"/>
                <w:color w:val="0070C0"/>
                <w:sz w:val="20"/>
              </w:rPr>
              <w:t>/11/2021)</w:t>
            </w:r>
          </w:p>
          <w:p w14:paraId="40C69444" w14:textId="4A92189B" w:rsidR="008913E5" w:rsidRPr="008913E5" w:rsidRDefault="008913E5" w:rsidP="00290ECC">
            <w:pPr>
              <w:pStyle w:val="Text1"/>
              <w:ind w:left="-57"/>
              <w:rPr>
                <w:rFonts w:ascii="Arial" w:hAnsi="Arial" w:cs="Arial"/>
                <w:color w:val="0070C0"/>
                <w:sz w:val="20"/>
              </w:rPr>
            </w:pPr>
            <w:r>
              <w:rPr>
                <w:rFonts w:ascii="Arial" w:hAnsi="Arial" w:cs="Arial"/>
                <w:color w:val="0070C0"/>
                <w:sz w:val="20"/>
              </w:rPr>
              <w:t xml:space="preserve">Clean Hydrogen Joint Undertaking (as of </w:t>
            </w:r>
            <w:r w:rsidR="005A3A75">
              <w:rPr>
                <w:rFonts w:ascii="Arial" w:hAnsi="Arial" w:cs="Arial"/>
                <w:color w:val="0070C0"/>
                <w:sz w:val="20"/>
              </w:rPr>
              <w:t>30</w:t>
            </w:r>
            <w:r>
              <w:rPr>
                <w:rFonts w:ascii="Arial" w:hAnsi="Arial" w:cs="Arial"/>
                <w:color w:val="0070C0"/>
                <w:sz w:val="20"/>
              </w:rPr>
              <w:t>/11/2021)</w:t>
            </w:r>
          </w:p>
        </w:tc>
      </w:tr>
      <w:tr w:rsidR="00BB2B1B" w:rsidRPr="008913E5" w14:paraId="261F49A5" w14:textId="77777777" w:rsidTr="00A06C44">
        <w:trPr>
          <w:trHeight w:val="697"/>
        </w:trPr>
        <w:tc>
          <w:tcPr>
            <w:tcW w:w="1908" w:type="dxa"/>
            <w:shd w:val="clear" w:color="auto" w:fill="CCCCCC"/>
            <w:vAlign w:val="center"/>
          </w:tcPr>
          <w:p w14:paraId="3F3EF248" w14:textId="44DE418B" w:rsidR="00BB2B1B" w:rsidRPr="008913E5" w:rsidRDefault="00BB2B1B" w:rsidP="00BB2B1B">
            <w:pPr>
              <w:spacing w:after="0"/>
              <w:jc w:val="center"/>
              <w:rPr>
                <w:rFonts w:ascii="Arial" w:hAnsi="Arial" w:cs="Arial"/>
                <w:b/>
                <w:color w:val="0070C0"/>
                <w:sz w:val="20"/>
                <w:highlight w:val="yellow"/>
              </w:rPr>
            </w:pPr>
            <w:r w:rsidRPr="00850DEB">
              <w:rPr>
                <w:rFonts w:ascii="Arial" w:hAnsi="Arial" w:cs="Arial"/>
                <w:b/>
                <w:color w:val="0070C0"/>
                <w:sz w:val="20"/>
              </w:rPr>
              <w:t>Objectives</w:t>
            </w:r>
          </w:p>
        </w:tc>
        <w:tc>
          <w:tcPr>
            <w:tcW w:w="7272" w:type="dxa"/>
          </w:tcPr>
          <w:p w14:paraId="5FD48949" w14:textId="77777777" w:rsidR="00BB2B1B" w:rsidRDefault="008913E5" w:rsidP="00290ECC">
            <w:pPr>
              <w:pStyle w:val="Text1"/>
              <w:ind w:left="-57"/>
              <w:rPr>
                <w:rFonts w:ascii="Arial" w:hAnsi="Arial" w:cs="Arial"/>
                <w:i/>
                <w:iCs/>
                <w:color w:val="0070C0"/>
                <w:sz w:val="20"/>
              </w:rPr>
            </w:pPr>
            <w:r w:rsidRPr="008913E5">
              <w:rPr>
                <w:rFonts w:ascii="Arial" w:hAnsi="Arial" w:cs="Arial"/>
                <w:i/>
                <w:iCs/>
                <w:color w:val="0070C0"/>
                <w:sz w:val="20"/>
              </w:rPr>
              <w:t>For Fuel Cells and Hydrogen 2 Joint Undertaking</w:t>
            </w:r>
          </w:p>
          <w:p w14:paraId="0F8CA1BE" w14:textId="46C12DFC" w:rsidR="00323713" w:rsidRPr="003068B5" w:rsidRDefault="00323713" w:rsidP="008913E5">
            <w:pPr>
              <w:pStyle w:val="Text1"/>
              <w:ind w:left="-57"/>
              <w:rPr>
                <w:rFonts w:ascii="Arial" w:hAnsi="Arial" w:cs="Arial"/>
                <w:color w:val="0070C0"/>
                <w:sz w:val="20"/>
                <w:u w:val="single"/>
              </w:rPr>
            </w:pPr>
            <w:r w:rsidRPr="003068B5">
              <w:rPr>
                <w:rFonts w:ascii="Arial" w:hAnsi="Arial" w:cs="Arial"/>
                <w:color w:val="0070C0"/>
                <w:sz w:val="20"/>
                <w:u w:val="single"/>
              </w:rPr>
              <w:t>General objectives</w:t>
            </w:r>
          </w:p>
          <w:p w14:paraId="12526BA6" w14:textId="78F5FA34" w:rsidR="008913E5" w:rsidRPr="008913E5" w:rsidRDefault="008913E5" w:rsidP="008913E5">
            <w:pPr>
              <w:pStyle w:val="Text1"/>
              <w:ind w:left="-57"/>
              <w:rPr>
                <w:rFonts w:ascii="Arial" w:hAnsi="Arial" w:cs="Arial"/>
                <w:color w:val="0070C0"/>
                <w:sz w:val="20"/>
              </w:rPr>
            </w:pPr>
            <w:r w:rsidRPr="008913E5">
              <w:rPr>
                <w:rFonts w:ascii="Arial" w:hAnsi="Arial" w:cs="Arial"/>
                <w:color w:val="0070C0"/>
                <w:sz w:val="20"/>
              </w:rPr>
              <w:t xml:space="preserve">a) </w:t>
            </w:r>
            <w:r w:rsidR="00850DEB">
              <w:rPr>
                <w:rFonts w:ascii="Arial" w:hAnsi="Arial" w:cs="Arial"/>
                <w:color w:val="0070C0"/>
                <w:sz w:val="20"/>
              </w:rPr>
              <w:t>t</w:t>
            </w:r>
            <w:r w:rsidRPr="008913E5">
              <w:rPr>
                <w:rFonts w:ascii="Arial" w:hAnsi="Arial" w:cs="Arial"/>
                <w:color w:val="0070C0"/>
                <w:sz w:val="20"/>
              </w:rPr>
              <w:t xml:space="preserve">o contribute to the implementation of Regulation (EU) No. 1291/2013, and </w:t>
            </w:r>
            <w:proofErr w:type="gramStart"/>
            <w:r w:rsidRPr="008913E5">
              <w:rPr>
                <w:rFonts w:ascii="Arial" w:hAnsi="Arial" w:cs="Arial"/>
                <w:color w:val="0070C0"/>
                <w:sz w:val="20"/>
              </w:rPr>
              <w:t>in particular the</w:t>
            </w:r>
            <w:proofErr w:type="gramEnd"/>
            <w:r w:rsidRPr="008913E5">
              <w:rPr>
                <w:rFonts w:ascii="Arial" w:hAnsi="Arial" w:cs="Arial"/>
                <w:color w:val="0070C0"/>
                <w:sz w:val="20"/>
              </w:rPr>
              <w:t xml:space="preserve"> Secure, Clean</w:t>
            </w:r>
            <w:r>
              <w:rPr>
                <w:rFonts w:ascii="Arial" w:hAnsi="Arial" w:cs="Arial"/>
                <w:color w:val="0070C0"/>
                <w:sz w:val="20"/>
              </w:rPr>
              <w:t xml:space="preserve"> </w:t>
            </w:r>
            <w:r w:rsidRPr="008913E5">
              <w:rPr>
                <w:rFonts w:ascii="Arial" w:hAnsi="Arial" w:cs="Arial"/>
                <w:color w:val="0070C0"/>
                <w:sz w:val="20"/>
              </w:rPr>
              <w:t>and Efficient Energy Challenge and the Smart, Green and Integrated Transport Challenge under part III of I of</w:t>
            </w:r>
            <w:r>
              <w:rPr>
                <w:rFonts w:ascii="Arial" w:hAnsi="Arial" w:cs="Arial"/>
                <w:color w:val="0070C0"/>
                <w:sz w:val="20"/>
              </w:rPr>
              <w:t xml:space="preserve"> </w:t>
            </w:r>
            <w:r w:rsidRPr="008913E5">
              <w:rPr>
                <w:rFonts w:ascii="Arial" w:hAnsi="Arial" w:cs="Arial"/>
                <w:color w:val="0070C0"/>
                <w:sz w:val="20"/>
              </w:rPr>
              <w:t>Decision 2013/743/EU</w:t>
            </w:r>
          </w:p>
          <w:p w14:paraId="34EDC195" w14:textId="7C0DF51C" w:rsidR="008913E5" w:rsidRDefault="008913E5" w:rsidP="008913E5">
            <w:pPr>
              <w:pStyle w:val="Text1"/>
              <w:ind w:left="-57"/>
              <w:rPr>
                <w:rFonts w:ascii="Arial" w:hAnsi="Arial" w:cs="Arial"/>
                <w:color w:val="0070C0"/>
                <w:sz w:val="20"/>
              </w:rPr>
            </w:pPr>
            <w:r w:rsidRPr="008913E5">
              <w:rPr>
                <w:rFonts w:ascii="Arial" w:hAnsi="Arial" w:cs="Arial"/>
                <w:color w:val="0070C0"/>
                <w:sz w:val="20"/>
              </w:rPr>
              <w:t xml:space="preserve">b) </w:t>
            </w:r>
            <w:r w:rsidR="00850DEB">
              <w:rPr>
                <w:rFonts w:ascii="Arial" w:hAnsi="Arial" w:cs="Arial"/>
                <w:color w:val="0070C0"/>
                <w:sz w:val="20"/>
              </w:rPr>
              <w:t>t</w:t>
            </w:r>
            <w:r w:rsidRPr="008913E5">
              <w:rPr>
                <w:rFonts w:ascii="Arial" w:hAnsi="Arial" w:cs="Arial"/>
                <w:color w:val="0070C0"/>
                <w:sz w:val="20"/>
              </w:rPr>
              <w:t>o contribute to the objectives of the Joint Technology Initiative on Fuel Cells and Hydrogen, through the</w:t>
            </w:r>
            <w:r>
              <w:rPr>
                <w:rFonts w:ascii="Arial" w:hAnsi="Arial" w:cs="Arial"/>
                <w:color w:val="0070C0"/>
                <w:sz w:val="20"/>
              </w:rPr>
              <w:t xml:space="preserve"> </w:t>
            </w:r>
            <w:r w:rsidRPr="008913E5">
              <w:rPr>
                <w:rFonts w:ascii="Arial" w:hAnsi="Arial" w:cs="Arial"/>
                <w:color w:val="0070C0"/>
                <w:sz w:val="20"/>
              </w:rPr>
              <w:t xml:space="preserve">development of a strong, </w:t>
            </w:r>
            <w:proofErr w:type="gramStart"/>
            <w:r w:rsidRPr="008913E5">
              <w:rPr>
                <w:rFonts w:ascii="Arial" w:hAnsi="Arial" w:cs="Arial"/>
                <w:color w:val="0070C0"/>
                <w:sz w:val="20"/>
              </w:rPr>
              <w:t>sustainable</w:t>
            </w:r>
            <w:proofErr w:type="gramEnd"/>
            <w:r w:rsidRPr="008913E5">
              <w:rPr>
                <w:rFonts w:ascii="Arial" w:hAnsi="Arial" w:cs="Arial"/>
                <w:color w:val="0070C0"/>
                <w:sz w:val="20"/>
              </w:rPr>
              <w:t xml:space="preserve"> and globally competitive FCH sector in the Union</w:t>
            </w:r>
          </w:p>
          <w:p w14:paraId="3E8127D6" w14:textId="4BEFBE6F" w:rsidR="00323713" w:rsidRPr="003068B5" w:rsidRDefault="00323713" w:rsidP="008913E5">
            <w:pPr>
              <w:pStyle w:val="Text1"/>
              <w:ind w:left="-57"/>
              <w:rPr>
                <w:rFonts w:ascii="Arial" w:hAnsi="Arial" w:cs="Arial"/>
                <w:color w:val="0070C0"/>
                <w:sz w:val="20"/>
                <w:u w:val="single"/>
              </w:rPr>
            </w:pPr>
            <w:r w:rsidRPr="003068B5">
              <w:rPr>
                <w:rFonts w:ascii="Arial" w:hAnsi="Arial" w:cs="Arial"/>
                <w:color w:val="0070C0"/>
                <w:sz w:val="20"/>
                <w:u w:val="single"/>
              </w:rPr>
              <w:t>Specific objectives</w:t>
            </w:r>
          </w:p>
          <w:p w14:paraId="4769865C" w14:textId="46E09512" w:rsidR="00323713" w:rsidRDefault="00323713" w:rsidP="00323713">
            <w:pPr>
              <w:pStyle w:val="Text1"/>
              <w:ind w:left="-57"/>
              <w:rPr>
                <w:rFonts w:ascii="Arial" w:hAnsi="Arial" w:cs="Arial"/>
                <w:color w:val="0070C0"/>
                <w:sz w:val="20"/>
              </w:rPr>
            </w:pPr>
            <w:r w:rsidRPr="00323713">
              <w:rPr>
                <w:rFonts w:ascii="Arial" w:hAnsi="Arial" w:cs="Arial"/>
                <w:color w:val="0070C0"/>
                <w:sz w:val="20"/>
              </w:rPr>
              <w:t>a) to reduce the production cost of fuel cell systems to be used in transport applications, while increasing their lifetime to</w:t>
            </w:r>
            <w:r>
              <w:rPr>
                <w:rFonts w:ascii="Arial" w:hAnsi="Arial" w:cs="Arial"/>
                <w:color w:val="0070C0"/>
                <w:sz w:val="20"/>
              </w:rPr>
              <w:t xml:space="preserve"> </w:t>
            </w:r>
            <w:r w:rsidRPr="00323713">
              <w:rPr>
                <w:rFonts w:ascii="Arial" w:hAnsi="Arial" w:cs="Arial"/>
                <w:color w:val="0070C0"/>
                <w:sz w:val="20"/>
              </w:rPr>
              <w:t xml:space="preserve">levels which can compete with conventional </w:t>
            </w:r>
            <w:proofErr w:type="gramStart"/>
            <w:r w:rsidRPr="00323713">
              <w:rPr>
                <w:rFonts w:ascii="Arial" w:hAnsi="Arial" w:cs="Arial"/>
                <w:color w:val="0070C0"/>
                <w:sz w:val="20"/>
              </w:rPr>
              <w:t>technologies</w:t>
            </w:r>
            <w:r w:rsidR="00071FA5">
              <w:rPr>
                <w:rFonts w:ascii="Arial" w:hAnsi="Arial" w:cs="Arial"/>
                <w:color w:val="0070C0"/>
                <w:sz w:val="20"/>
              </w:rPr>
              <w:t>;</w:t>
            </w:r>
            <w:proofErr w:type="gramEnd"/>
          </w:p>
          <w:p w14:paraId="6ADE4999" w14:textId="5B40FF07" w:rsidR="00323713" w:rsidRDefault="00323713" w:rsidP="00323713">
            <w:pPr>
              <w:pStyle w:val="Text1"/>
              <w:ind w:left="-57"/>
              <w:rPr>
                <w:rFonts w:ascii="Arial" w:hAnsi="Arial" w:cs="Arial"/>
                <w:color w:val="0070C0"/>
                <w:sz w:val="20"/>
              </w:rPr>
            </w:pPr>
            <w:r>
              <w:rPr>
                <w:rFonts w:ascii="Arial" w:hAnsi="Arial" w:cs="Arial"/>
                <w:color w:val="0070C0"/>
                <w:sz w:val="20"/>
              </w:rPr>
              <w:t xml:space="preserve">b) to </w:t>
            </w:r>
            <w:r w:rsidRPr="00323713">
              <w:rPr>
                <w:rFonts w:ascii="Arial" w:hAnsi="Arial" w:cs="Arial"/>
                <w:color w:val="0070C0"/>
                <w:sz w:val="20"/>
              </w:rPr>
              <w:t>increase the electrical efficiency and the durability of the different fuel cells used for power production to levels which</w:t>
            </w:r>
            <w:r>
              <w:rPr>
                <w:rFonts w:ascii="Arial" w:hAnsi="Arial" w:cs="Arial"/>
                <w:color w:val="0070C0"/>
                <w:sz w:val="20"/>
              </w:rPr>
              <w:t xml:space="preserve"> </w:t>
            </w:r>
            <w:r w:rsidRPr="00323713">
              <w:rPr>
                <w:rFonts w:ascii="Arial" w:hAnsi="Arial" w:cs="Arial"/>
                <w:color w:val="0070C0"/>
                <w:sz w:val="20"/>
              </w:rPr>
              <w:t xml:space="preserve">can compete with conventional technologies, while reducing </w:t>
            </w:r>
            <w:proofErr w:type="gramStart"/>
            <w:r w:rsidRPr="00323713">
              <w:rPr>
                <w:rFonts w:ascii="Arial" w:hAnsi="Arial" w:cs="Arial"/>
                <w:color w:val="0070C0"/>
                <w:sz w:val="20"/>
              </w:rPr>
              <w:t>costs</w:t>
            </w:r>
            <w:r w:rsidR="00071FA5">
              <w:rPr>
                <w:rFonts w:ascii="Arial" w:hAnsi="Arial" w:cs="Arial"/>
                <w:color w:val="0070C0"/>
                <w:sz w:val="20"/>
              </w:rPr>
              <w:t>;</w:t>
            </w:r>
            <w:proofErr w:type="gramEnd"/>
          </w:p>
          <w:p w14:paraId="766C21CC" w14:textId="4C0B51A5" w:rsidR="00323713" w:rsidRDefault="00323713" w:rsidP="00323713">
            <w:pPr>
              <w:pStyle w:val="Text1"/>
              <w:ind w:left="-57"/>
              <w:rPr>
                <w:rFonts w:ascii="Arial" w:hAnsi="Arial" w:cs="Arial"/>
                <w:color w:val="0070C0"/>
                <w:sz w:val="20"/>
              </w:rPr>
            </w:pPr>
            <w:r>
              <w:rPr>
                <w:rFonts w:ascii="Arial" w:hAnsi="Arial" w:cs="Arial"/>
                <w:color w:val="0070C0"/>
                <w:sz w:val="20"/>
              </w:rPr>
              <w:t xml:space="preserve">c) to </w:t>
            </w:r>
            <w:r w:rsidRPr="00323713">
              <w:rPr>
                <w:rFonts w:ascii="Arial" w:hAnsi="Arial" w:cs="Arial"/>
                <w:color w:val="0070C0"/>
                <w:sz w:val="20"/>
              </w:rPr>
              <w:t>increase the energy efficiency of production of hydrogen mainly from water electrolysis and renewable sources while</w:t>
            </w:r>
            <w:r>
              <w:rPr>
                <w:rFonts w:ascii="Arial" w:hAnsi="Arial" w:cs="Arial"/>
                <w:color w:val="0070C0"/>
                <w:sz w:val="20"/>
              </w:rPr>
              <w:t xml:space="preserve"> </w:t>
            </w:r>
            <w:r w:rsidRPr="00323713">
              <w:rPr>
                <w:rFonts w:ascii="Arial" w:hAnsi="Arial" w:cs="Arial"/>
                <w:color w:val="0070C0"/>
                <w:sz w:val="20"/>
              </w:rPr>
              <w:t>reducing operating and capital costs, so that the combined system of the hydrogen production and the conversion</w:t>
            </w:r>
            <w:r>
              <w:rPr>
                <w:rFonts w:ascii="Arial" w:hAnsi="Arial" w:cs="Arial"/>
                <w:color w:val="0070C0"/>
                <w:sz w:val="20"/>
              </w:rPr>
              <w:t xml:space="preserve"> </w:t>
            </w:r>
            <w:r w:rsidRPr="00323713">
              <w:rPr>
                <w:rFonts w:ascii="Arial" w:hAnsi="Arial" w:cs="Arial"/>
                <w:color w:val="0070C0"/>
                <w:sz w:val="20"/>
              </w:rPr>
              <w:t xml:space="preserve">using the fuel cell system can compete with the alternatives for electricity production available on the </w:t>
            </w:r>
            <w:proofErr w:type="gramStart"/>
            <w:r w:rsidRPr="00323713">
              <w:rPr>
                <w:rFonts w:ascii="Arial" w:hAnsi="Arial" w:cs="Arial"/>
                <w:color w:val="0070C0"/>
                <w:sz w:val="20"/>
              </w:rPr>
              <w:t>market;</w:t>
            </w:r>
            <w:proofErr w:type="gramEnd"/>
          </w:p>
          <w:p w14:paraId="6948154F" w14:textId="35404D69" w:rsidR="00323713" w:rsidRDefault="00323713" w:rsidP="00323713">
            <w:pPr>
              <w:pStyle w:val="Text1"/>
              <w:ind w:left="-57"/>
              <w:rPr>
                <w:rFonts w:ascii="Arial" w:hAnsi="Arial" w:cs="Arial"/>
                <w:color w:val="0070C0"/>
                <w:sz w:val="20"/>
              </w:rPr>
            </w:pPr>
            <w:r>
              <w:rPr>
                <w:rFonts w:ascii="Arial" w:hAnsi="Arial" w:cs="Arial"/>
                <w:color w:val="0070C0"/>
                <w:sz w:val="20"/>
              </w:rPr>
              <w:t xml:space="preserve">d) to </w:t>
            </w:r>
            <w:r w:rsidRPr="00323713">
              <w:rPr>
                <w:rFonts w:ascii="Arial" w:hAnsi="Arial" w:cs="Arial"/>
                <w:color w:val="0070C0"/>
                <w:sz w:val="20"/>
              </w:rPr>
              <w:t>demonstrate on a large scale the feasibility of using hydrogen to support integration of renewable energy sources into</w:t>
            </w:r>
            <w:r>
              <w:rPr>
                <w:rFonts w:ascii="Arial" w:hAnsi="Arial" w:cs="Arial"/>
                <w:color w:val="0070C0"/>
                <w:sz w:val="20"/>
              </w:rPr>
              <w:t xml:space="preserve"> </w:t>
            </w:r>
            <w:r w:rsidRPr="00323713">
              <w:rPr>
                <w:rFonts w:ascii="Arial" w:hAnsi="Arial" w:cs="Arial"/>
                <w:color w:val="0070C0"/>
                <w:sz w:val="20"/>
              </w:rPr>
              <w:t>the energy systems, including through its use as a competitive energy storage medium for electricity produced from</w:t>
            </w:r>
            <w:r>
              <w:rPr>
                <w:rFonts w:ascii="Arial" w:hAnsi="Arial" w:cs="Arial"/>
                <w:color w:val="0070C0"/>
                <w:sz w:val="20"/>
              </w:rPr>
              <w:t xml:space="preserve"> </w:t>
            </w:r>
            <w:r w:rsidRPr="00323713">
              <w:rPr>
                <w:rFonts w:ascii="Arial" w:hAnsi="Arial" w:cs="Arial"/>
                <w:color w:val="0070C0"/>
                <w:sz w:val="20"/>
              </w:rPr>
              <w:t xml:space="preserve">renewable energy </w:t>
            </w:r>
            <w:proofErr w:type="gramStart"/>
            <w:r w:rsidRPr="00323713">
              <w:rPr>
                <w:rFonts w:ascii="Arial" w:hAnsi="Arial" w:cs="Arial"/>
                <w:color w:val="0070C0"/>
                <w:sz w:val="20"/>
              </w:rPr>
              <w:t>sources;</w:t>
            </w:r>
            <w:proofErr w:type="gramEnd"/>
          </w:p>
          <w:p w14:paraId="7EE682D7" w14:textId="6C4AE4F4" w:rsidR="00071FA5" w:rsidRPr="00323713" w:rsidRDefault="00071FA5" w:rsidP="00071FA5">
            <w:pPr>
              <w:pStyle w:val="Text1"/>
              <w:ind w:left="-57"/>
              <w:rPr>
                <w:rFonts w:ascii="Arial" w:hAnsi="Arial" w:cs="Arial"/>
                <w:color w:val="0070C0"/>
                <w:sz w:val="20"/>
              </w:rPr>
            </w:pPr>
            <w:r>
              <w:rPr>
                <w:rFonts w:ascii="Arial" w:hAnsi="Arial" w:cs="Arial"/>
                <w:color w:val="0070C0"/>
                <w:sz w:val="20"/>
              </w:rPr>
              <w:t xml:space="preserve">e) </w:t>
            </w:r>
            <w:r w:rsidRPr="00071FA5">
              <w:rPr>
                <w:rFonts w:ascii="Arial" w:hAnsi="Arial" w:cs="Arial"/>
                <w:color w:val="0070C0"/>
                <w:sz w:val="20"/>
              </w:rPr>
              <w:t>reduce the use of the EU defined ‘Critical raw materials’, for instance through low-platinum or platinum-free resources</w:t>
            </w:r>
            <w:r>
              <w:rPr>
                <w:rFonts w:ascii="Arial" w:hAnsi="Arial" w:cs="Arial"/>
                <w:color w:val="0070C0"/>
                <w:sz w:val="20"/>
              </w:rPr>
              <w:t xml:space="preserve"> </w:t>
            </w:r>
            <w:r w:rsidRPr="00071FA5">
              <w:rPr>
                <w:rFonts w:ascii="Arial" w:hAnsi="Arial" w:cs="Arial"/>
                <w:color w:val="0070C0"/>
                <w:sz w:val="20"/>
              </w:rPr>
              <w:t>and through recycling or reducing or avoiding the use of rare earth elements.</w:t>
            </w:r>
            <w:r w:rsidRPr="00071FA5">
              <w:rPr>
                <w:rFonts w:ascii="Arial" w:hAnsi="Arial" w:cs="Arial"/>
                <w:color w:val="0070C0"/>
                <w:sz w:val="20"/>
              </w:rPr>
              <w:cr/>
            </w:r>
          </w:p>
          <w:p w14:paraId="202833D1" w14:textId="103E50C4" w:rsidR="008913E5" w:rsidRDefault="008913E5" w:rsidP="008913E5">
            <w:pPr>
              <w:pStyle w:val="Text1"/>
              <w:ind w:left="-57"/>
              <w:rPr>
                <w:rFonts w:ascii="Arial" w:hAnsi="Arial" w:cs="Arial"/>
                <w:i/>
                <w:iCs/>
                <w:color w:val="0070C0"/>
                <w:sz w:val="20"/>
              </w:rPr>
            </w:pPr>
            <w:r w:rsidRPr="008913E5">
              <w:rPr>
                <w:rFonts w:ascii="Arial" w:hAnsi="Arial" w:cs="Arial"/>
                <w:i/>
                <w:iCs/>
                <w:color w:val="0070C0"/>
                <w:sz w:val="20"/>
              </w:rPr>
              <w:t xml:space="preserve">For </w:t>
            </w:r>
            <w:r>
              <w:rPr>
                <w:rFonts w:ascii="Arial" w:hAnsi="Arial" w:cs="Arial"/>
                <w:i/>
                <w:iCs/>
                <w:color w:val="0070C0"/>
                <w:sz w:val="20"/>
              </w:rPr>
              <w:t>Clean Hydrogen</w:t>
            </w:r>
            <w:r w:rsidRPr="008913E5">
              <w:rPr>
                <w:rFonts w:ascii="Arial" w:hAnsi="Arial" w:cs="Arial"/>
                <w:i/>
                <w:iCs/>
                <w:color w:val="0070C0"/>
                <w:sz w:val="20"/>
              </w:rPr>
              <w:t xml:space="preserve"> Joint Undertaking</w:t>
            </w:r>
          </w:p>
          <w:p w14:paraId="41AD26E0" w14:textId="64B28B01" w:rsidR="00071FA5" w:rsidRPr="003068B5" w:rsidRDefault="00071FA5" w:rsidP="008913E5">
            <w:pPr>
              <w:pStyle w:val="Text1"/>
              <w:ind w:left="-57"/>
              <w:rPr>
                <w:rFonts w:ascii="Arial" w:hAnsi="Arial" w:cs="Arial"/>
                <w:color w:val="0070C0"/>
                <w:sz w:val="20"/>
                <w:u w:val="single"/>
              </w:rPr>
            </w:pPr>
            <w:r>
              <w:rPr>
                <w:rFonts w:ascii="Arial" w:hAnsi="Arial" w:cs="Arial"/>
                <w:color w:val="0070C0"/>
                <w:sz w:val="20"/>
                <w:u w:val="single"/>
              </w:rPr>
              <w:t>General objectives</w:t>
            </w:r>
          </w:p>
          <w:p w14:paraId="4E5E750A" w14:textId="54B40DC3" w:rsidR="00850DEB" w:rsidRPr="00850DEB" w:rsidRDefault="00850DEB" w:rsidP="00850DEB">
            <w:pPr>
              <w:pStyle w:val="Text1"/>
              <w:ind w:left="-57"/>
              <w:rPr>
                <w:rFonts w:ascii="Arial" w:hAnsi="Arial" w:cs="Arial"/>
                <w:color w:val="0070C0"/>
                <w:sz w:val="20"/>
              </w:rPr>
            </w:pPr>
            <w:r w:rsidRPr="00850DEB">
              <w:rPr>
                <w:rFonts w:ascii="Arial" w:hAnsi="Arial" w:cs="Arial"/>
                <w:color w:val="0070C0"/>
                <w:sz w:val="20"/>
              </w:rPr>
              <w:t xml:space="preserve">a) to contribute to the objectives set out in the communication from the Commission of 17 September 2020 on Stepping up Europe’s 2030 climate ambition: Investing in a climate-neutral future for the benefit of our people, the European Green Deal and the European Climate Law by raising the Union’s ambition on reducing greenhouse gas emissions to at least 55 % below 1990 levels by 2030, and climate neutrality at the latest by </w:t>
            </w:r>
            <w:proofErr w:type="gramStart"/>
            <w:r w:rsidRPr="00850DEB">
              <w:rPr>
                <w:rFonts w:ascii="Arial" w:hAnsi="Arial" w:cs="Arial"/>
                <w:color w:val="0070C0"/>
                <w:sz w:val="20"/>
              </w:rPr>
              <w:t>2050;</w:t>
            </w:r>
            <w:proofErr w:type="gramEnd"/>
          </w:p>
          <w:p w14:paraId="18BCE4F7" w14:textId="7BF8719D" w:rsidR="00850DEB" w:rsidRPr="00850DEB" w:rsidRDefault="00850DEB" w:rsidP="00850DEB">
            <w:pPr>
              <w:pStyle w:val="Text1"/>
              <w:ind w:left="-57"/>
              <w:rPr>
                <w:rFonts w:ascii="Arial" w:hAnsi="Arial" w:cs="Arial"/>
                <w:color w:val="0070C0"/>
                <w:sz w:val="20"/>
              </w:rPr>
            </w:pPr>
            <w:r>
              <w:rPr>
                <w:rFonts w:ascii="Arial" w:hAnsi="Arial" w:cs="Arial"/>
                <w:color w:val="0070C0"/>
                <w:sz w:val="20"/>
              </w:rPr>
              <w:t xml:space="preserve">b) </w:t>
            </w:r>
            <w:r w:rsidRPr="00850DEB">
              <w:rPr>
                <w:rFonts w:ascii="Arial" w:hAnsi="Arial" w:cs="Arial"/>
                <w:color w:val="0070C0"/>
                <w:sz w:val="20"/>
              </w:rPr>
              <w:t xml:space="preserve">to contribute to the implementation of the 2020 Commission’s Hydrogen Strategy for a climate neutral </w:t>
            </w:r>
            <w:proofErr w:type="gramStart"/>
            <w:r w:rsidRPr="00850DEB">
              <w:rPr>
                <w:rFonts w:ascii="Arial" w:hAnsi="Arial" w:cs="Arial"/>
                <w:color w:val="0070C0"/>
                <w:sz w:val="20"/>
              </w:rPr>
              <w:t>Europe;</w:t>
            </w:r>
            <w:proofErr w:type="gramEnd"/>
          </w:p>
          <w:p w14:paraId="21A89387" w14:textId="37253DC9" w:rsidR="00850DEB" w:rsidRPr="00850DEB" w:rsidRDefault="00850DEB" w:rsidP="00850DEB">
            <w:pPr>
              <w:pStyle w:val="Text1"/>
              <w:ind w:left="-57"/>
              <w:rPr>
                <w:rFonts w:ascii="Arial" w:hAnsi="Arial" w:cs="Arial"/>
                <w:color w:val="0070C0"/>
                <w:sz w:val="20"/>
              </w:rPr>
            </w:pPr>
            <w:r>
              <w:rPr>
                <w:rFonts w:ascii="Arial" w:hAnsi="Arial" w:cs="Arial"/>
                <w:color w:val="0070C0"/>
                <w:sz w:val="20"/>
              </w:rPr>
              <w:t xml:space="preserve">c) </w:t>
            </w:r>
            <w:r w:rsidRPr="00850DEB">
              <w:rPr>
                <w:rFonts w:ascii="Arial" w:hAnsi="Arial" w:cs="Arial"/>
                <w:color w:val="0070C0"/>
                <w:sz w:val="20"/>
              </w:rPr>
              <w:t xml:space="preserve">to strengthen the competitiveness of the Union clean hydrogen value chain, with a view to supporting, in particular for SMEs, the acceleration of the market entry of innovative competitive clean </w:t>
            </w:r>
            <w:proofErr w:type="gramStart"/>
            <w:r w:rsidRPr="00850DEB">
              <w:rPr>
                <w:rFonts w:ascii="Arial" w:hAnsi="Arial" w:cs="Arial"/>
                <w:color w:val="0070C0"/>
                <w:sz w:val="20"/>
              </w:rPr>
              <w:t>solutions;</w:t>
            </w:r>
            <w:proofErr w:type="gramEnd"/>
          </w:p>
          <w:p w14:paraId="43558A55" w14:textId="308B9828" w:rsidR="00850DEB" w:rsidRDefault="00850DEB" w:rsidP="00850DEB">
            <w:pPr>
              <w:pStyle w:val="Text1"/>
              <w:ind w:left="-57"/>
              <w:rPr>
                <w:rFonts w:ascii="Arial" w:hAnsi="Arial" w:cs="Arial"/>
                <w:color w:val="0070C0"/>
                <w:sz w:val="20"/>
              </w:rPr>
            </w:pPr>
            <w:r>
              <w:rPr>
                <w:rFonts w:ascii="Arial" w:hAnsi="Arial" w:cs="Arial"/>
                <w:color w:val="0070C0"/>
                <w:sz w:val="20"/>
              </w:rPr>
              <w:t xml:space="preserve">d) </w:t>
            </w:r>
            <w:r w:rsidRPr="00850DEB">
              <w:rPr>
                <w:rFonts w:ascii="Arial" w:hAnsi="Arial" w:cs="Arial"/>
                <w:color w:val="0070C0"/>
                <w:sz w:val="20"/>
              </w:rPr>
              <w:t xml:space="preserve">to stimulate research and innovation on clean hydrogen production, distribution, </w:t>
            </w:r>
            <w:proofErr w:type="gramStart"/>
            <w:r w:rsidRPr="00850DEB">
              <w:rPr>
                <w:rFonts w:ascii="Arial" w:hAnsi="Arial" w:cs="Arial"/>
                <w:color w:val="0070C0"/>
                <w:sz w:val="20"/>
              </w:rPr>
              <w:t>storage</w:t>
            </w:r>
            <w:proofErr w:type="gramEnd"/>
            <w:r w:rsidRPr="00850DEB">
              <w:rPr>
                <w:rFonts w:ascii="Arial" w:hAnsi="Arial" w:cs="Arial"/>
                <w:color w:val="0070C0"/>
                <w:sz w:val="20"/>
              </w:rPr>
              <w:t xml:space="preserve"> and end use applications.</w:t>
            </w:r>
          </w:p>
          <w:p w14:paraId="7658F47E" w14:textId="7181FBA0" w:rsidR="00071FA5" w:rsidRDefault="00071FA5" w:rsidP="00850DEB">
            <w:pPr>
              <w:pStyle w:val="Text1"/>
              <w:ind w:left="-57"/>
              <w:rPr>
                <w:rFonts w:ascii="Arial" w:hAnsi="Arial" w:cs="Arial"/>
                <w:color w:val="0070C0"/>
                <w:sz w:val="20"/>
                <w:u w:val="single"/>
              </w:rPr>
            </w:pPr>
            <w:r w:rsidRPr="003068B5">
              <w:rPr>
                <w:rFonts w:ascii="Arial" w:hAnsi="Arial" w:cs="Arial"/>
                <w:color w:val="0070C0"/>
                <w:sz w:val="20"/>
                <w:u w:val="single"/>
              </w:rPr>
              <w:t>Specific objectives</w:t>
            </w:r>
          </w:p>
          <w:p w14:paraId="229F28A8" w14:textId="0D4479A5" w:rsidR="00071FA5" w:rsidRDefault="00071FA5" w:rsidP="00071FA5">
            <w:pPr>
              <w:pStyle w:val="Text1"/>
              <w:ind w:left="-57"/>
              <w:rPr>
                <w:rFonts w:ascii="Arial" w:hAnsi="Arial" w:cs="Arial"/>
                <w:color w:val="0070C0"/>
                <w:sz w:val="20"/>
              </w:rPr>
            </w:pPr>
            <w:r>
              <w:rPr>
                <w:rFonts w:ascii="Arial" w:hAnsi="Arial" w:cs="Arial"/>
                <w:color w:val="0070C0"/>
                <w:sz w:val="20"/>
              </w:rPr>
              <w:lastRenderedPageBreak/>
              <w:t xml:space="preserve">a) to </w:t>
            </w:r>
            <w:r w:rsidRPr="00071FA5">
              <w:rPr>
                <w:rFonts w:ascii="Arial" w:hAnsi="Arial" w:cs="Arial"/>
                <w:color w:val="0070C0"/>
                <w:sz w:val="20"/>
              </w:rPr>
              <w:t xml:space="preserve">improve through research and innovation, including activities related to lower </w:t>
            </w:r>
            <w:r>
              <w:rPr>
                <w:rFonts w:ascii="Arial" w:hAnsi="Arial" w:cs="Arial"/>
                <w:color w:val="0070C0"/>
                <w:sz w:val="20"/>
              </w:rPr>
              <w:t>Technology Readiness Levels (</w:t>
            </w:r>
            <w:r w:rsidRPr="00071FA5">
              <w:rPr>
                <w:rFonts w:ascii="Arial" w:hAnsi="Arial" w:cs="Arial"/>
                <w:color w:val="0070C0"/>
                <w:sz w:val="20"/>
              </w:rPr>
              <w:t>TRLs</w:t>
            </w:r>
            <w:r>
              <w:rPr>
                <w:rFonts w:ascii="Arial" w:hAnsi="Arial" w:cs="Arial"/>
                <w:color w:val="0070C0"/>
                <w:sz w:val="20"/>
              </w:rPr>
              <w:t>)</w:t>
            </w:r>
            <w:r w:rsidRPr="00071FA5">
              <w:rPr>
                <w:rFonts w:ascii="Arial" w:hAnsi="Arial" w:cs="Arial"/>
                <w:color w:val="0070C0"/>
                <w:sz w:val="20"/>
              </w:rPr>
              <w:t>, the cost-effectiveness, efficiency,</w:t>
            </w:r>
            <w:r>
              <w:rPr>
                <w:rFonts w:ascii="Arial" w:hAnsi="Arial" w:cs="Arial"/>
                <w:color w:val="0070C0"/>
                <w:sz w:val="20"/>
              </w:rPr>
              <w:t xml:space="preserve"> </w:t>
            </w:r>
            <w:r w:rsidRPr="00071FA5">
              <w:rPr>
                <w:rFonts w:ascii="Arial" w:hAnsi="Arial" w:cs="Arial"/>
                <w:color w:val="0070C0"/>
                <w:sz w:val="20"/>
              </w:rPr>
              <w:t>reliability, quantity and quality of clean hydrogen solutions, including production, distribution, storage and end uses</w:t>
            </w:r>
            <w:r>
              <w:rPr>
                <w:rFonts w:ascii="Arial" w:hAnsi="Arial" w:cs="Arial"/>
                <w:color w:val="0070C0"/>
                <w:sz w:val="20"/>
              </w:rPr>
              <w:t xml:space="preserve"> </w:t>
            </w:r>
            <w:r w:rsidRPr="00071FA5">
              <w:rPr>
                <w:rFonts w:ascii="Arial" w:hAnsi="Arial" w:cs="Arial"/>
                <w:color w:val="0070C0"/>
                <w:sz w:val="20"/>
              </w:rPr>
              <w:t xml:space="preserve">developed in the </w:t>
            </w:r>
            <w:proofErr w:type="gramStart"/>
            <w:r w:rsidRPr="00071FA5">
              <w:rPr>
                <w:rFonts w:ascii="Arial" w:hAnsi="Arial" w:cs="Arial"/>
                <w:color w:val="0070C0"/>
                <w:sz w:val="20"/>
              </w:rPr>
              <w:t>Union;</w:t>
            </w:r>
            <w:proofErr w:type="gramEnd"/>
          </w:p>
          <w:p w14:paraId="16FB692A" w14:textId="63BC7915" w:rsidR="00071FA5" w:rsidRDefault="00071FA5" w:rsidP="00071FA5">
            <w:pPr>
              <w:pStyle w:val="Text1"/>
              <w:ind w:left="-57"/>
              <w:rPr>
                <w:rFonts w:ascii="Arial" w:hAnsi="Arial" w:cs="Arial"/>
                <w:color w:val="0070C0"/>
                <w:sz w:val="20"/>
              </w:rPr>
            </w:pPr>
            <w:r>
              <w:rPr>
                <w:rFonts w:ascii="Arial" w:hAnsi="Arial" w:cs="Arial"/>
                <w:color w:val="0070C0"/>
                <w:sz w:val="20"/>
              </w:rPr>
              <w:t xml:space="preserve">b) to </w:t>
            </w:r>
            <w:r w:rsidRPr="00071FA5">
              <w:rPr>
                <w:rFonts w:ascii="Arial" w:hAnsi="Arial" w:cs="Arial"/>
                <w:color w:val="0070C0"/>
                <w:sz w:val="20"/>
              </w:rPr>
              <w:t>strengthen the knowledge and capacity of scientific and industrial actors along the Union’s hydrogen value chain while</w:t>
            </w:r>
            <w:r>
              <w:rPr>
                <w:rFonts w:ascii="Arial" w:hAnsi="Arial" w:cs="Arial"/>
                <w:color w:val="0070C0"/>
                <w:sz w:val="20"/>
              </w:rPr>
              <w:t xml:space="preserve"> </w:t>
            </w:r>
            <w:r w:rsidRPr="00071FA5">
              <w:rPr>
                <w:rFonts w:ascii="Arial" w:hAnsi="Arial" w:cs="Arial"/>
                <w:color w:val="0070C0"/>
                <w:sz w:val="20"/>
              </w:rPr>
              <w:t xml:space="preserve">supporting the uptake of industry-related </w:t>
            </w:r>
            <w:proofErr w:type="gramStart"/>
            <w:r w:rsidRPr="00071FA5">
              <w:rPr>
                <w:rFonts w:ascii="Arial" w:hAnsi="Arial" w:cs="Arial"/>
                <w:color w:val="0070C0"/>
                <w:sz w:val="20"/>
              </w:rPr>
              <w:t>skills</w:t>
            </w:r>
            <w:r>
              <w:rPr>
                <w:rFonts w:ascii="Arial" w:hAnsi="Arial" w:cs="Arial"/>
                <w:color w:val="0070C0"/>
                <w:sz w:val="20"/>
              </w:rPr>
              <w:t>;</w:t>
            </w:r>
            <w:proofErr w:type="gramEnd"/>
          </w:p>
          <w:p w14:paraId="507DF5AB" w14:textId="2F43B369" w:rsidR="00071FA5" w:rsidRDefault="00071FA5" w:rsidP="00071FA5">
            <w:pPr>
              <w:pStyle w:val="Text1"/>
              <w:ind w:left="-57"/>
              <w:rPr>
                <w:rFonts w:ascii="Arial" w:hAnsi="Arial" w:cs="Arial"/>
                <w:color w:val="0070C0"/>
                <w:sz w:val="20"/>
              </w:rPr>
            </w:pPr>
            <w:r>
              <w:rPr>
                <w:rFonts w:ascii="Arial" w:hAnsi="Arial" w:cs="Arial"/>
                <w:color w:val="0070C0"/>
                <w:sz w:val="20"/>
              </w:rPr>
              <w:t xml:space="preserve">c) to </w:t>
            </w:r>
            <w:r w:rsidRPr="00071FA5">
              <w:rPr>
                <w:rFonts w:ascii="Arial" w:hAnsi="Arial" w:cs="Arial"/>
                <w:color w:val="0070C0"/>
                <w:sz w:val="20"/>
              </w:rPr>
              <w:t>carry out demonstrations of clean hydrogen solutions with a view to local, regional and Union-wide deployment,</w:t>
            </w:r>
            <w:r>
              <w:rPr>
                <w:rFonts w:ascii="Arial" w:hAnsi="Arial" w:cs="Arial"/>
                <w:color w:val="0070C0"/>
                <w:sz w:val="20"/>
              </w:rPr>
              <w:t xml:space="preserve"> </w:t>
            </w:r>
            <w:r w:rsidRPr="00071FA5">
              <w:rPr>
                <w:rFonts w:ascii="Arial" w:hAnsi="Arial" w:cs="Arial"/>
                <w:color w:val="0070C0"/>
                <w:sz w:val="20"/>
              </w:rPr>
              <w:t>aiming to involve stakeholders in all Member States and addressing renewable production, distribution, storage and</w:t>
            </w:r>
            <w:r>
              <w:rPr>
                <w:rFonts w:ascii="Arial" w:hAnsi="Arial" w:cs="Arial"/>
                <w:color w:val="0070C0"/>
                <w:sz w:val="20"/>
              </w:rPr>
              <w:t xml:space="preserve"> </w:t>
            </w:r>
            <w:r w:rsidRPr="00071FA5">
              <w:rPr>
                <w:rFonts w:ascii="Arial" w:hAnsi="Arial" w:cs="Arial"/>
                <w:color w:val="0070C0"/>
                <w:sz w:val="20"/>
              </w:rPr>
              <w:t xml:space="preserve">use for transport and energy-intensive industries as well as other </w:t>
            </w:r>
            <w:proofErr w:type="gramStart"/>
            <w:r w:rsidRPr="00071FA5">
              <w:rPr>
                <w:rFonts w:ascii="Arial" w:hAnsi="Arial" w:cs="Arial"/>
                <w:color w:val="0070C0"/>
                <w:sz w:val="20"/>
              </w:rPr>
              <w:t>applications;</w:t>
            </w:r>
            <w:proofErr w:type="gramEnd"/>
          </w:p>
          <w:p w14:paraId="53468D2C" w14:textId="4865E221" w:rsidR="00071FA5" w:rsidRPr="00071FA5" w:rsidRDefault="00071FA5" w:rsidP="00071FA5">
            <w:pPr>
              <w:pStyle w:val="Text1"/>
              <w:ind w:left="-57"/>
              <w:rPr>
                <w:rFonts w:ascii="Arial" w:hAnsi="Arial" w:cs="Arial"/>
                <w:color w:val="0070C0"/>
                <w:sz w:val="20"/>
              </w:rPr>
            </w:pPr>
            <w:r>
              <w:rPr>
                <w:rFonts w:ascii="Arial" w:hAnsi="Arial" w:cs="Arial"/>
                <w:color w:val="0070C0"/>
                <w:sz w:val="20"/>
              </w:rPr>
              <w:t xml:space="preserve">d) to </w:t>
            </w:r>
            <w:r w:rsidRPr="00071FA5">
              <w:rPr>
                <w:rFonts w:ascii="Arial" w:hAnsi="Arial" w:cs="Arial"/>
                <w:color w:val="0070C0"/>
                <w:sz w:val="20"/>
              </w:rPr>
              <w:t xml:space="preserve">increase public and private awareness, </w:t>
            </w:r>
            <w:proofErr w:type="gramStart"/>
            <w:r w:rsidRPr="00071FA5">
              <w:rPr>
                <w:rFonts w:ascii="Arial" w:hAnsi="Arial" w:cs="Arial"/>
                <w:color w:val="0070C0"/>
                <w:sz w:val="20"/>
              </w:rPr>
              <w:t>acceptance</w:t>
            </w:r>
            <w:proofErr w:type="gramEnd"/>
            <w:r w:rsidRPr="00071FA5">
              <w:rPr>
                <w:rFonts w:ascii="Arial" w:hAnsi="Arial" w:cs="Arial"/>
                <w:color w:val="0070C0"/>
                <w:sz w:val="20"/>
              </w:rPr>
              <w:t xml:space="preserve"> and uptake of clean hydrogen solutions, in particular through</w:t>
            </w:r>
            <w:r>
              <w:rPr>
                <w:rFonts w:ascii="Arial" w:hAnsi="Arial" w:cs="Arial"/>
                <w:color w:val="0070C0"/>
                <w:sz w:val="20"/>
              </w:rPr>
              <w:t xml:space="preserve"> </w:t>
            </w:r>
            <w:r w:rsidRPr="00071FA5">
              <w:rPr>
                <w:rFonts w:ascii="Arial" w:hAnsi="Arial" w:cs="Arial"/>
                <w:color w:val="0070C0"/>
                <w:sz w:val="20"/>
              </w:rPr>
              <w:t>cooperation with other European partnerships under Horizon Europe</w:t>
            </w:r>
            <w:r>
              <w:rPr>
                <w:rFonts w:ascii="Arial" w:hAnsi="Arial" w:cs="Arial"/>
                <w:color w:val="0070C0"/>
                <w:sz w:val="20"/>
              </w:rPr>
              <w:t>.</w:t>
            </w:r>
          </w:p>
          <w:p w14:paraId="6CE19BB4" w14:textId="3B869422" w:rsidR="008913E5" w:rsidRPr="008913E5" w:rsidRDefault="008913E5" w:rsidP="008913E5">
            <w:pPr>
              <w:pStyle w:val="Text1"/>
              <w:ind w:left="-57"/>
              <w:rPr>
                <w:rFonts w:ascii="Arial" w:hAnsi="Arial" w:cs="Arial"/>
                <w:color w:val="0070C0"/>
                <w:sz w:val="20"/>
              </w:rPr>
            </w:pPr>
          </w:p>
        </w:tc>
      </w:tr>
      <w:tr w:rsidR="00BB2B1B" w:rsidRPr="008913E5" w14:paraId="173B334D" w14:textId="77777777" w:rsidTr="00A06C44">
        <w:trPr>
          <w:trHeight w:val="721"/>
        </w:trPr>
        <w:tc>
          <w:tcPr>
            <w:tcW w:w="1908" w:type="dxa"/>
            <w:shd w:val="clear" w:color="auto" w:fill="CCCCCC"/>
            <w:vAlign w:val="center"/>
          </w:tcPr>
          <w:p w14:paraId="1958FF28" w14:textId="77777777" w:rsidR="00BB2B1B" w:rsidRPr="008913E5" w:rsidRDefault="00BB2B1B" w:rsidP="00BB2B1B">
            <w:pPr>
              <w:spacing w:after="0"/>
              <w:jc w:val="center"/>
              <w:rPr>
                <w:rFonts w:ascii="Arial" w:hAnsi="Arial" w:cs="Arial"/>
                <w:b/>
                <w:color w:val="0070C0"/>
                <w:sz w:val="20"/>
              </w:rPr>
            </w:pPr>
            <w:r w:rsidRPr="008913E5">
              <w:rPr>
                <w:rFonts w:ascii="Arial" w:hAnsi="Arial" w:cs="Arial"/>
                <w:b/>
                <w:color w:val="0070C0"/>
                <w:sz w:val="20"/>
              </w:rPr>
              <w:lastRenderedPageBreak/>
              <w:t>Founding Legal Act</w:t>
            </w:r>
          </w:p>
        </w:tc>
        <w:tc>
          <w:tcPr>
            <w:tcW w:w="7272" w:type="dxa"/>
          </w:tcPr>
          <w:p w14:paraId="55F905FA" w14:textId="17C89419" w:rsidR="00BB2B1B" w:rsidRDefault="00DC7618" w:rsidP="00290ECC">
            <w:pPr>
              <w:pStyle w:val="Text1"/>
              <w:ind w:left="-57"/>
              <w:rPr>
                <w:rFonts w:ascii="Arial" w:hAnsi="Arial" w:cs="Arial"/>
                <w:color w:val="0070C0"/>
                <w:sz w:val="20"/>
              </w:rPr>
            </w:pPr>
            <w:r w:rsidRPr="008913E5">
              <w:rPr>
                <w:rFonts w:ascii="Arial" w:hAnsi="Arial" w:cs="Arial"/>
                <w:color w:val="0070C0"/>
                <w:sz w:val="20"/>
              </w:rPr>
              <w:t>Council Regulation (EU) No. 559/2014 of 6 May 2014 – OJ L169/108-129 of 7.6.2014 (FCH 2 JU founding Regulation)</w:t>
            </w:r>
          </w:p>
          <w:p w14:paraId="06416E90" w14:textId="6B801BED" w:rsidR="008913E5" w:rsidRPr="008913E5" w:rsidRDefault="008913E5" w:rsidP="00290ECC">
            <w:pPr>
              <w:pStyle w:val="Text1"/>
              <w:ind w:left="-57"/>
              <w:rPr>
                <w:rFonts w:ascii="Arial" w:hAnsi="Arial" w:cs="Arial"/>
                <w:color w:val="0070C0"/>
                <w:sz w:val="20"/>
              </w:rPr>
            </w:pPr>
            <w:r w:rsidRPr="008913E5">
              <w:rPr>
                <w:rFonts w:ascii="Arial" w:hAnsi="Arial" w:cs="Arial"/>
                <w:color w:val="0070C0"/>
                <w:sz w:val="20"/>
              </w:rPr>
              <w:t xml:space="preserve">Council Regulation (EU) No. </w:t>
            </w:r>
            <w:r>
              <w:rPr>
                <w:rFonts w:ascii="Arial" w:hAnsi="Arial" w:cs="Arial"/>
                <w:color w:val="0070C0"/>
                <w:sz w:val="20"/>
              </w:rPr>
              <w:t>2021</w:t>
            </w:r>
            <w:r w:rsidRPr="008913E5">
              <w:rPr>
                <w:rFonts w:ascii="Arial" w:hAnsi="Arial" w:cs="Arial"/>
                <w:color w:val="0070C0"/>
                <w:sz w:val="20"/>
              </w:rPr>
              <w:t>/20</w:t>
            </w:r>
            <w:r>
              <w:rPr>
                <w:rFonts w:ascii="Arial" w:hAnsi="Arial" w:cs="Arial"/>
                <w:color w:val="0070C0"/>
                <w:sz w:val="20"/>
              </w:rPr>
              <w:t>85</w:t>
            </w:r>
            <w:r w:rsidRPr="008913E5">
              <w:rPr>
                <w:rFonts w:ascii="Arial" w:hAnsi="Arial" w:cs="Arial"/>
                <w:color w:val="0070C0"/>
                <w:sz w:val="20"/>
              </w:rPr>
              <w:t xml:space="preserve"> of </w:t>
            </w:r>
            <w:r>
              <w:rPr>
                <w:rFonts w:ascii="Arial" w:hAnsi="Arial" w:cs="Arial"/>
                <w:color w:val="0070C0"/>
                <w:sz w:val="20"/>
              </w:rPr>
              <w:t>19</w:t>
            </w:r>
            <w:r w:rsidRPr="008913E5">
              <w:rPr>
                <w:rFonts w:ascii="Arial" w:hAnsi="Arial" w:cs="Arial"/>
                <w:color w:val="0070C0"/>
                <w:sz w:val="20"/>
              </w:rPr>
              <w:t xml:space="preserve"> </w:t>
            </w:r>
            <w:r>
              <w:rPr>
                <w:rFonts w:ascii="Arial" w:hAnsi="Arial" w:cs="Arial"/>
                <w:color w:val="0070C0"/>
                <w:sz w:val="20"/>
              </w:rPr>
              <w:t>November</w:t>
            </w:r>
            <w:r w:rsidRPr="008913E5">
              <w:rPr>
                <w:rFonts w:ascii="Arial" w:hAnsi="Arial" w:cs="Arial"/>
                <w:color w:val="0070C0"/>
                <w:sz w:val="20"/>
              </w:rPr>
              <w:t xml:space="preserve"> 20</w:t>
            </w:r>
            <w:r>
              <w:rPr>
                <w:rFonts w:ascii="Arial" w:hAnsi="Arial" w:cs="Arial"/>
                <w:color w:val="0070C0"/>
                <w:sz w:val="20"/>
              </w:rPr>
              <w:t>21</w:t>
            </w:r>
            <w:r w:rsidRPr="008913E5">
              <w:rPr>
                <w:rFonts w:ascii="Arial" w:hAnsi="Arial" w:cs="Arial"/>
                <w:color w:val="0070C0"/>
                <w:sz w:val="20"/>
              </w:rPr>
              <w:t xml:space="preserve"> – OJ L</w:t>
            </w:r>
            <w:r>
              <w:rPr>
                <w:rFonts w:ascii="Arial" w:hAnsi="Arial" w:cs="Arial"/>
                <w:color w:val="0070C0"/>
                <w:sz w:val="20"/>
              </w:rPr>
              <w:t>427</w:t>
            </w:r>
            <w:r w:rsidRPr="008913E5">
              <w:rPr>
                <w:rFonts w:ascii="Arial" w:hAnsi="Arial" w:cs="Arial"/>
                <w:color w:val="0070C0"/>
                <w:sz w:val="20"/>
              </w:rPr>
              <w:t>/1</w:t>
            </w:r>
            <w:r>
              <w:rPr>
                <w:rFonts w:ascii="Arial" w:hAnsi="Arial" w:cs="Arial"/>
                <w:color w:val="0070C0"/>
                <w:sz w:val="20"/>
              </w:rPr>
              <w:t>7</w:t>
            </w:r>
            <w:r w:rsidRPr="008913E5">
              <w:rPr>
                <w:rFonts w:ascii="Arial" w:hAnsi="Arial" w:cs="Arial"/>
                <w:color w:val="0070C0"/>
                <w:sz w:val="20"/>
              </w:rPr>
              <w:t>-1</w:t>
            </w:r>
            <w:r>
              <w:rPr>
                <w:rFonts w:ascii="Arial" w:hAnsi="Arial" w:cs="Arial"/>
                <w:color w:val="0070C0"/>
                <w:sz w:val="20"/>
              </w:rPr>
              <w:t>1</w:t>
            </w:r>
            <w:r w:rsidRPr="008913E5">
              <w:rPr>
                <w:rFonts w:ascii="Arial" w:hAnsi="Arial" w:cs="Arial"/>
                <w:color w:val="0070C0"/>
                <w:sz w:val="20"/>
              </w:rPr>
              <w:t xml:space="preserve">9 of </w:t>
            </w:r>
            <w:r>
              <w:rPr>
                <w:rFonts w:ascii="Arial" w:hAnsi="Arial" w:cs="Arial"/>
                <w:color w:val="0070C0"/>
                <w:sz w:val="20"/>
              </w:rPr>
              <w:t>30</w:t>
            </w:r>
            <w:r w:rsidRPr="008913E5">
              <w:rPr>
                <w:rFonts w:ascii="Arial" w:hAnsi="Arial" w:cs="Arial"/>
                <w:color w:val="0070C0"/>
                <w:sz w:val="20"/>
              </w:rPr>
              <w:t>.</w:t>
            </w:r>
            <w:r>
              <w:rPr>
                <w:rFonts w:ascii="Arial" w:hAnsi="Arial" w:cs="Arial"/>
                <w:color w:val="0070C0"/>
                <w:sz w:val="20"/>
              </w:rPr>
              <w:t>11</w:t>
            </w:r>
            <w:r w:rsidRPr="008913E5">
              <w:rPr>
                <w:rFonts w:ascii="Arial" w:hAnsi="Arial" w:cs="Arial"/>
                <w:color w:val="0070C0"/>
                <w:sz w:val="20"/>
              </w:rPr>
              <w:t>.20</w:t>
            </w:r>
            <w:r>
              <w:rPr>
                <w:rFonts w:ascii="Arial" w:hAnsi="Arial" w:cs="Arial"/>
                <w:color w:val="0070C0"/>
                <w:sz w:val="20"/>
              </w:rPr>
              <w:t>21</w:t>
            </w:r>
            <w:r w:rsidRPr="008913E5">
              <w:rPr>
                <w:rFonts w:ascii="Arial" w:hAnsi="Arial" w:cs="Arial"/>
                <w:color w:val="0070C0"/>
                <w:sz w:val="20"/>
              </w:rPr>
              <w:t xml:space="preserve"> (</w:t>
            </w:r>
            <w:r>
              <w:rPr>
                <w:rFonts w:ascii="Arial" w:hAnsi="Arial" w:cs="Arial"/>
                <w:color w:val="0070C0"/>
                <w:sz w:val="20"/>
              </w:rPr>
              <w:t>Clean Hydrogen</w:t>
            </w:r>
            <w:r w:rsidRPr="008913E5">
              <w:rPr>
                <w:rFonts w:ascii="Arial" w:hAnsi="Arial" w:cs="Arial"/>
                <w:color w:val="0070C0"/>
                <w:sz w:val="20"/>
              </w:rPr>
              <w:t xml:space="preserve"> JU founding Regulation)</w:t>
            </w:r>
          </w:p>
        </w:tc>
      </w:tr>
      <w:tr w:rsidR="00BB2B1B" w:rsidRPr="008913E5" w14:paraId="2A5D6429" w14:textId="77777777" w:rsidTr="00A06C44">
        <w:trPr>
          <w:trHeight w:val="577"/>
        </w:trPr>
        <w:tc>
          <w:tcPr>
            <w:tcW w:w="1908" w:type="dxa"/>
            <w:shd w:val="clear" w:color="auto" w:fill="CCCCCC"/>
            <w:vAlign w:val="center"/>
          </w:tcPr>
          <w:p w14:paraId="552BD229" w14:textId="77777777" w:rsidR="00BB2B1B" w:rsidRPr="008913E5" w:rsidRDefault="00BB2B1B" w:rsidP="00BB2B1B">
            <w:pPr>
              <w:spacing w:after="0"/>
              <w:jc w:val="center"/>
              <w:rPr>
                <w:rFonts w:ascii="Arial" w:hAnsi="Arial" w:cs="Arial"/>
                <w:b/>
                <w:color w:val="0070C0"/>
                <w:sz w:val="20"/>
              </w:rPr>
            </w:pPr>
            <w:r w:rsidRPr="008913E5">
              <w:rPr>
                <w:rFonts w:ascii="Arial" w:hAnsi="Arial" w:cs="Arial"/>
                <w:b/>
                <w:color w:val="0070C0"/>
                <w:sz w:val="20"/>
              </w:rPr>
              <w:t>Executive Director</w:t>
            </w:r>
          </w:p>
        </w:tc>
        <w:tc>
          <w:tcPr>
            <w:tcW w:w="7272" w:type="dxa"/>
          </w:tcPr>
          <w:p w14:paraId="0D2A49C9" w14:textId="1EC02C53" w:rsidR="00BB2B1B" w:rsidRPr="008913E5" w:rsidRDefault="00DC7618" w:rsidP="00290ECC">
            <w:pPr>
              <w:pStyle w:val="Text1"/>
              <w:ind w:left="-57"/>
              <w:rPr>
                <w:rFonts w:ascii="Arial" w:hAnsi="Arial" w:cs="Arial"/>
                <w:color w:val="0070C0"/>
                <w:sz w:val="20"/>
              </w:rPr>
            </w:pPr>
            <w:r w:rsidRPr="008913E5">
              <w:rPr>
                <w:rFonts w:ascii="Arial" w:hAnsi="Arial" w:cs="Arial"/>
                <w:color w:val="0070C0"/>
                <w:sz w:val="20"/>
              </w:rPr>
              <w:t>Bart Biebuyck</w:t>
            </w:r>
          </w:p>
        </w:tc>
      </w:tr>
      <w:tr w:rsidR="00BB2B1B" w:rsidRPr="008913E5" w14:paraId="55691B59" w14:textId="77777777" w:rsidTr="00A06C44">
        <w:trPr>
          <w:trHeight w:val="721"/>
        </w:trPr>
        <w:tc>
          <w:tcPr>
            <w:tcW w:w="1908" w:type="dxa"/>
            <w:shd w:val="clear" w:color="auto" w:fill="CCCCCC"/>
            <w:vAlign w:val="center"/>
          </w:tcPr>
          <w:p w14:paraId="5BD83EF3" w14:textId="77777777" w:rsidR="00BB2B1B" w:rsidRPr="008913E5" w:rsidRDefault="00BB2B1B" w:rsidP="00BB2B1B">
            <w:pPr>
              <w:spacing w:after="0"/>
              <w:jc w:val="center"/>
              <w:rPr>
                <w:rFonts w:ascii="Arial" w:hAnsi="Arial" w:cs="Arial"/>
                <w:b/>
                <w:color w:val="0070C0"/>
                <w:sz w:val="20"/>
              </w:rPr>
            </w:pPr>
            <w:r w:rsidRPr="008913E5">
              <w:rPr>
                <w:rFonts w:ascii="Arial" w:hAnsi="Arial" w:cs="Arial"/>
                <w:b/>
                <w:color w:val="0070C0"/>
                <w:sz w:val="20"/>
              </w:rPr>
              <w:t>Governing Board</w:t>
            </w:r>
          </w:p>
        </w:tc>
        <w:tc>
          <w:tcPr>
            <w:tcW w:w="7272" w:type="dxa"/>
          </w:tcPr>
          <w:p w14:paraId="2DE8BED8" w14:textId="1D26448A" w:rsidR="00BB2B1B" w:rsidRPr="008913E5" w:rsidRDefault="00BB2B1B" w:rsidP="00290ECC">
            <w:pPr>
              <w:pStyle w:val="Text1"/>
              <w:ind w:left="-57"/>
              <w:rPr>
                <w:rFonts w:ascii="Arial" w:hAnsi="Arial" w:cs="Arial"/>
                <w:color w:val="0070C0"/>
                <w:sz w:val="20"/>
                <w:lang w:val="fr-BE"/>
              </w:rPr>
            </w:pPr>
            <w:proofErr w:type="gramStart"/>
            <w:r w:rsidRPr="008913E5">
              <w:rPr>
                <w:rFonts w:ascii="Arial" w:hAnsi="Arial" w:cs="Arial"/>
                <w:color w:val="0070C0"/>
                <w:sz w:val="20"/>
                <w:lang w:val="fr-BE"/>
              </w:rPr>
              <w:t>Chair</w:t>
            </w:r>
            <w:r w:rsidR="00DC7618" w:rsidRPr="008913E5">
              <w:rPr>
                <w:rFonts w:ascii="Arial" w:hAnsi="Arial" w:cs="Arial"/>
                <w:color w:val="0070C0"/>
                <w:sz w:val="20"/>
                <w:lang w:val="fr-BE"/>
              </w:rPr>
              <w:t>:</w:t>
            </w:r>
            <w:proofErr w:type="gramEnd"/>
            <w:r w:rsidR="00DC7618" w:rsidRPr="008913E5">
              <w:rPr>
                <w:rFonts w:ascii="Arial" w:hAnsi="Arial" w:cs="Arial"/>
                <w:color w:val="0070C0"/>
                <w:sz w:val="20"/>
                <w:lang w:val="fr-BE"/>
              </w:rPr>
              <w:t xml:space="preserve"> René Schutte</w:t>
            </w:r>
          </w:p>
          <w:p w14:paraId="015BD777" w14:textId="685E68C1" w:rsidR="00DC7618" w:rsidRPr="008913E5" w:rsidRDefault="00DC7618" w:rsidP="00290ECC">
            <w:pPr>
              <w:pStyle w:val="Text1"/>
              <w:ind w:left="-57"/>
              <w:rPr>
                <w:rFonts w:ascii="Arial" w:hAnsi="Arial" w:cs="Arial"/>
                <w:color w:val="0070C0"/>
                <w:sz w:val="20"/>
                <w:lang w:val="fr-BE"/>
              </w:rPr>
            </w:pPr>
            <w:r w:rsidRPr="008913E5">
              <w:rPr>
                <w:rFonts w:ascii="Arial" w:hAnsi="Arial" w:cs="Arial"/>
                <w:color w:val="0070C0"/>
                <w:sz w:val="20"/>
                <w:lang w:val="fr-BE"/>
              </w:rPr>
              <w:t xml:space="preserve">Vice </w:t>
            </w:r>
            <w:proofErr w:type="gramStart"/>
            <w:r w:rsidRPr="008913E5">
              <w:rPr>
                <w:rFonts w:ascii="Arial" w:hAnsi="Arial" w:cs="Arial"/>
                <w:color w:val="0070C0"/>
                <w:sz w:val="20"/>
                <w:lang w:val="fr-BE"/>
              </w:rPr>
              <w:t>chair:</w:t>
            </w:r>
            <w:proofErr w:type="gramEnd"/>
            <w:r w:rsidRPr="008913E5">
              <w:rPr>
                <w:rFonts w:ascii="Arial" w:hAnsi="Arial" w:cs="Arial"/>
                <w:color w:val="0070C0"/>
                <w:sz w:val="20"/>
                <w:lang w:val="fr-BE"/>
              </w:rPr>
              <w:t xml:space="preserve"> </w:t>
            </w:r>
            <w:r w:rsidR="00A77F24" w:rsidRPr="008913E5">
              <w:rPr>
                <w:rFonts w:ascii="Arial" w:hAnsi="Arial" w:cs="Arial"/>
                <w:color w:val="0070C0"/>
                <w:sz w:val="20"/>
                <w:lang w:val="fr-BE"/>
              </w:rPr>
              <w:t>Rosalinde van der Vlies</w:t>
            </w:r>
          </w:p>
          <w:p w14:paraId="11F3EA1D" w14:textId="244185A1" w:rsidR="00DC7618" w:rsidRPr="008913E5" w:rsidRDefault="00DC7618" w:rsidP="00290ECC">
            <w:pPr>
              <w:pStyle w:val="Text1"/>
              <w:ind w:left="-57"/>
              <w:rPr>
                <w:rFonts w:ascii="Arial" w:hAnsi="Arial" w:cs="Arial"/>
                <w:color w:val="0070C0"/>
                <w:sz w:val="20"/>
              </w:rPr>
            </w:pPr>
            <w:r w:rsidRPr="008913E5">
              <w:rPr>
                <w:rFonts w:ascii="Arial" w:hAnsi="Arial" w:cs="Arial"/>
                <w:color w:val="0070C0"/>
                <w:sz w:val="20"/>
              </w:rPr>
              <w:t xml:space="preserve">Governing Board composition: </w:t>
            </w:r>
            <w:hyperlink r:id="rId8" w:history="1">
              <w:r w:rsidRPr="008913E5">
                <w:rPr>
                  <w:rStyle w:val="Hyperlink"/>
                  <w:rFonts w:ascii="Arial" w:hAnsi="Arial" w:cs="Arial"/>
                  <w:sz w:val="20"/>
                </w:rPr>
                <w:t>https://www.clean-hydrogen.europa.eu/about-us/organisation/governing-board_en</w:t>
              </w:r>
            </w:hyperlink>
            <w:r w:rsidRPr="008913E5">
              <w:rPr>
                <w:rFonts w:ascii="Arial" w:hAnsi="Arial" w:cs="Arial"/>
                <w:color w:val="0070C0"/>
                <w:sz w:val="20"/>
              </w:rPr>
              <w:t xml:space="preserve"> </w:t>
            </w:r>
          </w:p>
        </w:tc>
      </w:tr>
      <w:tr w:rsidR="00BB2B1B" w:rsidRPr="008913E5" w14:paraId="0FB59DC1" w14:textId="77777777" w:rsidTr="00A06C44">
        <w:trPr>
          <w:trHeight w:val="577"/>
        </w:trPr>
        <w:tc>
          <w:tcPr>
            <w:tcW w:w="1908" w:type="dxa"/>
            <w:shd w:val="clear" w:color="auto" w:fill="CCCCCC"/>
            <w:vAlign w:val="center"/>
          </w:tcPr>
          <w:p w14:paraId="3C4B03BE" w14:textId="77777777" w:rsidR="00BB2B1B" w:rsidRPr="008913E5" w:rsidRDefault="00BB2B1B" w:rsidP="00BB2B1B">
            <w:pPr>
              <w:spacing w:after="0"/>
              <w:jc w:val="center"/>
              <w:rPr>
                <w:rFonts w:ascii="Arial" w:hAnsi="Arial" w:cs="Arial"/>
                <w:b/>
                <w:color w:val="0070C0"/>
                <w:sz w:val="20"/>
              </w:rPr>
            </w:pPr>
            <w:r w:rsidRPr="008913E5">
              <w:rPr>
                <w:rFonts w:ascii="Arial" w:hAnsi="Arial" w:cs="Arial"/>
                <w:b/>
                <w:color w:val="0070C0"/>
                <w:sz w:val="20"/>
              </w:rPr>
              <w:t>Other bodies</w:t>
            </w:r>
          </w:p>
        </w:tc>
        <w:tc>
          <w:tcPr>
            <w:tcW w:w="7272" w:type="dxa"/>
          </w:tcPr>
          <w:p w14:paraId="6E8AF0A5" w14:textId="77777777" w:rsidR="00323713" w:rsidRDefault="00323713" w:rsidP="00323713">
            <w:pPr>
              <w:pStyle w:val="Text1"/>
              <w:ind w:left="-57"/>
              <w:rPr>
                <w:rFonts w:ascii="Arial" w:hAnsi="Arial" w:cs="Arial"/>
                <w:i/>
                <w:iCs/>
                <w:color w:val="0070C0"/>
                <w:sz w:val="20"/>
              </w:rPr>
            </w:pPr>
            <w:r w:rsidRPr="008913E5">
              <w:rPr>
                <w:rFonts w:ascii="Arial" w:hAnsi="Arial" w:cs="Arial"/>
                <w:i/>
                <w:iCs/>
                <w:color w:val="0070C0"/>
                <w:sz w:val="20"/>
              </w:rPr>
              <w:t>For Fuel Cells and Hydrogen 2 Joint Undertaking</w:t>
            </w:r>
          </w:p>
          <w:p w14:paraId="1E4595A7" w14:textId="1BDA371C" w:rsidR="00323713" w:rsidRDefault="00323713" w:rsidP="00B9701B">
            <w:pPr>
              <w:pStyle w:val="Text1"/>
              <w:ind w:left="-57"/>
              <w:rPr>
                <w:rFonts w:ascii="Arial" w:hAnsi="Arial" w:cs="Arial"/>
                <w:color w:val="0070C0"/>
                <w:sz w:val="20"/>
              </w:rPr>
            </w:pPr>
            <w:r w:rsidRPr="00323713">
              <w:rPr>
                <w:rFonts w:ascii="Arial" w:hAnsi="Arial" w:cs="Arial"/>
                <w:color w:val="0070C0"/>
                <w:sz w:val="20"/>
              </w:rPr>
              <w:t>States Representative Group, Scientific Committee, Stakeholder Forum</w:t>
            </w:r>
          </w:p>
          <w:p w14:paraId="1D80FA93" w14:textId="0DE32A9E" w:rsidR="00323713" w:rsidRDefault="00323713" w:rsidP="00B9701B">
            <w:pPr>
              <w:pStyle w:val="Text1"/>
              <w:ind w:left="-57"/>
              <w:rPr>
                <w:rFonts w:ascii="Arial" w:hAnsi="Arial" w:cs="Arial"/>
                <w:i/>
                <w:iCs/>
                <w:color w:val="0070C0"/>
                <w:sz w:val="20"/>
              </w:rPr>
            </w:pPr>
            <w:r w:rsidRPr="003068B5">
              <w:rPr>
                <w:rFonts w:ascii="Arial" w:hAnsi="Arial" w:cs="Arial"/>
                <w:i/>
                <w:iCs/>
                <w:color w:val="0070C0"/>
                <w:sz w:val="20"/>
              </w:rPr>
              <w:t>For Clean Hydrogen Joint Undertaking</w:t>
            </w:r>
          </w:p>
          <w:p w14:paraId="5EE6A592" w14:textId="622CA2E5" w:rsidR="00323713" w:rsidRPr="00323713" w:rsidRDefault="00071FA5" w:rsidP="00B9701B">
            <w:pPr>
              <w:pStyle w:val="Text1"/>
              <w:ind w:left="-57"/>
              <w:rPr>
                <w:rFonts w:ascii="Arial" w:hAnsi="Arial" w:cs="Arial"/>
                <w:color w:val="0070C0"/>
                <w:sz w:val="20"/>
              </w:rPr>
            </w:pPr>
            <w:r>
              <w:rPr>
                <w:rFonts w:ascii="Arial" w:hAnsi="Arial" w:cs="Arial"/>
                <w:color w:val="0070C0"/>
                <w:sz w:val="20"/>
              </w:rPr>
              <w:t>States Representatives Group, Stakeholders Group</w:t>
            </w:r>
          </w:p>
          <w:p w14:paraId="24DB64C5" w14:textId="64044167" w:rsidR="00BB2B1B" w:rsidRPr="008913E5" w:rsidRDefault="00BB2B1B" w:rsidP="00B9701B">
            <w:pPr>
              <w:pStyle w:val="Text1"/>
              <w:ind w:left="-57"/>
              <w:rPr>
                <w:rFonts w:ascii="Arial" w:hAnsi="Arial" w:cs="Arial"/>
                <w:color w:val="0070C0"/>
                <w:sz w:val="20"/>
              </w:rPr>
            </w:pPr>
          </w:p>
        </w:tc>
      </w:tr>
      <w:tr w:rsidR="00BB2B1B" w:rsidRPr="008913E5" w14:paraId="1E747209" w14:textId="77777777" w:rsidTr="00A06C44">
        <w:trPr>
          <w:trHeight w:val="625"/>
        </w:trPr>
        <w:tc>
          <w:tcPr>
            <w:tcW w:w="1908" w:type="dxa"/>
            <w:shd w:val="clear" w:color="auto" w:fill="CCCCCC"/>
            <w:vAlign w:val="center"/>
          </w:tcPr>
          <w:p w14:paraId="4571B3D4" w14:textId="77777777" w:rsidR="00BB2B1B" w:rsidRPr="008913E5" w:rsidRDefault="00BB2B1B" w:rsidP="00BB2B1B">
            <w:pPr>
              <w:spacing w:after="0"/>
              <w:jc w:val="center"/>
              <w:rPr>
                <w:rFonts w:ascii="Arial" w:hAnsi="Arial" w:cs="Arial"/>
                <w:b/>
                <w:color w:val="0070C0"/>
                <w:sz w:val="20"/>
              </w:rPr>
            </w:pPr>
            <w:r w:rsidRPr="008913E5">
              <w:rPr>
                <w:rFonts w:ascii="Arial" w:hAnsi="Arial" w:cs="Arial"/>
                <w:b/>
                <w:color w:val="0070C0"/>
                <w:sz w:val="20"/>
              </w:rPr>
              <w:t>Staff</w:t>
            </w:r>
          </w:p>
        </w:tc>
        <w:tc>
          <w:tcPr>
            <w:tcW w:w="7272" w:type="dxa"/>
          </w:tcPr>
          <w:p w14:paraId="360CA721" w14:textId="67DC955B" w:rsidR="00BB2B1B" w:rsidRPr="008913E5" w:rsidRDefault="00D9694E" w:rsidP="00290ECC">
            <w:pPr>
              <w:pStyle w:val="Text1"/>
              <w:ind w:left="-57"/>
              <w:rPr>
                <w:rFonts w:ascii="Arial" w:hAnsi="Arial" w:cs="Arial"/>
                <w:color w:val="0070C0"/>
                <w:sz w:val="20"/>
              </w:rPr>
            </w:pPr>
            <w:r w:rsidRPr="008913E5">
              <w:rPr>
                <w:rFonts w:ascii="Arial" w:hAnsi="Arial" w:cs="Arial"/>
                <w:color w:val="0070C0"/>
                <w:sz w:val="20"/>
              </w:rPr>
              <w:t>24 temporary agents</w:t>
            </w:r>
            <w:r w:rsidR="005A3A75">
              <w:rPr>
                <w:rFonts w:ascii="Arial" w:hAnsi="Arial" w:cs="Arial"/>
                <w:color w:val="0070C0"/>
                <w:sz w:val="20"/>
              </w:rPr>
              <w:t>,</w:t>
            </w:r>
            <w:r w:rsidRPr="008913E5">
              <w:rPr>
                <w:rFonts w:ascii="Arial" w:hAnsi="Arial" w:cs="Arial"/>
                <w:color w:val="0070C0"/>
                <w:sz w:val="20"/>
              </w:rPr>
              <w:t xml:space="preserve"> 3 contract agents</w:t>
            </w:r>
            <w:r w:rsidR="00A809E0">
              <w:rPr>
                <w:rFonts w:ascii="Arial" w:hAnsi="Arial" w:cs="Arial"/>
                <w:color w:val="0070C0"/>
                <w:sz w:val="20"/>
              </w:rPr>
              <w:t xml:space="preserve"> and 2 SNEs</w:t>
            </w:r>
          </w:p>
        </w:tc>
      </w:tr>
      <w:tr w:rsidR="00BB2B1B" w:rsidRPr="008913E5" w14:paraId="78F120D6" w14:textId="77777777" w:rsidTr="00A06C44">
        <w:trPr>
          <w:trHeight w:val="565"/>
        </w:trPr>
        <w:tc>
          <w:tcPr>
            <w:tcW w:w="1908" w:type="dxa"/>
            <w:shd w:val="clear" w:color="auto" w:fill="CCCCCC"/>
            <w:vAlign w:val="center"/>
          </w:tcPr>
          <w:p w14:paraId="74477CF6" w14:textId="7D04B08C" w:rsidR="00BB2B1B" w:rsidRPr="008913E5" w:rsidRDefault="00A06C44" w:rsidP="00BB2B1B">
            <w:pPr>
              <w:spacing w:after="0"/>
              <w:jc w:val="center"/>
              <w:rPr>
                <w:rFonts w:ascii="Arial" w:hAnsi="Arial" w:cs="Arial"/>
                <w:b/>
                <w:color w:val="0070C0"/>
                <w:sz w:val="20"/>
              </w:rPr>
            </w:pPr>
            <w:r w:rsidRPr="008913E5">
              <w:rPr>
                <w:rFonts w:ascii="Arial" w:hAnsi="Arial" w:cs="Arial"/>
                <w:b/>
                <w:color w:val="0070C0"/>
                <w:sz w:val="20"/>
              </w:rPr>
              <w:t>20</w:t>
            </w:r>
            <w:r w:rsidR="00A34BE4" w:rsidRPr="008913E5">
              <w:rPr>
                <w:rFonts w:ascii="Arial" w:hAnsi="Arial" w:cs="Arial"/>
                <w:b/>
                <w:color w:val="0070C0"/>
                <w:sz w:val="20"/>
              </w:rPr>
              <w:t>21</w:t>
            </w:r>
            <w:r w:rsidRPr="008913E5">
              <w:rPr>
                <w:rFonts w:ascii="Arial" w:hAnsi="Arial" w:cs="Arial"/>
                <w:b/>
                <w:color w:val="0070C0"/>
                <w:sz w:val="20"/>
              </w:rPr>
              <w:t xml:space="preserve"> Budget</w:t>
            </w:r>
          </w:p>
        </w:tc>
        <w:tc>
          <w:tcPr>
            <w:tcW w:w="7272" w:type="dxa"/>
          </w:tcPr>
          <w:p w14:paraId="7591E452" w14:textId="74ED986E" w:rsidR="00BB2B1B" w:rsidRPr="008913E5" w:rsidRDefault="00D9694E" w:rsidP="00290ECC">
            <w:pPr>
              <w:pStyle w:val="Text1"/>
              <w:ind w:left="-57"/>
              <w:rPr>
                <w:rFonts w:ascii="Arial" w:hAnsi="Arial" w:cs="Arial"/>
                <w:color w:val="0070C0"/>
                <w:sz w:val="20"/>
              </w:rPr>
            </w:pPr>
            <w:r w:rsidRPr="008913E5">
              <w:rPr>
                <w:rFonts w:ascii="Arial" w:hAnsi="Arial" w:cs="Arial"/>
                <w:color w:val="0070C0"/>
                <w:sz w:val="20"/>
              </w:rPr>
              <w:t>EUR 15.8 million of which EUR 10.2 million (in terms of commitment appropriations) allocated to operational activities and EUR 5.6 million to administrative expenses</w:t>
            </w:r>
          </w:p>
        </w:tc>
      </w:tr>
      <w:tr w:rsidR="00BB2B1B" w:rsidRPr="008913E5" w14:paraId="1E487308" w14:textId="77777777" w:rsidTr="00A06C44">
        <w:trPr>
          <w:trHeight w:val="721"/>
        </w:trPr>
        <w:tc>
          <w:tcPr>
            <w:tcW w:w="1908" w:type="dxa"/>
            <w:shd w:val="clear" w:color="auto" w:fill="CCCCCC"/>
            <w:vAlign w:val="center"/>
          </w:tcPr>
          <w:p w14:paraId="5585A61B" w14:textId="77777777" w:rsidR="00BB2B1B" w:rsidRPr="008913E5" w:rsidRDefault="00A06C44" w:rsidP="00BB2B1B">
            <w:pPr>
              <w:spacing w:after="0"/>
              <w:jc w:val="center"/>
              <w:rPr>
                <w:rFonts w:ascii="Arial" w:hAnsi="Arial" w:cs="Arial"/>
                <w:b/>
                <w:color w:val="0070C0"/>
                <w:sz w:val="20"/>
              </w:rPr>
            </w:pPr>
            <w:r w:rsidRPr="008913E5">
              <w:rPr>
                <w:rFonts w:ascii="Arial" w:hAnsi="Arial" w:cs="Arial"/>
                <w:b/>
                <w:color w:val="0070C0"/>
                <w:sz w:val="20"/>
              </w:rPr>
              <w:t>Budget implementation</w:t>
            </w:r>
          </w:p>
        </w:tc>
        <w:tc>
          <w:tcPr>
            <w:tcW w:w="7272" w:type="dxa"/>
          </w:tcPr>
          <w:p w14:paraId="665ADB79" w14:textId="37BBA656" w:rsidR="00BB2B1B" w:rsidRPr="008913E5" w:rsidRDefault="00D9694E" w:rsidP="00290ECC">
            <w:pPr>
              <w:pStyle w:val="Text1"/>
              <w:ind w:left="-57"/>
              <w:rPr>
                <w:rFonts w:ascii="Arial" w:hAnsi="Arial" w:cs="Arial"/>
                <w:color w:val="0070C0"/>
                <w:sz w:val="20"/>
                <w:lang w:val="en-US"/>
              </w:rPr>
            </w:pPr>
            <w:r w:rsidRPr="008913E5">
              <w:rPr>
                <w:rFonts w:ascii="Arial" w:hAnsi="Arial" w:cs="Arial"/>
                <w:color w:val="0070C0"/>
                <w:sz w:val="20"/>
              </w:rPr>
              <w:t xml:space="preserve">98.3% </w:t>
            </w:r>
            <w:r w:rsidRPr="008913E5">
              <w:rPr>
                <w:rFonts w:ascii="Arial" w:hAnsi="Arial" w:cs="Arial"/>
                <w:color w:val="0070C0"/>
                <w:sz w:val="20"/>
                <w:lang w:val="en-US"/>
              </w:rPr>
              <w:t>in terms of commitment appropriations</w:t>
            </w:r>
          </w:p>
          <w:p w14:paraId="03423719" w14:textId="62400033" w:rsidR="00D9694E" w:rsidRPr="008913E5" w:rsidRDefault="00D9694E" w:rsidP="00290ECC">
            <w:pPr>
              <w:pStyle w:val="Text1"/>
              <w:ind w:left="-57"/>
              <w:rPr>
                <w:rFonts w:ascii="Arial" w:hAnsi="Arial" w:cs="Arial"/>
                <w:color w:val="0070C0"/>
                <w:sz w:val="20"/>
                <w:lang w:val="en-US"/>
              </w:rPr>
            </w:pPr>
            <w:r w:rsidRPr="008913E5">
              <w:rPr>
                <w:rFonts w:ascii="Arial" w:hAnsi="Arial" w:cs="Arial"/>
                <w:color w:val="0070C0"/>
                <w:sz w:val="20"/>
              </w:rPr>
              <w:t xml:space="preserve">88% </w:t>
            </w:r>
            <w:r w:rsidRPr="008913E5">
              <w:rPr>
                <w:rFonts w:ascii="Arial" w:hAnsi="Arial" w:cs="Arial"/>
                <w:color w:val="0070C0"/>
                <w:sz w:val="20"/>
                <w:lang w:val="en-US"/>
              </w:rPr>
              <w:t>in terms of payment appropriations</w:t>
            </w:r>
          </w:p>
        </w:tc>
      </w:tr>
      <w:tr w:rsidR="00BB2B1B" w:rsidRPr="008913E5" w14:paraId="78416E7D" w14:textId="77777777" w:rsidTr="00A06C44">
        <w:trPr>
          <w:trHeight w:val="577"/>
        </w:trPr>
        <w:tc>
          <w:tcPr>
            <w:tcW w:w="1908" w:type="dxa"/>
            <w:shd w:val="clear" w:color="auto" w:fill="CCCCCC"/>
            <w:vAlign w:val="center"/>
          </w:tcPr>
          <w:p w14:paraId="5C71AF2E" w14:textId="77777777" w:rsidR="00BB2B1B" w:rsidRPr="008913E5" w:rsidRDefault="00A06C44" w:rsidP="00BB2B1B">
            <w:pPr>
              <w:spacing w:after="0"/>
              <w:jc w:val="center"/>
              <w:rPr>
                <w:rFonts w:ascii="Arial" w:hAnsi="Arial" w:cs="Arial"/>
                <w:b/>
                <w:color w:val="0070C0"/>
                <w:sz w:val="20"/>
              </w:rPr>
            </w:pPr>
            <w:r w:rsidRPr="008913E5">
              <w:rPr>
                <w:rFonts w:ascii="Arial" w:hAnsi="Arial" w:cs="Arial"/>
                <w:b/>
                <w:color w:val="0070C0"/>
                <w:sz w:val="20"/>
              </w:rPr>
              <w:t>Grants</w:t>
            </w:r>
          </w:p>
        </w:tc>
        <w:tc>
          <w:tcPr>
            <w:tcW w:w="7272" w:type="dxa"/>
          </w:tcPr>
          <w:p w14:paraId="105A6E2D" w14:textId="46ACCFAE" w:rsidR="00BB2B1B" w:rsidRPr="008913E5" w:rsidRDefault="00DC7618" w:rsidP="00290ECC">
            <w:pPr>
              <w:pStyle w:val="Text1"/>
              <w:ind w:left="-57"/>
              <w:rPr>
                <w:rFonts w:ascii="Arial" w:hAnsi="Arial" w:cs="Arial"/>
                <w:color w:val="0070C0"/>
                <w:sz w:val="20"/>
              </w:rPr>
            </w:pPr>
            <w:r w:rsidRPr="008913E5">
              <w:rPr>
                <w:rFonts w:ascii="Arial" w:hAnsi="Arial" w:cs="Arial"/>
                <w:color w:val="0070C0"/>
                <w:sz w:val="20"/>
              </w:rPr>
              <w:t>134</w:t>
            </w:r>
            <w:r w:rsidR="00A06C44" w:rsidRPr="008913E5">
              <w:rPr>
                <w:rFonts w:ascii="Arial" w:hAnsi="Arial" w:cs="Arial"/>
                <w:color w:val="0070C0"/>
                <w:sz w:val="20"/>
              </w:rPr>
              <w:t xml:space="preserve"> signed for a total value of </w:t>
            </w:r>
            <w:r w:rsidRPr="008913E5">
              <w:rPr>
                <w:rFonts w:ascii="Arial" w:hAnsi="Arial" w:cs="Arial"/>
                <w:color w:val="0070C0"/>
                <w:sz w:val="20"/>
              </w:rPr>
              <w:t>63</w:t>
            </w:r>
            <w:r w:rsidR="0048503B" w:rsidRPr="008913E5">
              <w:rPr>
                <w:rFonts w:ascii="Arial" w:hAnsi="Arial" w:cs="Arial"/>
                <w:color w:val="0070C0"/>
                <w:sz w:val="20"/>
              </w:rPr>
              <w:t>2</w:t>
            </w:r>
            <w:r w:rsidRPr="008913E5">
              <w:rPr>
                <w:rFonts w:ascii="Arial" w:hAnsi="Arial" w:cs="Arial"/>
                <w:color w:val="0070C0"/>
                <w:sz w:val="20"/>
              </w:rPr>
              <w:t>.</w:t>
            </w:r>
            <w:r w:rsidR="0048503B" w:rsidRPr="008913E5">
              <w:rPr>
                <w:rFonts w:ascii="Arial" w:hAnsi="Arial" w:cs="Arial"/>
                <w:color w:val="0070C0"/>
                <w:sz w:val="20"/>
              </w:rPr>
              <w:t>6</w:t>
            </w:r>
            <w:r w:rsidRPr="008913E5">
              <w:rPr>
                <w:rFonts w:ascii="Arial" w:hAnsi="Arial" w:cs="Arial"/>
                <w:color w:val="0070C0"/>
                <w:sz w:val="20"/>
              </w:rPr>
              <w:t xml:space="preserve"> million at end of 2021</w:t>
            </w:r>
          </w:p>
        </w:tc>
      </w:tr>
      <w:tr w:rsidR="00A06C44" w:rsidRPr="008913E5" w14:paraId="6504DCA3" w14:textId="77777777" w:rsidTr="00290ECC">
        <w:trPr>
          <w:trHeight w:val="1014"/>
        </w:trPr>
        <w:tc>
          <w:tcPr>
            <w:tcW w:w="1908" w:type="dxa"/>
            <w:shd w:val="clear" w:color="auto" w:fill="CCCCCC"/>
            <w:vAlign w:val="center"/>
          </w:tcPr>
          <w:p w14:paraId="0138AFD1" w14:textId="77777777" w:rsidR="00BB2B1B" w:rsidRPr="008913E5" w:rsidRDefault="00BB2B1B" w:rsidP="00BB2B1B">
            <w:pPr>
              <w:spacing w:after="0"/>
              <w:jc w:val="center"/>
              <w:rPr>
                <w:rFonts w:ascii="Arial" w:hAnsi="Arial" w:cs="Arial"/>
                <w:b/>
                <w:color w:val="0070C0"/>
                <w:sz w:val="20"/>
              </w:rPr>
            </w:pPr>
            <w:r w:rsidRPr="008913E5">
              <w:rPr>
                <w:rFonts w:ascii="Arial" w:hAnsi="Arial" w:cs="Arial"/>
                <w:b/>
                <w:color w:val="0070C0"/>
                <w:sz w:val="20"/>
              </w:rPr>
              <w:t>Strategic Research Agenda</w:t>
            </w:r>
          </w:p>
        </w:tc>
        <w:tc>
          <w:tcPr>
            <w:tcW w:w="7272" w:type="dxa"/>
          </w:tcPr>
          <w:p w14:paraId="21298829" w14:textId="77777777" w:rsidR="00D9694E" w:rsidRPr="008913E5" w:rsidRDefault="00D9694E" w:rsidP="00D9694E">
            <w:pPr>
              <w:pStyle w:val="Text1"/>
              <w:ind w:left="-57"/>
              <w:rPr>
                <w:rFonts w:ascii="Arial" w:hAnsi="Arial" w:cs="Arial"/>
                <w:color w:val="0070C0"/>
                <w:sz w:val="20"/>
              </w:rPr>
            </w:pPr>
            <w:r w:rsidRPr="008913E5">
              <w:rPr>
                <w:rFonts w:ascii="Arial" w:hAnsi="Arial" w:cs="Arial"/>
                <w:color w:val="0070C0"/>
                <w:sz w:val="20"/>
              </w:rPr>
              <w:t>Multi-Annual Work Plan 2014-2021</w:t>
            </w:r>
          </w:p>
          <w:p w14:paraId="76BDA8E2" w14:textId="515947DD" w:rsidR="00BB2B1B" w:rsidRPr="008913E5" w:rsidRDefault="00D9694E" w:rsidP="00D9694E">
            <w:pPr>
              <w:pStyle w:val="Text1"/>
              <w:ind w:left="-57"/>
              <w:rPr>
                <w:rFonts w:ascii="Arial" w:hAnsi="Arial" w:cs="Arial"/>
                <w:color w:val="0070C0"/>
                <w:sz w:val="20"/>
              </w:rPr>
            </w:pPr>
            <w:r w:rsidRPr="008913E5">
              <w:rPr>
                <w:rFonts w:ascii="Arial" w:hAnsi="Arial" w:cs="Arial"/>
                <w:color w:val="0070C0"/>
                <w:sz w:val="20"/>
              </w:rPr>
              <w:t>Addendum to the MAWP endorsed by the Governing Board on 15 June 2018</w:t>
            </w:r>
          </w:p>
        </w:tc>
      </w:tr>
      <w:tr w:rsidR="003F6B0C" w:rsidRPr="008913E5" w14:paraId="6A740F9B" w14:textId="77777777" w:rsidTr="003F6B0C">
        <w:trPr>
          <w:trHeight w:val="1696"/>
        </w:trPr>
        <w:tc>
          <w:tcPr>
            <w:tcW w:w="1908" w:type="dxa"/>
            <w:shd w:val="clear" w:color="auto" w:fill="CCCCCC"/>
          </w:tcPr>
          <w:p w14:paraId="06914C3C" w14:textId="77777777" w:rsidR="003F6B0C" w:rsidRPr="008913E5" w:rsidRDefault="003F6B0C" w:rsidP="00641434">
            <w:pPr>
              <w:jc w:val="center"/>
              <w:rPr>
                <w:rFonts w:ascii="Arial" w:hAnsi="Arial" w:cs="Arial"/>
                <w:b/>
                <w:color w:val="0070C0"/>
                <w:sz w:val="20"/>
              </w:rPr>
            </w:pPr>
            <w:r w:rsidRPr="008913E5">
              <w:rPr>
                <w:rFonts w:ascii="Arial" w:hAnsi="Arial" w:cs="Arial"/>
                <w:b/>
                <w:color w:val="0070C0"/>
                <w:sz w:val="20"/>
              </w:rPr>
              <w:lastRenderedPageBreak/>
              <w:t>Call implementation</w:t>
            </w:r>
          </w:p>
        </w:tc>
        <w:tc>
          <w:tcPr>
            <w:tcW w:w="7272" w:type="dxa"/>
          </w:tcPr>
          <w:p w14:paraId="5AC12320" w14:textId="6E2381CB" w:rsidR="00DC7618" w:rsidRPr="008913E5" w:rsidRDefault="00DC7618" w:rsidP="00DC7618">
            <w:pPr>
              <w:rPr>
                <w:rFonts w:ascii="Arial" w:hAnsi="Arial" w:cs="Arial"/>
                <w:color w:val="0070C0"/>
                <w:sz w:val="20"/>
              </w:rPr>
            </w:pPr>
            <w:r w:rsidRPr="008913E5">
              <w:rPr>
                <w:rFonts w:ascii="Arial" w:hAnsi="Arial" w:cs="Arial"/>
                <w:color w:val="0070C0"/>
                <w:sz w:val="20"/>
              </w:rPr>
              <w:t xml:space="preserve">Global project portfolio (since setting up): 155 projects under FP7 (of which 154 are closed and 1 </w:t>
            </w:r>
            <w:r w:rsidR="00A809E0">
              <w:rPr>
                <w:rFonts w:ascii="Arial" w:hAnsi="Arial" w:cs="Arial"/>
                <w:color w:val="0070C0"/>
                <w:sz w:val="20"/>
              </w:rPr>
              <w:t>is</w:t>
            </w:r>
            <w:r w:rsidR="00A809E0" w:rsidRPr="008913E5">
              <w:rPr>
                <w:rFonts w:ascii="Arial" w:hAnsi="Arial" w:cs="Arial"/>
                <w:color w:val="0070C0"/>
                <w:sz w:val="20"/>
              </w:rPr>
              <w:t xml:space="preserve"> </w:t>
            </w:r>
            <w:r w:rsidRPr="008913E5">
              <w:rPr>
                <w:rFonts w:ascii="Arial" w:hAnsi="Arial" w:cs="Arial"/>
                <w:color w:val="0070C0"/>
                <w:sz w:val="20"/>
              </w:rPr>
              <w:t>open) and</w:t>
            </w:r>
          </w:p>
          <w:p w14:paraId="3E6D6CE0" w14:textId="372D8C22" w:rsidR="00DC7618" w:rsidRPr="008913E5" w:rsidRDefault="00DC7618" w:rsidP="00DC7618">
            <w:pPr>
              <w:rPr>
                <w:rFonts w:ascii="Arial" w:hAnsi="Arial" w:cs="Arial"/>
                <w:color w:val="0070C0"/>
                <w:sz w:val="20"/>
              </w:rPr>
            </w:pPr>
            <w:r w:rsidRPr="008913E5">
              <w:rPr>
                <w:rFonts w:ascii="Arial" w:hAnsi="Arial" w:cs="Arial"/>
                <w:color w:val="0070C0"/>
                <w:sz w:val="20"/>
              </w:rPr>
              <w:t xml:space="preserve">134 signed projects under H2020 (of which </w:t>
            </w:r>
            <w:r w:rsidR="00620DD6" w:rsidRPr="008913E5">
              <w:rPr>
                <w:rFonts w:ascii="Arial" w:hAnsi="Arial" w:cs="Arial"/>
                <w:color w:val="0070C0"/>
                <w:sz w:val="20"/>
              </w:rPr>
              <w:t>52</w:t>
            </w:r>
            <w:r w:rsidRPr="008913E5">
              <w:rPr>
                <w:rFonts w:ascii="Arial" w:hAnsi="Arial" w:cs="Arial"/>
                <w:color w:val="0070C0"/>
                <w:sz w:val="20"/>
              </w:rPr>
              <w:t xml:space="preserve"> are closed and </w:t>
            </w:r>
            <w:r w:rsidR="00620DD6" w:rsidRPr="008913E5">
              <w:rPr>
                <w:rFonts w:ascii="Arial" w:hAnsi="Arial" w:cs="Arial"/>
                <w:color w:val="0070C0"/>
                <w:sz w:val="20"/>
              </w:rPr>
              <w:t>82</w:t>
            </w:r>
            <w:r w:rsidRPr="008913E5">
              <w:rPr>
                <w:rFonts w:ascii="Arial" w:hAnsi="Arial" w:cs="Arial"/>
                <w:color w:val="0070C0"/>
                <w:sz w:val="20"/>
              </w:rPr>
              <w:t xml:space="preserve"> are open)</w:t>
            </w:r>
          </w:p>
          <w:p w14:paraId="03017863" w14:textId="40174142" w:rsidR="009F324A" w:rsidRPr="008913E5" w:rsidRDefault="00DC7618" w:rsidP="00DC7618">
            <w:pPr>
              <w:rPr>
                <w:rFonts w:ascii="Arial" w:hAnsi="Arial" w:cs="Arial"/>
                <w:color w:val="0070C0"/>
                <w:sz w:val="20"/>
              </w:rPr>
            </w:pPr>
            <w:r w:rsidRPr="008913E5">
              <w:rPr>
                <w:rFonts w:ascii="Arial" w:hAnsi="Arial" w:cs="Arial"/>
                <w:color w:val="0070C0"/>
                <w:sz w:val="20"/>
              </w:rPr>
              <w:t xml:space="preserve">Number and value of tenders (if any): </w:t>
            </w:r>
            <w:r w:rsidR="00620DD6" w:rsidRPr="008913E5">
              <w:rPr>
                <w:rFonts w:ascii="Arial" w:hAnsi="Arial" w:cs="Arial"/>
                <w:color w:val="0070C0"/>
                <w:sz w:val="20"/>
              </w:rPr>
              <w:t>2</w:t>
            </w:r>
            <w:r w:rsidRPr="008913E5">
              <w:rPr>
                <w:rFonts w:ascii="Arial" w:hAnsi="Arial" w:cs="Arial"/>
                <w:color w:val="0070C0"/>
                <w:sz w:val="20"/>
              </w:rPr>
              <w:t xml:space="preserve"> </w:t>
            </w:r>
            <w:r w:rsidR="00620DD6" w:rsidRPr="008913E5">
              <w:rPr>
                <w:rFonts w:ascii="Arial" w:hAnsi="Arial" w:cs="Arial"/>
                <w:color w:val="0070C0"/>
                <w:sz w:val="20"/>
              </w:rPr>
              <w:t>operational procurement activities</w:t>
            </w:r>
            <w:r w:rsidRPr="008913E5">
              <w:rPr>
                <w:rFonts w:ascii="Arial" w:hAnsi="Arial" w:cs="Arial"/>
                <w:color w:val="0070C0"/>
                <w:sz w:val="20"/>
              </w:rPr>
              <w:t xml:space="preserve"> were contracted in 202</w:t>
            </w:r>
            <w:r w:rsidR="00620DD6" w:rsidRPr="008913E5">
              <w:rPr>
                <w:rFonts w:ascii="Arial" w:hAnsi="Arial" w:cs="Arial"/>
                <w:color w:val="0070C0"/>
                <w:sz w:val="20"/>
              </w:rPr>
              <w:t>1</w:t>
            </w:r>
            <w:r w:rsidRPr="008913E5">
              <w:rPr>
                <w:rFonts w:ascii="Arial" w:hAnsi="Arial" w:cs="Arial"/>
                <w:color w:val="0070C0"/>
                <w:sz w:val="20"/>
              </w:rPr>
              <w:t xml:space="preserve"> for a total value of EUR </w:t>
            </w:r>
            <w:r w:rsidR="00620DD6" w:rsidRPr="008913E5">
              <w:rPr>
                <w:rFonts w:ascii="Arial" w:hAnsi="Arial" w:cs="Arial"/>
                <w:color w:val="0070C0"/>
                <w:sz w:val="20"/>
              </w:rPr>
              <w:t>718k</w:t>
            </w:r>
          </w:p>
        </w:tc>
      </w:tr>
      <w:tr w:rsidR="00BB2B1B" w:rsidRPr="008913E5" w14:paraId="2E3A9C2B" w14:textId="77777777" w:rsidTr="003F6B0C">
        <w:trPr>
          <w:trHeight w:val="992"/>
        </w:trPr>
        <w:tc>
          <w:tcPr>
            <w:tcW w:w="1908" w:type="dxa"/>
            <w:shd w:val="clear" w:color="auto" w:fill="CCCCCC"/>
          </w:tcPr>
          <w:p w14:paraId="01879C82" w14:textId="77777777" w:rsidR="00BB2B1B" w:rsidRPr="008913E5" w:rsidRDefault="00BB2B1B" w:rsidP="00641434">
            <w:pPr>
              <w:spacing w:after="0"/>
              <w:jc w:val="center"/>
              <w:rPr>
                <w:rFonts w:ascii="Arial" w:hAnsi="Arial" w:cs="Arial"/>
                <w:b/>
                <w:color w:val="0070C0"/>
                <w:sz w:val="20"/>
              </w:rPr>
            </w:pPr>
            <w:r w:rsidRPr="008913E5">
              <w:rPr>
                <w:rFonts w:ascii="Arial" w:hAnsi="Arial" w:cs="Arial"/>
                <w:b/>
                <w:color w:val="0070C0"/>
                <w:sz w:val="20"/>
              </w:rPr>
              <w:t>Participation, including SMEs</w:t>
            </w:r>
          </w:p>
          <w:p w14:paraId="4A8BE09F" w14:textId="77777777" w:rsidR="00BB2B1B" w:rsidRPr="008913E5" w:rsidRDefault="00BB2B1B" w:rsidP="00290ECC">
            <w:pPr>
              <w:spacing w:after="0"/>
              <w:rPr>
                <w:rFonts w:ascii="Arial" w:hAnsi="Arial" w:cs="Arial"/>
                <w:b/>
                <w:color w:val="0070C0"/>
                <w:sz w:val="20"/>
              </w:rPr>
            </w:pPr>
          </w:p>
        </w:tc>
        <w:tc>
          <w:tcPr>
            <w:tcW w:w="7272" w:type="dxa"/>
          </w:tcPr>
          <w:p w14:paraId="733512D8" w14:textId="442263BA" w:rsidR="00E33CC7" w:rsidRPr="008913E5" w:rsidRDefault="00E33CC7" w:rsidP="00E33CC7">
            <w:pPr>
              <w:spacing w:after="0"/>
              <w:rPr>
                <w:rFonts w:ascii="Arial" w:hAnsi="Arial" w:cs="Arial"/>
                <w:color w:val="0070C0"/>
                <w:sz w:val="20"/>
              </w:rPr>
            </w:pPr>
            <w:r w:rsidRPr="008913E5">
              <w:rPr>
                <w:rFonts w:ascii="Arial" w:hAnsi="Arial" w:cs="Arial"/>
                <w:color w:val="0070C0"/>
                <w:sz w:val="20"/>
              </w:rPr>
              <w:t xml:space="preserve">Total number of participations in funded projects: </w:t>
            </w:r>
            <w:r w:rsidR="00620DD6" w:rsidRPr="008913E5">
              <w:rPr>
                <w:rFonts w:ascii="Arial" w:hAnsi="Arial" w:cs="Arial"/>
                <w:color w:val="0070C0"/>
                <w:sz w:val="20"/>
              </w:rPr>
              <w:t>1 544</w:t>
            </w:r>
          </w:p>
          <w:p w14:paraId="5620E107" w14:textId="77777777" w:rsidR="00E33CC7" w:rsidRPr="008913E5" w:rsidRDefault="00E33CC7" w:rsidP="00E33CC7">
            <w:pPr>
              <w:spacing w:after="0"/>
              <w:rPr>
                <w:rFonts w:ascii="Arial" w:hAnsi="Arial" w:cs="Arial"/>
                <w:color w:val="0070C0"/>
                <w:sz w:val="20"/>
              </w:rPr>
            </w:pPr>
            <w:r w:rsidRPr="008913E5">
              <w:rPr>
                <w:rFonts w:ascii="Arial" w:hAnsi="Arial" w:cs="Arial"/>
                <w:color w:val="0070C0"/>
                <w:sz w:val="20"/>
              </w:rPr>
              <w:t>of which:</w:t>
            </w:r>
          </w:p>
          <w:p w14:paraId="4665AD6C" w14:textId="51314808" w:rsidR="00E33CC7" w:rsidRPr="008913E5" w:rsidRDefault="00E33CC7" w:rsidP="00E33CC7">
            <w:pPr>
              <w:spacing w:after="0"/>
              <w:rPr>
                <w:rFonts w:ascii="Arial" w:hAnsi="Arial" w:cs="Arial"/>
                <w:color w:val="0070C0"/>
                <w:sz w:val="20"/>
              </w:rPr>
            </w:pPr>
            <w:r w:rsidRPr="008913E5">
              <w:rPr>
                <w:rFonts w:ascii="Arial" w:hAnsi="Arial" w:cs="Arial"/>
                <w:color w:val="0070C0"/>
                <w:sz w:val="20"/>
              </w:rPr>
              <w:t xml:space="preserve">% </w:t>
            </w:r>
            <w:proofErr w:type="gramStart"/>
            <w:r w:rsidRPr="008913E5">
              <w:rPr>
                <w:rFonts w:ascii="Arial" w:hAnsi="Arial" w:cs="Arial"/>
                <w:color w:val="0070C0"/>
                <w:sz w:val="20"/>
              </w:rPr>
              <w:t>of</w:t>
            </w:r>
            <w:proofErr w:type="gramEnd"/>
            <w:r w:rsidRPr="008913E5">
              <w:rPr>
                <w:rFonts w:ascii="Arial" w:hAnsi="Arial" w:cs="Arial"/>
                <w:color w:val="0070C0"/>
                <w:sz w:val="20"/>
              </w:rPr>
              <w:t xml:space="preserve"> SMEs = </w:t>
            </w:r>
            <w:r w:rsidR="00620DD6" w:rsidRPr="008913E5">
              <w:rPr>
                <w:rFonts w:ascii="Arial" w:hAnsi="Arial" w:cs="Arial"/>
                <w:color w:val="0070C0"/>
                <w:sz w:val="20"/>
              </w:rPr>
              <w:t xml:space="preserve">23 </w:t>
            </w:r>
            <w:r w:rsidR="00801E0D" w:rsidRPr="008913E5">
              <w:rPr>
                <w:rFonts w:ascii="Arial" w:hAnsi="Arial" w:cs="Arial"/>
                <w:color w:val="0070C0"/>
                <w:sz w:val="20"/>
              </w:rPr>
              <w:t>%</w:t>
            </w:r>
          </w:p>
          <w:p w14:paraId="6AA54B72" w14:textId="25DCE66A" w:rsidR="00620DD6" w:rsidRPr="008913E5" w:rsidRDefault="00620DD6" w:rsidP="00E33CC7">
            <w:pPr>
              <w:spacing w:after="0"/>
              <w:rPr>
                <w:rFonts w:ascii="Arial" w:hAnsi="Arial" w:cs="Arial"/>
                <w:color w:val="0070C0"/>
                <w:sz w:val="20"/>
              </w:rPr>
            </w:pPr>
            <w:r w:rsidRPr="008913E5">
              <w:rPr>
                <w:rFonts w:ascii="Arial" w:hAnsi="Arial" w:cs="Arial"/>
                <w:color w:val="0070C0"/>
                <w:sz w:val="20"/>
              </w:rPr>
              <w:t xml:space="preserve">% </w:t>
            </w:r>
            <w:proofErr w:type="gramStart"/>
            <w:r w:rsidRPr="008913E5">
              <w:rPr>
                <w:rFonts w:ascii="Arial" w:hAnsi="Arial" w:cs="Arial"/>
                <w:color w:val="0070C0"/>
                <w:sz w:val="20"/>
              </w:rPr>
              <w:t>of</w:t>
            </w:r>
            <w:proofErr w:type="gramEnd"/>
            <w:r w:rsidRPr="008913E5">
              <w:rPr>
                <w:rFonts w:ascii="Arial" w:hAnsi="Arial" w:cs="Arial"/>
                <w:color w:val="0070C0"/>
                <w:sz w:val="20"/>
              </w:rPr>
              <w:t xml:space="preserve"> SME funding: 28%</w:t>
            </w:r>
          </w:p>
          <w:p w14:paraId="45BAE6F2" w14:textId="6ED4370D" w:rsidR="00BB2B1B" w:rsidRPr="008913E5" w:rsidRDefault="00E33CC7" w:rsidP="00E33CC7">
            <w:pPr>
              <w:spacing w:after="0"/>
              <w:rPr>
                <w:rFonts w:ascii="Arial" w:hAnsi="Arial" w:cs="Arial"/>
                <w:color w:val="0070C0"/>
                <w:sz w:val="20"/>
              </w:rPr>
            </w:pPr>
            <w:r w:rsidRPr="008913E5">
              <w:rPr>
                <w:rFonts w:ascii="Arial" w:hAnsi="Arial" w:cs="Arial"/>
                <w:color w:val="0070C0"/>
                <w:sz w:val="20"/>
              </w:rPr>
              <w:t xml:space="preserve">% </w:t>
            </w:r>
            <w:proofErr w:type="gramStart"/>
            <w:r w:rsidRPr="008913E5">
              <w:rPr>
                <w:rFonts w:ascii="Arial" w:hAnsi="Arial" w:cs="Arial"/>
                <w:color w:val="0070C0"/>
                <w:sz w:val="20"/>
              </w:rPr>
              <w:t>of</w:t>
            </w:r>
            <w:proofErr w:type="gramEnd"/>
            <w:r w:rsidRPr="008913E5">
              <w:rPr>
                <w:rFonts w:ascii="Arial" w:hAnsi="Arial" w:cs="Arial"/>
                <w:color w:val="0070C0"/>
                <w:sz w:val="20"/>
              </w:rPr>
              <w:t xml:space="preserve"> private for profit/large companies = </w:t>
            </w:r>
            <w:r w:rsidR="00D00C39" w:rsidRPr="008913E5">
              <w:rPr>
                <w:rFonts w:ascii="Arial" w:hAnsi="Arial" w:cs="Arial"/>
                <w:color w:val="0070C0"/>
                <w:sz w:val="20"/>
              </w:rPr>
              <w:t>70</w:t>
            </w:r>
            <w:r w:rsidRPr="008913E5">
              <w:rPr>
                <w:rFonts w:ascii="Arial" w:hAnsi="Arial" w:cs="Arial"/>
                <w:color w:val="0070C0"/>
                <w:sz w:val="20"/>
              </w:rPr>
              <w:t>%</w:t>
            </w:r>
          </w:p>
        </w:tc>
      </w:tr>
    </w:tbl>
    <w:p w14:paraId="01C697B7" w14:textId="67B8BF26" w:rsidR="00293B9A" w:rsidRDefault="00293B9A"/>
    <w:p w14:paraId="1985F7B0" w14:textId="18B30D09" w:rsidR="00BB2B1B" w:rsidRPr="003068B5" w:rsidRDefault="00BB2B1B" w:rsidP="003068B5"/>
    <w:p w14:paraId="2807E358" w14:textId="51A96EF9" w:rsidR="00F77365" w:rsidRDefault="00F77365" w:rsidP="00F77365"/>
    <w:p w14:paraId="6C1335A6" w14:textId="3E6466BE" w:rsidR="00F77365" w:rsidRDefault="00F77365" w:rsidP="00F77365"/>
    <w:p w14:paraId="2CC66ECD" w14:textId="49530DA1" w:rsidR="00F77365" w:rsidRDefault="00F77365" w:rsidP="00F77365"/>
    <w:p w14:paraId="123EC8C3" w14:textId="1AFDF63C" w:rsidR="00F77365" w:rsidRDefault="00F77365" w:rsidP="00F77365"/>
    <w:p w14:paraId="1BDC1DD0" w14:textId="2BEEFF4E" w:rsidR="00F77365" w:rsidRDefault="00F77365" w:rsidP="00F77365"/>
    <w:p w14:paraId="0AC52670" w14:textId="65CD917B" w:rsidR="00F77365" w:rsidRDefault="00F77365" w:rsidP="00F77365"/>
    <w:p w14:paraId="1A531B4A" w14:textId="4D4C9D6A" w:rsidR="00F77365" w:rsidRDefault="00F77365" w:rsidP="00F77365"/>
    <w:p w14:paraId="0F3FB893" w14:textId="0DC468B7" w:rsidR="00F77365" w:rsidRDefault="00F77365" w:rsidP="00F77365"/>
    <w:p w14:paraId="42F1F30C" w14:textId="352B8965" w:rsidR="00F77365" w:rsidRDefault="00F77365" w:rsidP="00F77365"/>
    <w:p w14:paraId="6242C354" w14:textId="1AECC820" w:rsidR="00F77365" w:rsidRDefault="00F77365" w:rsidP="00F77365"/>
    <w:p w14:paraId="08C63797" w14:textId="189B3BB8" w:rsidR="00F77365" w:rsidRDefault="00F77365" w:rsidP="00F77365"/>
    <w:p w14:paraId="164EC61B" w14:textId="70BB039E" w:rsidR="00F77365" w:rsidRDefault="00F77365" w:rsidP="00F77365"/>
    <w:p w14:paraId="5186C74C" w14:textId="5F5713CC" w:rsidR="00F77365" w:rsidRDefault="00F77365" w:rsidP="00F77365"/>
    <w:p w14:paraId="2A9F5FEA" w14:textId="20F2E56D" w:rsidR="00F77365" w:rsidRDefault="00F77365" w:rsidP="00F77365"/>
    <w:p w14:paraId="215856EC" w14:textId="77777777" w:rsidR="00F77365" w:rsidRPr="00F77365" w:rsidRDefault="00F77365" w:rsidP="00F77365"/>
    <w:p w14:paraId="2D7CDE48" w14:textId="77777777" w:rsidR="00DF2591" w:rsidRDefault="00DF2591">
      <w:pPr>
        <w:spacing w:after="0" w:line="240" w:lineRule="auto"/>
        <w:rPr>
          <w:rFonts w:asciiTheme="minorHAnsi" w:eastAsia="Times New Roman" w:hAnsiTheme="minorHAnsi"/>
          <w:b/>
          <w:bCs/>
          <w:kern w:val="32"/>
          <w:sz w:val="32"/>
          <w:szCs w:val="32"/>
        </w:rPr>
      </w:pPr>
      <w:bookmarkStart w:id="4" w:name="_Toc98496321"/>
      <w:r>
        <w:rPr>
          <w:rFonts w:asciiTheme="minorHAnsi" w:hAnsiTheme="minorHAnsi"/>
        </w:rPr>
        <w:br w:type="page"/>
      </w:r>
    </w:p>
    <w:p w14:paraId="437BDB27" w14:textId="608D72E0" w:rsidR="00BB2B1B" w:rsidRPr="00BB4A45" w:rsidRDefault="00BB2B1B" w:rsidP="00864737">
      <w:pPr>
        <w:pStyle w:val="Heading1"/>
        <w:jc w:val="both"/>
        <w:rPr>
          <w:rFonts w:ascii="Arial" w:hAnsi="Arial" w:cs="Arial"/>
        </w:rPr>
      </w:pPr>
      <w:bookmarkStart w:id="5" w:name="_Toc101516044"/>
      <w:r w:rsidRPr="00BB4A45">
        <w:rPr>
          <w:rFonts w:ascii="Arial" w:hAnsi="Arial" w:cs="Arial"/>
        </w:rPr>
        <w:lastRenderedPageBreak/>
        <w:t>FOREWORD</w:t>
      </w:r>
      <w:bookmarkEnd w:id="4"/>
      <w:bookmarkEnd w:id="5"/>
    </w:p>
    <w:p w14:paraId="01933433" w14:textId="5F72CFDA" w:rsidR="00BB2B1B" w:rsidRPr="00DC2B19" w:rsidRDefault="00DC2B19" w:rsidP="004A30C4">
      <w:pPr>
        <w:spacing w:after="60"/>
        <w:jc w:val="both"/>
        <w:rPr>
          <w:rFonts w:ascii="Arial" w:hAnsi="Arial" w:cs="Arial"/>
          <w:i/>
          <w:iCs/>
          <w:lang w:val="en-US"/>
        </w:rPr>
      </w:pPr>
      <w:r w:rsidRPr="00F77365">
        <w:rPr>
          <w:rFonts w:ascii="Arial" w:hAnsi="Arial" w:cs="Arial"/>
          <w:i/>
          <w:iCs/>
        </w:rPr>
        <w:t>[</w:t>
      </w:r>
      <w:r w:rsidR="004A30C4" w:rsidRPr="004A30C4">
        <w:rPr>
          <w:rFonts w:ascii="Arial" w:hAnsi="Arial" w:cs="Arial"/>
          <w:i/>
          <w:iCs/>
        </w:rPr>
        <w:t>Bart’s picture top left</w:t>
      </w:r>
      <w:r w:rsidRPr="00F77365">
        <w:rPr>
          <w:rFonts w:ascii="Arial" w:hAnsi="Arial" w:cs="Arial"/>
          <w:i/>
          <w:iCs/>
        </w:rPr>
        <w:t>]</w:t>
      </w:r>
    </w:p>
    <w:p w14:paraId="461AFF06" w14:textId="77777777" w:rsidR="009B1153" w:rsidRDefault="009B1153" w:rsidP="004A30C4">
      <w:pPr>
        <w:spacing w:after="60"/>
        <w:jc w:val="both"/>
        <w:rPr>
          <w:rFonts w:ascii="Arial" w:hAnsi="Arial" w:cs="Arial"/>
        </w:rPr>
      </w:pPr>
    </w:p>
    <w:p w14:paraId="78936C22" w14:textId="1C4ABDE5" w:rsidR="004A30C4" w:rsidRDefault="004A30C4" w:rsidP="004A30C4">
      <w:pPr>
        <w:spacing w:after="60"/>
        <w:jc w:val="both"/>
        <w:rPr>
          <w:rFonts w:ascii="Arial" w:hAnsi="Arial" w:cs="Arial"/>
          <w:lang w:val="en-US"/>
        </w:rPr>
      </w:pPr>
      <w:r w:rsidRPr="004A30C4">
        <w:rPr>
          <w:rFonts w:ascii="Arial" w:hAnsi="Arial" w:cs="Arial"/>
        </w:rPr>
        <w:t xml:space="preserve">2021 was a significant year for the </w:t>
      </w:r>
      <w:r w:rsidR="002C797C">
        <w:rPr>
          <w:rFonts w:ascii="Arial" w:hAnsi="Arial" w:cs="Arial"/>
        </w:rPr>
        <w:t xml:space="preserve">hydrogen community and the </w:t>
      </w:r>
      <w:r w:rsidRPr="004A30C4">
        <w:rPr>
          <w:rFonts w:ascii="Arial" w:hAnsi="Arial" w:cs="Arial"/>
        </w:rPr>
        <w:t xml:space="preserve">continuation of the </w:t>
      </w:r>
      <w:r w:rsidR="009B1153">
        <w:rPr>
          <w:rFonts w:ascii="Arial" w:hAnsi="Arial" w:cs="Arial"/>
        </w:rPr>
        <w:t>Partnership</w:t>
      </w:r>
      <w:r w:rsidRPr="004A30C4">
        <w:rPr>
          <w:rFonts w:ascii="Arial" w:hAnsi="Arial" w:cs="Arial"/>
        </w:rPr>
        <w:t xml:space="preserve">. </w:t>
      </w:r>
      <w:r w:rsidR="00F453AD">
        <w:rPr>
          <w:rFonts w:ascii="Arial" w:hAnsi="Arial" w:cs="Arial"/>
          <w:lang w:val="en-US"/>
        </w:rPr>
        <w:t xml:space="preserve">It was a year marked with </w:t>
      </w:r>
      <w:r w:rsidR="00A16F03">
        <w:rPr>
          <w:rFonts w:ascii="Arial" w:hAnsi="Arial" w:cs="Arial"/>
          <w:lang w:val="en-US"/>
        </w:rPr>
        <w:t xml:space="preserve">substantial </w:t>
      </w:r>
      <w:r w:rsidR="00F453AD">
        <w:rPr>
          <w:rFonts w:ascii="Arial" w:hAnsi="Arial" w:cs="Arial"/>
          <w:lang w:val="en-US"/>
        </w:rPr>
        <w:t xml:space="preserve">efforts </w:t>
      </w:r>
      <w:proofErr w:type="gramStart"/>
      <w:r w:rsidR="00F453AD">
        <w:rPr>
          <w:rFonts w:ascii="Arial" w:hAnsi="Arial" w:cs="Arial"/>
          <w:lang w:val="en-US"/>
        </w:rPr>
        <w:t>in order to</w:t>
      </w:r>
      <w:proofErr w:type="gramEnd"/>
      <w:r w:rsidR="00F453AD">
        <w:rPr>
          <w:rFonts w:ascii="Arial" w:hAnsi="Arial" w:cs="Arial"/>
          <w:lang w:val="en-US"/>
        </w:rPr>
        <w:t xml:space="preserve"> finalise the transition to a new </w:t>
      </w:r>
      <w:r w:rsidR="00CC7040">
        <w:rPr>
          <w:rFonts w:ascii="Arial" w:hAnsi="Arial" w:cs="Arial"/>
          <w:lang w:val="en-US"/>
        </w:rPr>
        <w:t>ambitious policy programme. Hydrogen will be at the forefront of this new era as the European Union will strive to transform itself into a modern, resource-</w:t>
      </w:r>
      <w:proofErr w:type="gramStart"/>
      <w:r w:rsidR="00CC7040">
        <w:rPr>
          <w:rFonts w:ascii="Arial" w:hAnsi="Arial" w:cs="Arial"/>
          <w:lang w:val="en-US"/>
        </w:rPr>
        <w:t>efficient</w:t>
      </w:r>
      <w:proofErr w:type="gramEnd"/>
      <w:r w:rsidR="00CC7040">
        <w:rPr>
          <w:rFonts w:ascii="Arial" w:hAnsi="Arial" w:cs="Arial"/>
          <w:lang w:val="en-US"/>
        </w:rPr>
        <w:t xml:space="preserve"> and competitive economy.</w:t>
      </w:r>
    </w:p>
    <w:p w14:paraId="75134A77" w14:textId="562131C7" w:rsidR="00CC7040" w:rsidRPr="00F453AD" w:rsidRDefault="00CC7040" w:rsidP="00CC7040">
      <w:pPr>
        <w:spacing w:after="60"/>
        <w:jc w:val="both"/>
        <w:rPr>
          <w:rFonts w:ascii="Arial" w:hAnsi="Arial" w:cs="Arial"/>
          <w:lang w:val="en-US"/>
        </w:rPr>
      </w:pPr>
      <w:r>
        <w:rPr>
          <w:rFonts w:ascii="Arial" w:hAnsi="Arial" w:cs="Arial"/>
          <w:lang w:val="en-US"/>
        </w:rPr>
        <w:t xml:space="preserve">All these efforts culminated in November 2021, when the Council and the Parliament adopted the regulation establishing the Clean Hydrogen Joint Undertaking. </w:t>
      </w:r>
      <w:r w:rsidRPr="00CC7040">
        <w:rPr>
          <w:rFonts w:ascii="Arial" w:hAnsi="Arial" w:cs="Arial"/>
          <w:lang w:val="en-US"/>
        </w:rPr>
        <w:t>The JU will have the leading role in research activities related to hydrogen, collaborating</w:t>
      </w:r>
      <w:r>
        <w:rPr>
          <w:rFonts w:ascii="Arial" w:hAnsi="Arial" w:cs="Arial"/>
          <w:lang w:val="en-US"/>
        </w:rPr>
        <w:t xml:space="preserve"> </w:t>
      </w:r>
      <w:r w:rsidRPr="00CC7040">
        <w:rPr>
          <w:rFonts w:ascii="Arial" w:hAnsi="Arial" w:cs="Arial"/>
          <w:lang w:val="en-US"/>
        </w:rPr>
        <w:t>closely with most of the end-use European partnerships on hydrogen applications in the</w:t>
      </w:r>
      <w:r>
        <w:rPr>
          <w:rFonts w:ascii="Arial" w:hAnsi="Arial" w:cs="Arial"/>
          <w:lang w:val="en-US"/>
        </w:rPr>
        <w:t xml:space="preserve"> </w:t>
      </w:r>
      <w:r w:rsidRPr="00CC7040">
        <w:rPr>
          <w:rFonts w:ascii="Arial" w:hAnsi="Arial" w:cs="Arial"/>
          <w:lang w:val="en-US"/>
        </w:rPr>
        <w:t>relevant sectors.</w:t>
      </w:r>
      <w:r>
        <w:rPr>
          <w:rFonts w:ascii="Arial" w:hAnsi="Arial" w:cs="Arial"/>
          <w:lang w:val="en-US"/>
        </w:rPr>
        <w:t xml:space="preserve"> Its </w:t>
      </w:r>
      <w:r w:rsidR="005A3A75">
        <w:rPr>
          <w:rFonts w:ascii="Arial" w:hAnsi="Arial" w:cs="Arial"/>
          <w:lang w:val="en-US"/>
        </w:rPr>
        <w:t>focus</w:t>
      </w:r>
      <w:r>
        <w:rPr>
          <w:rFonts w:ascii="Arial" w:hAnsi="Arial" w:cs="Arial"/>
          <w:lang w:val="en-US"/>
        </w:rPr>
        <w:t xml:space="preserve"> will be different from FCH 2 JU, </w:t>
      </w:r>
      <w:r w:rsidRPr="00CC7040">
        <w:rPr>
          <w:rFonts w:ascii="Arial" w:hAnsi="Arial" w:cs="Arial"/>
          <w:lang w:val="en-US"/>
        </w:rPr>
        <w:t>shifting to areas related primarily to the production of</w:t>
      </w:r>
      <w:r>
        <w:rPr>
          <w:rFonts w:ascii="Arial" w:hAnsi="Arial" w:cs="Arial"/>
          <w:lang w:val="en-US"/>
        </w:rPr>
        <w:t xml:space="preserve"> </w:t>
      </w:r>
      <w:r w:rsidRPr="00CC7040">
        <w:rPr>
          <w:rFonts w:ascii="Arial" w:hAnsi="Arial" w:cs="Arial"/>
          <w:lang w:val="en-US"/>
        </w:rPr>
        <w:t xml:space="preserve">clean hydrogen, as well as the distribution, </w:t>
      </w:r>
      <w:proofErr w:type="gramStart"/>
      <w:r w:rsidRPr="00CC7040">
        <w:rPr>
          <w:rFonts w:ascii="Arial" w:hAnsi="Arial" w:cs="Arial"/>
          <w:lang w:val="en-US"/>
        </w:rPr>
        <w:t>storage</w:t>
      </w:r>
      <w:proofErr w:type="gramEnd"/>
      <w:r w:rsidRPr="00CC7040">
        <w:rPr>
          <w:rFonts w:ascii="Arial" w:hAnsi="Arial" w:cs="Arial"/>
          <w:lang w:val="en-US"/>
        </w:rPr>
        <w:t xml:space="preserve"> and end use applications of low carbon</w:t>
      </w:r>
      <w:r>
        <w:rPr>
          <w:rFonts w:ascii="Arial" w:hAnsi="Arial" w:cs="Arial"/>
          <w:lang w:val="en-US"/>
        </w:rPr>
        <w:t xml:space="preserve"> </w:t>
      </w:r>
      <w:r w:rsidRPr="00CC7040">
        <w:rPr>
          <w:rFonts w:ascii="Arial" w:hAnsi="Arial" w:cs="Arial"/>
          <w:lang w:val="en-US"/>
        </w:rPr>
        <w:t>hydrogen in hard to abate sectors</w:t>
      </w:r>
      <w:r>
        <w:rPr>
          <w:rFonts w:ascii="Arial" w:hAnsi="Arial" w:cs="Arial"/>
          <w:lang w:val="en-US"/>
        </w:rPr>
        <w:t>.</w:t>
      </w:r>
    </w:p>
    <w:p w14:paraId="6F6D3980" w14:textId="527F74DC" w:rsidR="004A30C4" w:rsidRDefault="00CC7040" w:rsidP="004A30C4">
      <w:pPr>
        <w:spacing w:after="60"/>
        <w:jc w:val="both"/>
        <w:rPr>
          <w:rFonts w:ascii="Arial" w:hAnsi="Arial" w:cs="Arial"/>
        </w:rPr>
      </w:pPr>
      <w:r>
        <w:rPr>
          <w:rFonts w:ascii="Arial" w:hAnsi="Arial" w:cs="Arial"/>
        </w:rPr>
        <w:t xml:space="preserve">The current report does not only cover the hard work to shape the future path but primarily details </w:t>
      </w:r>
      <w:r w:rsidR="004A30C4">
        <w:rPr>
          <w:rFonts w:ascii="Arial" w:hAnsi="Arial" w:cs="Arial"/>
        </w:rPr>
        <w:t>the main developments of the JU programme in 2021, main technological developments, insight in participations, statistics, our output and impact, important information on outreach and details on Programme execution and management of the programme office.</w:t>
      </w:r>
    </w:p>
    <w:p w14:paraId="53E1825B" w14:textId="2D3403F0" w:rsidR="00821062" w:rsidRDefault="00821062" w:rsidP="004A30C4">
      <w:pPr>
        <w:spacing w:after="60"/>
        <w:jc w:val="both"/>
        <w:rPr>
          <w:rFonts w:ascii="Arial" w:hAnsi="Arial" w:cs="Arial"/>
        </w:rPr>
      </w:pPr>
      <w:r>
        <w:rPr>
          <w:rFonts w:ascii="Arial" w:hAnsi="Arial" w:cs="Arial"/>
        </w:rPr>
        <w:t xml:space="preserve">You will read on </w:t>
      </w:r>
      <w:r w:rsidR="00B8701F">
        <w:rPr>
          <w:rFonts w:ascii="Arial" w:hAnsi="Arial" w:cs="Arial"/>
        </w:rPr>
        <w:t xml:space="preserve">how </w:t>
      </w:r>
      <w:r w:rsidR="00A16F03">
        <w:rPr>
          <w:rFonts w:ascii="Arial" w:hAnsi="Arial" w:cs="Arial"/>
        </w:rPr>
        <w:t>JU</w:t>
      </w:r>
      <w:r>
        <w:rPr>
          <w:rFonts w:ascii="Arial" w:hAnsi="Arial" w:cs="Arial"/>
        </w:rPr>
        <w:t xml:space="preserve"> support</w:t>
      </w:r>
      <w:r w:rsidR="00B8701F">
        <w:rPr>
          <w:rFonts w:ascii="Arial" w:hAnsi="Arial" w:cs="Arial"/>
        </w:rPr>
        <w:t>ed</w:t>
      </w:r>
      <w:r>
        <w:rPr>
          <w:rFonts w:ascii="Arial" w:hAnsi="Arial" w:cs="Arial"/>
        </w:rPr>
        <w:t xml:space="preserve"> </w:t>
      </w:r>
      <w:r w:rsidR="00A16F03">
        <w:rPr>
          <w:rFonts w:ascii="Arial" w:hAnsi="Arial" w:cs="Arial"/>
        </w:rPr>
        <w:t>demonstrat</w:t>
      </w:r>
      <w:r w:rsidR="00B8701F">
        <w:rPr>
          <w:rFonts w:ascii="Arial" w:hAnsi="Arial" w:cs="Arial"/>
        </w:rPr>
        <w:t>ion of</w:t>
      </w:r>
      <w:r w:rsidR="00A16F03">
        <w:rPr>
          <w:rFonts w:ascii="Arial" w:hAnsi="Arial" w:cs="Arial"/>
        </w:rPr>
        <w:t xml:space="preserve"> 1</w:t>
      </w:r>
      <w:r w:rsidR="003068B5">
        <w:rPr>
          <w:rFonts w:ascii="Arial" w:hAnsi="Arial" w:cs="Arial"/>
        </w:rPr>
        <w:t>,</w:t>
      </w:r>
      <w:r w:rsidR="00A16F03">
        <w:rPr>
          <w:rFonts w:ascii="Arial" w:hAnsi="Arial" w:cs="Arial"/>
        </w:rPr>
        <w:t xml:space="preserve">064 fuel cell electric vehicles with an overall positive user satisfaction in terms of performance and refuelling times. </w:t>
      </w:r>
      <w:r>
        <w:rPr>
          <w:rFonts w:ascii="Arial" w:hAnsi="Arial" w:cs="Arial"/>
        </w:rPr>
        <w:t xml:space="preserve">350 fuel cell buses operate successfully in the European streets for which the cost and prices have already reached Programme targets. The fleet is supported by an expanded network of 113 Hydrogen Refuelling Stations, directly financed by the Programme. </w:t>
      </w:r>
    </w:p>
    <w:p w14:paraId="39AF0080" w14:textId="46863AEB" w:rsidR="00821062" w:rsidRDefault="00821062" w:rsidP="004A30C4">
      <w:pPr>
        <w:spacing w:after="60"/>
        <w:jc w:val="both"/>
        <w:rPr>
          <w:rFonts w:ascii="Arial" w:hAnsi="Arial" w:cs="Arial"/>
        </w:rPr>
      </w:pPr>
      <w:r>
        <w:rPr>
          <w:rFonts w:ascii="Arial" w:hAnsi="Arial" w:cs="Arial"/>
        </w:rPr>
        <w:t xml:space="preserve">You will also </w:t>
      </w:r>
      <w:r w:rsidR="00A715EB">
        <w:rPr>
          <w:rFonts w:ascii="Arial" w:hAnsi="Arial" w:cs="Arial"/>
        </w:rPr>
        <w:t>notice the significant achievements in energy sector, with 1,900 Fuel Cells micro-Combined Heat and Power unit</w:t>
      </w:r>
      <w:r w:rsidR="00B8701F">
        <w:rPr>
          <w:rFonts w:ascii="Arial" w:hAnsi="Arial" w:cs="Arial"/>
        </w:rPr>
        <w:t>s</w:t>
      </w:r>
      <w:r w:rsidR="00A715EB">
        <w:rPr>
          <w:rFonts w:ascii="Arial" w:hAnsi="Arial" w:cs="Arial"/>
        </w:rPr>
        <w:t xml:space="preserve"> deployed in domestic and commercial buildings, indicating the maturity of technology. </w:t>
      </w:r>
      <w:proofErr w:type="gramStart"/>
      <w:r w:rsidR="00A715EB">
        <w:rPr>
          <w:rFonts w:ascii="Arial" w:hAnsi="Arial" w:cs="Arial"/>
        </w:rPr>
        <w:t>Electrolysers</w:t>
      </w:r>
      <w:proofErr w:type="gramEnd"/>
      <w:r w:rsidR="00A715EB">
        <w:rPr>
          <w:rFonts w:ascii="Arial" w:hAnsi="Arial" w:cs="Arial"/>
        </w:rPr>
        <w:t xml:space="preserve"> capacity </w:t>
      </w:r>
      <w:r w:rsidR="00A715EB" w:rsidRPr="00A715EB">
        <w:rPr>
          <w:rFonts w:ascii="Arial" w:hAnsi="Arial" w:cs="Arial"/>
        </w:rPr>
        <w:t>has already reached multi-MW scale and their use in large demonstration projects help</w:t>
      </w:r>
      <w:r w:rsidR="00A715EB">
        <w:rPr>
          <w:rFonts w:ascii="Arial" w:hAnsi="Arial" w:cs="Arial"/>
        </w:rPr>
        <w:t>s</w:t>
      </w:r>
      <w:r w:rsidR="00A715EB" w:rsidRPr="00A715EB">
        <w:rPr>
          <w:rFonts w:ascii="Arial" w:hAnsi="Arial" w:cs="Arial"/>
        </w:rPr>
        <w:t xml:space="preserve"> in brining hydrogen to the centre of EU energy policy as a key enabler for sectoral integration</w:t>
      </w:r>
      <w:r w:rsidR="00A715EB">
        <w:rPr>
          <w:rFonts w:ascii="Arial" w:hAnsi="Arial" w:cs="Arial"/>
        </w:rPr>
        <w:t>.</w:t>
      </w:r>
    </w:p>
    <w:p w14:paraId="41E99C1A" w14:textId="7281304C" w:rsidR="00A715EB" w:rsidRDefault="00A715EB" w:rsidP="004A30C4">
      <w:pPr>
        <w:spacing w:after="60"/>
        <w:jc w:val="both"/>
        <w:rPr>
          <w:rFonts w:ascii="Arial" w:hAnsi="Arial" w:cs="Arial"/>
        </w:rPr>
      </w:pPr>
      <w:r>
        <w:rPr>
          <w:rFonts w:ascii="Arial" w:hAnsi="Arial" w:cs="Arial"/>
        </w:rPr>
        <w:t xml:space="preserve">And the above are perfectly combined in 3 European territories that already benefit </w:t>
      </w:r>
      <w:r w:rsidRPr="00A715EB">
        <w:rPr>
          <w:rFonts w:ascii="Arial" w:hAnsi="Arial" w:cs="Arial"/>
        </w:rPr>
        <w:t xml:space="preserve">from an integrated system approach </w:t>
      </w:r>
      <w:r>
        <w:rPr>
          <w:rFonts w:ascii="Arial" w:hAnsi="Arial" w:cs="Arial"/>
        </w:rPr>
        <w:t>which includes</w:t>
      </w:r>
      <w:r w:rsidRPr="00A715EB">
        <w:rPr>
          <w:rFonts w:ascii="Arial" w:hAnsi="Arial" w:cs="Arial"/>
        </w:rPr>
        <w:t xml:space="preserve"> hydrogen production, and search for storage and distribution solutions</w:t>
      </w:r>
      <w:r>
        <w:rPr>
          <w:rFonts w:ascii="Arial" w:hAnsi="Arial" w:cs="Arial"/>
        </w:rPr>
        <w:t>.</w:t>
      </w:r>
    </w:p>
    <w:p w14:paraId="42ADBE78" w14:textId="176D36F1" w:rsidR="004A30C4" w:rsidRDefault="00DC2B19" w:rsidP="004A30C4">
      <w:pPr>
        <w:spacing w:after="60"/>
        <w:jc w:val="both"/>
        <w:rPr>
          <w:rFonts w:ascii="Arial" w:hAnsi="Arial" w:cs="Arial"/>
        </w:rPr>
      </w:pPr>
      <w:r w:rsidRPr="00DC2B19">
        <w:rPr>
          <w:rFonts w:ascii="Arial" w:hAnsi="Arial" w:cs="Arial"/>
        </w:rPr>
        <w:t>Among the highlights of the year was the second European Hydrogen week, which marked the public launch of the Clean Hydrogen Partnership in the presence of the President of the European Commission, Ursula von der Leyen.</w:t>
      </w:r>
      <w:r>
        <w:rPr>
          <w:rFonts w:ascii="Arial" w:hAnsi="Arial" w:cs="Arial"/>
        </w:rPr>
        <w:t xml:space="preserve"> </w:t>
      </w:r>
    </w:p>
    <w:p w14:paraId="78D7EA89" w14:textId="6CF98219" w:rsidR="00F77365" w:rsidRDefault="00DC2B19" w:rsidP="00DC2B19">
      <w:pPr>
        <w:spacing w:after="60"/>
        <w:jc w:val="both"/>
        <w:rPr>
          <w:rFonts w:ascii="Arial" w:hAnsi="Arial" w:cs="Arial"/>
        </w:rPr>
      </w:pPr>
      <w:r w:rsidRPr="00DC2B19">
        <w:rPr>
          <w:rFonts w:ascii="Arial" w:hAnsi="Arial" w:cs="Arial"/>
        </w:rPr>
        <w:t>With 28</w:t>
      </w:r>
      <w:r w:rsidR="00F77365">
        <w:rPr>
          <w:rFonts w:ascii="Arial" w:hAnsi="Arial" w:cs="Arial"/>
        </w:rPr>
        <w:t>8</w:t>
      </w:r>
      <w:r w:rsidRPr="00DC2B19">
        <w:rPr>
          <w:rFonts w:ascii="Arial" w:hAnsi="Arial" w:cs="Arial"/>
        </w:rPr>
        <w:t xml:space="preserve"> projects, a combined public-private investment of over EUR 2.</w:t>
      </w:r>
      <w:r>
        <w:rPr>
          <w:rFonts w:ascii="Arial" w:hAnsi="Arial" w:cs="Arial"/>
        </w:rPr>
        <w:t>2</w:t>
      </w:r>
      <w:r w:rsidRPr="00DC2B19">
        <w:rPr>
          <w:rFonts w:ascii="Arial" w:hAnsi="Arial" w:cs="Arial"/>
        </w:rPr>
        <w:t xml:space="preserve"> billion has been realised since 2008. </w:t>
      </w:r>
      <w:r w:rsidR="00F77365">
        <w:rPr>
          <w:rFonts w:ascii="Arial" w:hAnsi="Arial" w:cs="Arial"/>
        </w:rPr>
        <w:t xml:space="preserve">Each euro </w:t>
      </w:r>
      <w:r w:rsidR="00A809E0">
        <w:rPr>
          <w:rFonts w:ascii="Arial" w:hAnsi="Arial" w:cs="Arial"/>
        </w:rPr>
        <w:t xml:space="preserve">invested by the EU </w:t>
      </w:r>
      <w:r w:rsidR="00F77365">
        <w:rPr>
          <w:rFonts w:ascii="Arial" w:hAnsi="Arial" w:cs="Arial"/>
        </w:rPr>
        <w:t xml:space="preserve">has attracted more than </w:t>
      </w:r>
      <w:r w:rsidR="00A809E0">
        <w:rPr>
          <w:rFonts w:ascii="Arial" w:hAnsi="Arial" w:cs="Arial"/>
        </w:rPr>
        <w:t xml:space="preserve">three </w:t>
      </w:r>
      <w:r w:rsidR="00F77365">
        <w:rPr>
          <w:rFonts w:ascii="Arial" w:hAnsi="Arial" w:cs="Arial"/>
        </w:rPr>
        <w:t xml:space="preserve">euros in private contributions. </w:t>
      </w:r>
      <w:r>
        <w:rPr>
          <w:rFonts w:ascii="Arial" w:hAnsi="Arial" w:cs="Arial"/>
        </w:rPr>
        <w:t>T</w:t>
      </w:r>
      <w:r w:rsidRPr="00DC2B19">
        <w:rPr>
          <w:rFonts w:ascii="Arial" w:hAnsi="Arial" w:cs="Arial"/>
        </w:rPr>
        <w:t xml:space="preserve">he </w:t>
      </w:r>
      <w:r>
        <w:rPr>
          <w:rFonts w:ascii="Arial" w:hAnsi="Arial" w:cs="Arial"/>
        </w:rPr>
        <w:t xml:space="preserve">COVID-19 </w:t>
      </w:r>
      <w:r w:rsidRPr="00DC2B19">
        <w:rPr>
          <w:rFonts w:ascii="Arial" w:hAnsi="Arial" w:cs="Arial"/>
        </w:rPr>
        <w:t>pandemic</w:t>
      </w:r>
      <w:r>
        <w:rPr>
          <w:rFonts w:ascii="Arial" w:hAnsi="Arial" w:cs="Arial"/>
        </w:rPr>
        <w:t xml:space="preserve"> left its impact</w:t>
      </w:r>
      <w:r w:rsidRPr="00DC2B19">
        <w:rPr>
          <w:rFonts w:ascii="Arial" w:hAnsi="Arial" w:cs="Arial"/>
        </w:rPr>
        <w:t xml:space="preserve"> </w:t>
      </w:r>
      <w:r>
        <w:rPr>
          <w:rFonts w:ascii="Arial" w:hAnsi="Arial" w:cs="Arial"/>
        </w:rPr>
        <w:t xml:space="preserve">on current </w:t>
      </w:r>
      <w:proofErr w:type="gramStart"/>
      <w:r w:rsidRPr="00F77365">
        <w:rPr>
          <w:rFonts w:ascii="Arial" w:hAnsi="Arial" w:cs="Arial"/>
        </w:rPr>
        <w:t>projects</w:t>
      </w:r>
      <w:proofErr w:type="gramEnd"/>
      <w:r w:rsidRPr="00F77365">
        <w:rPr>
          <w:rFonts w:ascii="Arial" w:hAnsi="Arial" w:cs="Arial"/>
        </w:rPr>
        <w:t xml:space="preserve"> but </w:t>
      </w:r>
      <w:r w:rsidR="00F77365" w:rsidRPr="00F77365">
        <w:rPr>
          <w:rFonts w:ascii="Arial" w:hAnsi="Arial" w:cs="Arial"/>
        </w:rPr>
        <w:t xml:space="preserve">we have been able to adjust grant agreements wherever possible in order to address the consequences and to enable projects to remain on track to achieve their objectives. </w:t>
      </w:r>
    </w:p>
    <w:p w14:paraId="41868A12" w14:textId="1E4CDEF7" w:rsidR="00F77365" w:rsidRPr="00F77365" w:rsidRDefault="00F77365" w:rsidP="00F77365">
      <w:pPr>
        <w:spacing w:after="60"/>
        <w:jc w:val="both"/>
        <w:rPr>
          <w:rFonts w:ascii="Arial" w:hAnsi="Arial" w:cs="Arial"/>
        </w:rPr>
      </w:pPr>
      <w:r>
        <w:rPr>
          <w:rFonts w:ascii="Arial" w:hAnsi="Arial" w:cs="Arial"/>
        </w:rPr>
        <w:t xml:space="preserve">In 2021, the JU maintained the excellent budget execution rates. Combined with the outstanding leverage effects, it demonstrates that it continues to provide an excellent example of a mature, </w:t>
      </w:r>
      <w:proofErr w:type="gramStart"/>
      <w:r>
        <w:rPr>
          <w:rFonts w:ascii="Arial" w:hAnsi="Arial" w:cs="Arial"/>
        </w:rPr>
        <w:t>sound</w:t>
      </w:r>
      <w:proofErr w:type="gramEnd"/>
      <w:r>
        <w:rPr>
          <w:rFonts w:ascii="Arial" w:hAnsi="Arial" w:cs="Arial"/>
        </w:rPr>
        <w:t xml:space="preserve"> and well-controlled environment. </w:t>
      </w:r>
    </w:p>
    <w:p w14:paraId="58313B06" w14:textId="3F229828" w:rsidR="00947AD1" w:rsidRPr="00B07806" w:rsidRDefault="004A30C4" w:rsidP="004A30C4">
      <w:pPr>
        <w:spacing w:after="60"/>
        <w:jc w:val="both"/>
        <w:rPr>
          <w:rFonts w:ascii="Arial" w:hAnsi="Arial" w:cs="Arial"/>
        </w:rPr>
      </w:pPr>
      <w:r>
        <w:rPr>
          <w:rFonts w:ascii="Arial" w:hAnsi="Arial" w:cs="Arial"/>
        </w:rPr>
        <w:t xml:space="preserve">FCH 2 JU has engaged </w:t>
      </w:r>
      <w:r w:rsidR="00293B9A">
        <w:rPr>
          <w:rFonts w:ascii="Arial" w:hAnsi="Arial" w:cs="Arial"/>
        </w:rPr>
        <w:t>7</w:t>
      </w:r>
      <w:r w:rsidR="005A3A75">
        <w:rPr>
          <w:rFonts w:ascii="Arial" w:hAnsi="Arial" w:cs="Arial"/>
        </w:rPr>
        <w:t>78</w:t>
      </w:r>
      <w:r w:rsidR="00293B9A">
        <w:rPr>
          <w:rFonts w:ascii="Arial" w:hAnsi="Arial" w:cs="Arial"/>
        </w:rPr>
        <w:t xml:space="preserve"> participants </w:t>
      </w:r>
      <w:r w:rsidR="003068B5">
        <w:rPr>
          <w:rFonts w:ascii="Arial" w:hAnsi="Arial" w:cs="Arial"/>
        </w:rPr>
        <w:t xml:space="preserve">(unique beneficiaries) </w:t>
      </w:r>
      <w:r w:rsidR="00293B9A">
        <w:rPr>
          <w:rFonts w:ascii="Arial" w:hAnsi="Arial" w:cs="Arial"/>
        </w:rPr>
        <w:t>from 43 countries, of which 23% are SMEs</w:t>
      </w:r>
      <w:r w:rsidR="00F77365">
        <w:rPr>
          <w:rFonts w:ascii="Arial" w:hAnsi="Arial" w:cs="Arial"/>
        </w:rPr>
        <w:t>, showcasing the attractiveness of the Programme.</w:t>
      </w:r>
      <w:r w:rsidR="00F77365" w:rsidRPr="00F77365">
        <w:rPr>
          <w:rFonts w:ascii="Arial" w:hAnsi="Arial" w:cs="Arial"/>
        </w:rPr>
        <w:t xml:space="preserve"> This success has been </w:t>
      </w:r>
      <w:r w:rsidR="00F77365" w:rsidRPr="00F77365">
        <w:rPr>
          <w:rFonts w:ascii="Arial" w:hAnsi="Arial" w:cs="Arial"/>
        </w:rPr>
        <w:lastRenderedPageBreak/>
        <w:t>achieved thanks</w:t>
      </w:r>
      <w:r w:rsidR="00F77365">
        <w:rPr>
          <w:rFonts w:ascii="Arial" w:hAnsi="Arial" w:cs="Arial"/>
        </w:rPr>
        <w:t xml:space="preserve"> </w:t>
      </w:r>
      <w:r w:rsidR="00F77365" w:rsidRPr="00F77365">
        <w:rPr>
          <w:rFonts w:ascii="Arial" w:hAnsi="Arial" w:cs="Arial"/>
        </w:rPr>
        <w:t>to the hard work and dedication of many people, passionate about tackling climate change by using hydrogen and fuel cells technology, such</w:t>
      </w:r>
      <w:r w:rsidR="00F77365">
        <w:rPr>
          <w:rFonts w:ascii="Arial" w:hAnsi="Arial" w:cs="Arial"/>
        </w:rPr>
        <w:t xml:space="preserve"> </w:t>
      </w:r>
      <w:r w:rsidR="00F77365" w:rsidRPr="00F77365">
        <w:rPr>
          <w:rFonts w:ascii="Arial" w:hAnsi="Arial" w:cs="Arial"/>
        </w:rPr>
        <w:t xml:space="preserve">as colleagues in the European Commission, the Governing Board, the States Representative Group, the Scientific </w:t>
      </w:r>
      <w:proofErr w:type="gramStart"/>
      <w:r w:rsidR="00F77365" w:rsidRPr="00F77365">
        <w:rPr>
          <w:rFonts w:ascii="Arial" w:hAnsi="Arial" w:cs="Arial"/>
        </w:rPr>
        <w:t>Committee</w:t>
      </w:r>
      <w:proofErr w:type="gramEnd"/>
      <w:r w:rsidR="00F77365" w:rsidRPr="00F77365">
        <w:rPr>
          <w:rFonts w:ascii="Arial" w:hAnsi="Arial" w:cs="Arial"/>
        </w:rPr>
        <w:t xml:space="preserve"> and the many</w:t>
      </w:r>
      <w:r w:rsidR="00F77365">
        <w:rPr>
          <w:rFonts w:ascii="Arial" w:hAnsi="Arial" w:cs="Arial"/>
        </w:rPr>
        <w:t xml:space="preserve"> </w:t>
      </w:r>
      <w:r w:rsidR="00F77365" w:rsidRPr="00F77365">
        <w:rPr>
          <w:rFonts w:ascii="Arial" w:hAnsi="Arial" w:cs="Arial"/>
        </w:rPr>
        <w:t>stakeholders who give their valuable inputs on our plans and activities.</w:t>
      </w:r>
    </w:p>
    <w:p w14:paraId="3F840B7B" w14:textId="69693076" w:rsidR="00947AD1" w:rsidRPr="00947AD1" w:rsidRDefault="00947AD1" w:rsidP="00947AD1">
      <w:pPr>
        <w:spacing w:after="60"/>
        <w:jc w:val="both"/>
        <w:rPr>
          <w:rFonts w:ascii="Arial" w:hAnsi="Arial" w:cs="Arial"/>
        </w:rPr>
      </w:pPr>
      <w:r w:rsidRPr="00947AD1">
        <w:rPr>
          <w:rFonts w:ascii="Arial" w:hAnsi="Arial" w:cs="Arial"/>
        </w:rPr>
        <w:t>Finally, I would like to thank my entire team in the Programme Office who, every day in these difficult times, give the best of</w:t>
      </w:r>
      <w:r w:rsidR="00F77365">
        <w:rPr>
          <w:rFonts w:ascii="Arial" w:hAnsi="Arial" w:cs="Arial"/>
        </w:rPr>
        <w:t xml:space="preserve"> </w:t>
      </w:r>
      <w:r w:rsidRPr="00947AD1">
        <w:rPr>
          <w:rFonts w:ascii="Arial" w:hAnsi="Arial" w:cs="Arial"/>
        </w:rPr>
        <w:t>themselves to serve the interests of European citizens.</w:t>
      </w:r>
    </w:p>
    <w:p w14:paraId="14A8F12A" w14:textId="0D939DA1" w:rsidR="00947AD1" w:rsidRDefault="00947AD1" w:rsidP="00947AD1">
      <w:pPr>
        <w:spacing w:after="60"/>
        <w:jc w:val="both"/>
        <w:rPr>
          <w:rFonts w:ascii="Arial" w:hAnsi="Arial" w:cs="Arial"/>
        </w:rPr>
      </w:pPr>
      <w:r w:rsidRPr="00B07806">
        <w:rPr>
          <w:rFonts w:ascii="Arial" w:hAnsi="Arial" w:cs="Arial"/>
        </w:rPr>
        <w:t>Enjoy the read!</w:t>
      </w:r>
    </w:p>
    <w:p w14:paraId="7312F157" w14:textId="38C19E3A" w:rsidR="00F77365" w:rsidRDefault="00F77365" w:rsidP="00947AD1">
      <w:pPr>
        <w:spacing w:after="60"/>
        <w:jc w:val="both"/>
        <w:rPr>
          <w:rFonts w:ascii="Arial" w:hAnsi="Arial" w:cs="Arial"/>
        </w:rPr>
      </w:pPr>
    </w:p>
    <w:p w14:paraId="76DFE837" w14:textId="159142E3" w:rsidR="00F77365" w:rsidRDefault="00F77365" w:rsidP="00F77365">
      <w:pPr>
        <w:spacing w:after="60"/>
        <w:jc w:val="right"/>
        <w:rPr>
          <w:rFonts w:ascii="Arial" w:hAnsi="Arial" w:cs="Arial"/>
        </w:rPr>
      </w:pPr>
      <w:r>
        <w:rPr>
          <w:rFonts w:ascii="Arial" w:hAnsi="Arial" w:cs="Arial"/>
        </w:rPr>
        <w:t>Bart BIEBUYCK</w:t>
      </w:r>
    </w:p>
    <w:p w14:paraId="00BFAEF3" w14:textId="54C89022" w:rsidR="00F77365" w:rsidRPr="00B07806" w:rsidRDefault="00F77365" w:rsidP="00F77365">
      <w:pPr>
        <w:spacing w:after="60"/>
        <w:jc w:val="right"/>
        <w:rPr>
          <w:rFonts w:ascii="Arial" w:hAnsi="Arial" w:cs="Arial"/>
        </w:rPr>
      </w:pPr>
      <w:r>
        <w:rPr>
          <w:rFonts w:ascii="Arial" w:hAnsi="Arial" w:cs="Arial"/>
        </w:rPr>
        <w:t>Clean Hydrogen JU Executive Director</w:t>
      </w:r>
    </w:p>
    <w:p w14:paraId="6C0932B3" w14:textId="6126C7BF" w:rsidR="00A715EB" w:rsidRDefault="00A715EB">
      <w:pPr>
        <w:spacing w:after="0" w:line="240" w:lineRule="auto"/>
        <w:rPr>
          <w:rFonts w:asciiTheme="minorHAnsi" w:eastAsia="Times New Roman" w:hAnsiTheme="minorHAnsi"/>
          <w:b/>
          <w:bCs/>
          <w:kern w:val="32"/>
          <w:sz w:val="32"/>
          <w:szCs w:val="32"/>
        </w:rPr>
      </w:pPr>
      <w:r>
        <w:rPr>
          <w:rFonts w:asciiTheme="minorHAnsi" w:hAnsiTheme="minorHAnsi"/>
        </w:rPr>
        <w:br w:type="page"/>
      </w:r>
    </w:p>
    <w:p w14:paraId="27C9D935" w14:textId="77777777" w:rsidR="004A30C4" w:rsidRDefault="004A30C4" w:rsidP="00864737">
      <w:pPr>
        <w:pStyle w:val="Heading1"/>
        <w:jc w:val="both"/>
        <w:rPr>
          <w:rFonts w:asciiTheme="minorHAnsi" w:hAnsiTheme="minorHAnsi"/>
        </w:rPr>
      </w:pPr>
    </w:p>
    <w:p w14:paraId="07463184" w14:textId="1E70E4E0" w:rsidR="00DF1916" w:rsidRPr="00BB4A45" w:rsidRDefault="00DF1916" w:rsidP="00864737">
      <w:pPr>
        <w:pStyle w:val="Heading1"/>
        <w:jc w:val="both"/>
        <w:rPr>
          <w:rFonts w:ascii="Arial" w:hAnsi="Arial" w:cs="Arial"/>
        </w:rPr>
      </w:pPr>
      <w:bookmarkStart w:id="6" w:name="_Toc98496322"/>
      <w:bookmarkStart w:id="7" w:name="_Toc101516045"/>
      <w:r w:rsidRPr="00BB4A45">
        <w:rPr>
          <w:rFonts w:ascii="Arial" w:hAnsi="Arial" w:cs="Arial"/>
        </w:rPr>
        <w:t>EXECUTIVE SUMMARY</w:t>
      </w:r>
      <w:bookmarkEnd w:id="6"/>
      <w:r w:rsidR="00E231FD" w:rsidRPr="00BB4A45">
        <w:rPr>
          <w:rFonts w:ascii="Arial" w:hAnsi="Arial" w:cs="Arial"/>
        </w:rPr>
        <w:t xml:space="preserve"> </w:t>
      </w:r>
      <w:bookmarkEnd w:id="7"/>
    </w:p>
    <w:p w14:paraId="6E3B0B02" w14:textId="3F87CAA8" w:rsidR="00CB13E2" w:rsidRPr="00CB13E2" w:rsidRDefault="00CB13E2" w:rsidP="00CB13E2">
      <w:pPr>
        <w:jc w:val="both"/>
        <w:rPr>
          <w:rFonts w:ascii="Arial" w:hAnsi="Arial" w:cs="Arial"/>
        </w:rPr>
      </w:pPr>
      <w:r w:rsidRPr="00CB13E2">
        <w:rPr>
          <w:rFonts w:ascii="Arial" w:hAnsi="Arial" w:cs="Arial"/>
        </w:rPr>
        <w:t>2021 was a year of transition for the FCH 2 JU in the context of the adoption by the Council on 19</w:t>
      </w:r>
      <w:r w:rsidRPr="00CB13E2">
        <w:rPr>
          <w:rFonts w:ascii="Arial" w:hAnsi="Arial" w:cs="Arial"/>
          <w:vertAlign w:val="superscript"/>
        </w:rPr>
        <w:t>th</w:t>
      </w:r>
      <w:r w:rsidRPr="00CB13E2">
        <w:rPr>
          <w:rFonts w:ascii="Arial" w:hAnsi="Arial" w:cs="Arial"/>
        </w:rPr>
        <w:t xml:space="preserve"> November of the regulation establishing the new Clean Hydrogen Joint Undertaking under Horizon Europe. This decision acknowledges the central role played by FCH 2 JU in the development of hydrogen technologies and mandates its successor to </w:t>
      </w:r>
      <w:r w:rsidR="00A63A51">
        <w:rPr>
          <w:rFonts w:ascii="Arial" w:hAnsi="Arial" w:cs="Arial"/>
        </w:rPr>
        <w:t>contribute to the objectives set by</w:t>
      </w:r>
      <w:r w:rsidRPr="00CB13E2">
        <w:rPr>
          <w:rFonts w:ascii="Arial" w:hAnsi="Arial" w:cs="Arial"/>
        </w:rPr>
        <w:t xml:space="preserve"> the European Hydrogen Strategy published on 8</w:t>
      </w:r>
      <w:r w:rsidRPr="00CB13E2">
        <w:rPr>
          <w:rFonts w:ascii="Arial" w:hAnsi="Arial" w:cs="Arial"/>
          <w:vertAlign w:val="superscript"/>
        </w:rPr>
        <w:t>th</w:t>
      </w:r>
      <w:r w:rsidRPr="00CB13E2">
        <w:rPr>
          <w:rFonts w:ascii="Arial" w:hAnsi="Arial" w:cs="Arial"/>
        </w:rPr>
        <w:t xml:space="preserve"> July 2020 by the European Commission.</w:t>
      </w:r>
    </w:p>
    <w:p w14:paraId="6A223573" w14:textId="77777777" w:rsidR="00CB13E2" w:rsidRPr="00CB13E2" w:rsidRDefault="00CB13E2" w:rsidP="00CB13E2">
      <w:pPr>
        <w:jc w:val="both"/>
        <w:rPr>
          <w:rFonts w:ascii="Arial" w:hAnsi="Arial" w:cs="Arial"/>
        </w:rPr>
      </w:pPr>
      <w:r w:rsidRPr="00CB13E2">
        <w:rPr>
          <w:rFonts w:ascii="Arial" w:hAnsi="Arial" w:cs="Arial"/>
        </w:rPr>
        <w:t>This year was marked by an intense preparation work and dialogue with all stakeholders to build the new Strategic Research and Innovation Agenda (SRIA) which sets the new research &amp; innovation priorities for the next decade.</w:t>
      </w:r>
    </w:p>
    <w:p w14:paraId="3D696202" w14:textId="77777777" w:rsidR="00CB13E2" w:rsidRPr="00CB13E2" w:rsidRDefault="00CB13E2" w:rsidP="00CB13E2">
      <w:pPr>
        <w:jc w:val="both"/>
        <w:rPr>
          <w:rFonts w:ascii="Arial" w:hAnsi="Arial" w:cs="Arial"/>
        </w:rPr>
      </w:pPr>
      <w:r w:rsidRPr="00CB13E2">
        <w:rPr>
          <w:rFonts w:ascii="Arial" w:hAnsi="Arial" w:cs="Arial"/>
        </w:rPr>
        <w:t xml:space="preserve">Highlights during the year include: </w:t>
      </w:r>
    </w:p>
    <w:p w14:paraId="0EE1A96B" w14:textId="77777777" w:rsidR="00CB13E2" w:rsidRPr="00CB13E2" w:rsidRDefault="00CB13E2" w:rsidP="00CB13E2">
      <w:pPr>
        <w:jc w:val="both"/>
        <w:rPr>
          <w:rFonts w:ascii="Arial" w:hAnsi="Arial" w:cs="Arial"/>
          <w:i/>
        </w:rPr>
      </w:pPr>
      <w:r w:rsidRPr="00CB13E2">
        <w:rPr>
          <w:rFonts w:ascii="Arial" w:hAnsi="Arial" w:cs="Arial"/>
          <w:i/>
        </w:rPr>
        <w:t>Operational and communication activities</w:t>
      </w:r>
    </w:p>
    <w:p w14:paraId="2AEFE026" w14:textId="316EECFF" w:rsidR="002B7FC5" w:rsidRPr="002D1ED6" w:rsidRDefault="002B7FC5" w:rsidP="005E0587">
      <w:pPr>
        <w:pStyle w:val="ListParagraph"/>
        <w:numPr>
          <w:ilvl w:val="0"/>
          <w:numId w:val="39"/>
        </w:numPr>
        <w:spacing w:after="0"/>
        <w:ind w:left="714" w:hanging="357"/>
        <w:jc w:val="both"/>
        <w:rPr>
          <w:rFonts w:ascii="Arial" w:hAnsi="Arial" w:cs="Arial"/>
        </w:rPr>
      </w:pPr>
      <w:r w:rsidRPr="002D1ED6">
        <w:rPr>
          <w:rFonts w:ascii="Arial" w:hAnsi="Arial" w:cs="Arial"/>
        </w:rPr>
        <w:t>The</w:t>
      </w:r>
      <w:r w:rsidR="00A9566A">
        <w:rPr>
          <w:rFonts w:ascii="Arial" w:hAnsi="Arial" w:cs="Arial"/>
        </w:rPr>
        <w:t xml:space="preserve"> </w:t>
      </w:r>
      <w:r w:rsidRPr="002D1ED6">
        <w:rPr>
          <w:rFonts w:ascii="Arial" w:hAnsi="Arial" w:cs="Arial"/>
        </w:rPr>
        <w:t xml:space="preserve">JU </w:t>
      </w:r>
      <w:r>
        <w:rPr>
          <w:rFonts w:ascii="Arial" w:hAnsi="Arial" w:cs="Arial"/>
        </w:rPr>
        <w:t>con</w:t>
      </w:r>
      <w:r w:rsidR="002D1ED6">
        <w:rPr>
          <w:rFonts w:ascii="Arial" w:hAnsi="Arial" w:cs="Arial"/>
        </w:rPr>
        <w:t xml:space="preserve">tinued the </w:t>
      </w:r>
      <w:r w:rsidRPr="002D1ED6">
        <w:rPr>
          <w:rFonts w:ascii="Arial" w:hAnsi="Arial" w:cs="Arial"/>
        </w:rPr>
        <w:t>implement</w:t>
      </w:r>
      <w:r w:rsidR="002D1ED6">
        <w:rPr>
          <w:rFonts w:ascii="Arial" w:hAnsi="Arial" w:cs="Arial"/>
        </w:rPr>
        <w:t xml:space="preserve">ation of its research and innovation programme, supporting a </w:t>
      </w:r>
      <w:r w:rsidRPr="002D1ED6">
        <w:rPr>
          <w:rFonts w:ascii="Arial" w:hAnsi="Arial" w:cs="Arial"/>
        </w:rPr>
        <w:t xml:space="preserve">portfolio of clean and efficient solutions </w:t>
      </w:r>
      <w:r w:rsidR="002D1ED6">
        <w:rPr>
          <w:rFonts w:ascii="Arial" w:hAnsi="Arial" w:cs="Arial"/>
        </w:rPr>
        <w:t>which exploit</w:t>
      </w:r>
      <w:r w:rsidRPr="002D1ED6">
        <w:rPr>
          <w:rFonts w:ascii="Arial" w:hAnsi="Arial" w:cs="Arial"/>
        </w:rPr>
        <w:t xml:space="preserve"> the properties of hydrogen as an energy carrier and fuel cells as energy converters to the point of market readiness. </w:t>
      </w:r>
    </w:p>
    <w:p w14:paraId="1B7AA559" w14:textId="77777777" w:rsidR="002B7FC5" w:rsidRPr="002D1ED6" w:rsidRDefault="002B7FC5" w:rsidP="002D1ED6">
      <w:pPr>
        <w:pStyle w:val="ListParagraph"/>
        <w:spacing w:after="0"/>
        <w:ind w:left="714"/>
        <w:jc w:val="both"/>
        <w:rPr>
          <w:rFonts w:ascii="Arial" w:hAnsi="Arial" w:cs="Arial"/>
        </w:rPr>
      </w:pPr>
    </w:p>
    <w:p w14:paraId="127218E5" w14:textId="0786B002" w:rsidR="005E0587" w:rsidRPr="00CB13E2" w:rsidRDefault="005E0587" w:rsidP="005E0587">
      <w:pPr>
        <w:pStyle w:val="ListParagraph"/>
        <w:numPr>
          <w:ilvl w:val="0"/>
          <w:numId w:val="39"/>
        </w:numPr>
        <w:spacing w:after="0"/>
        <w:ind w:left="714" w:hanging="357"/>
        <w:jc w:val="both"/>
        <w:rPr>
          <w:rFonts w:ascii="Arial" w:hAnsi="Arial" w:cs="Arial"/>
        </w:rPr>
      </w:pPr>
      <w:r w:rsidRPr="00CB13E2">
        <w:rPr>
          <w:rFonts w:ascii="Arial" w:hAnsi="Arial" w:cs="Arial"/>
        </w:rPr>
        <w:t xml:space="preserve">In the transport sector, demonstration of light duty vehicles has progressed in 2021 and the number </w:t>
      </w:r>
      <w:r w:rsidR="004C118B">
        <w:rPr>
          <w:rFonts w:ascii="Arial" w:hAnsi="Arial" w:cs="Arial"/>
        </w:rPr>
        <w:t xml:space="preserve">of </w:t>
      </w:r>
      <w:r w:rsidRPr="00CB13E2">
        <w:rPr>
          <w:rFonts w:ascii="Arial" w:hAnsi="Arial" w:cs="Arial"/>
        </w:rPr>
        <w:t xml:space="preserve">fuel cell electric vehicles (FCEV) </w:t>
      </w:r>
      <w:r w:rsidR="00D85567">
        <w:rPr>
          <w:rFonts w:ascii="Arial" w:hAnsi="Arial" w:cs="Arial"/>
        </w:rPr>
        <w:t>demonstrated</w:t>
      </w:r>
      <w:r w:rsidR="00D85567" w:rsidRPr="00CB13E2">
        <w:rPr>
          <w:rFonts w:ascii="Arial" w:hAnsi="Arial" w:cs="Arial"/>
        </w:rPr>
        <w:t xml:space="preserve"> </w:t>
      </w:r>
      <w:r w:rsidRPr="00CB13E2">
        <w:rPr>
          <w:rFonts w:ascii="Arial" w:hAnsi="Arial" w:cs="Arial"/>
        </w:rPr>
        <w:t xml:space="preserve">since the beginning of the programme has reached 1064 (10% increase compared to </w:t>
      </w:r>
      <w:r>
        <w:rPr>
          <w:rFonts w:ascii="Arial" w:hAnsi="Arial" w:cs="Arial"/>
        </w:rPr>
        <w:t>2020</w:t>
      </w:r>
      <w:r w:rsidRPr="00CB13E2">
        <w:rPr>
          <w:rFonts w:ascii="Arial" w:hAnsi="Arial" w:cs="Arial"/>
        </w:rPr>
        <w:t>)</w:t>
      </w:r>
      <w:r w:rsidR="008B5EE7" w:rsidRPr="008B5EE7">
        <w:rPr>
          <w:rFonts w:ascii="Arial" w:hAnsi="Arial" w:cs="Arial"/>
        </w:rPr>
        <w:t>, with plans to deploy more than 1 200 vehicles in 8 countries and 49 HRS in 5 countries</w:t>
      </w:r>
      <w:r w:rsidRPr="00CB13E2">
        <w:rPr>
          <w:rFonts w:ascii="Arial" w:hAnsi="Arial" w:cs="Arial"/>
        </w:rPr>
        <w:t>. A users’ survey reported most fleet operators and drivers having positive overall experiences with FCEVs, based on the vehicle performance and refuelling time, which are meeting the operational needs.</w:t>
      </w:r>
    </w:p>
    <w:p w14:paraId="3E31B879" w14:textId="77777777" w:rsidR="005E0587" w:rsidRPr="00CB13E2" w:rsidRDefault="005E0587" w:rsidP="005E0587">
      <w:pPr>
        <w:pStyle w:val="ListParagraph"/>
        <w:spacing w:after="0"/>
        <w:ind w:left="714"/>
        <w:jc w:val="both"/>
        <w:rPr>
          <w:rFonts w:ascii="Arial" w:hAnsi="Arial" w:cs="Arial"/>
        </w:rPr>
      </w:pPr>
    </w:p>
    <w:p w14:paraId="147EC50A" w14:textId="551AE723" w:rsidR="005E0587" w:rsidRDefault="005E0587" w:rsidP="005E0587">
      <w:pPr>
        <w:pStyle w:val="ListParagraph"/>
        <w:numPr>
          <w:ilvl w:val="0"/>
          <w:numId w:val="39"/>
        </w:numPr>
        <w:spacing w:after="0"/>
        <w:ind w:left="714" w:hanging="357"/>
        <w:jc w:val="both"/>
        <w:rPr>
          <w:rFonts w:ascii="Arial" w:hAnsi="Arial" w:cs="Arial"/>
        </w:rPr>
      </w:pPr>
      <w:r w:rsidRPr="00CB13E2">
        <w:rPr>
          <w:rFonts w:ascii="Arial" w:hAnsi="Arial" w:cs="Arial"/>
        </w:rPr>
        <w:t xml:space="preserve">Fuel cell bus </w:t>
      </w:r>
      <w:r w:rsidR="00D85567">
        <w:rPr>
          <w:rFonts w:ascii="Arial" w:hAnsi="Arial" w:cs="Arial"/>
        </w:rPr>
        <w:t>demonstration</w:t>
      </w:r>
      <w:r w:rsidR="00D85567" w:rsidRPr="00CB13E2">
        <w:rPr>
          <w:rFonts w:ascii="Arial" w:hAnsi="Arial" w:cs="Arial"/>
        </w:rPr>
        <w:t xml:space="preserve"> </w:t>
      </w:r>
      <w:r w:rsidRPr="00CB13E2">
        <w:rPr>
          <w:rFonts w:ascii="Arial" w:hAnsi="Arial" w:cs="Arial"/>
        </w:rPr>
        <w:t>activities have grown considerably from earlier projects reaching 350 FC buses in operation in 2021</w:t>
      </w:r>
      <w:r w:rsidRPr="00CB13E2">
        <w:rPr>
          <w:rStyle w:val="FootnoteReference"/>
          <w:rFonts w:ascii="Arial" w:hAnsi="Arial" w:cs="Arial"/>
        </w:rPr>
        <w:footnoteReference w:id="1"/>
      </w:r>
      <w:r w:rsidRPr="00CB13E2">
        <w:rPr>
          <w:rFonts w:ascii="Arial" w:hAnsi="Arial" w:cs="Arial"/>
        </w:rPr>
        <w:t>. The European flagship projects JIVE and JIVE2 alone have ordered 274 buses out of the 310 planned and 80% were in operation at the end of 2021. The targeted bus prices, hydrogen price and maintenance costs have reached the FCH 2 JU MAWP targets, considering their time horizon of 2023. Fuel cell buses are getting ready for commercialisation. Twelve European bus OEMs are offering/preparing to offer fuel cell buses for sale or lease</w:t>
      </w:r>
      <w:r w:rsidRPr="00CB13E2">
        <w:rPr>
          <w:rStyle w:val="FootnoteReference"/>
          <w:rFonts w:ascii="Arial" w:hAnsi="Arial" w:cs="Arial"/>
        </w:rPr>
        <w:footnoteReference w:id="2"/>
      </w:r>
      <w:r w:rsidRPr="00CB13E2">
        <w:rPr>
          <w:rFonts w:ascii="Arial" w:hAnsi="Arial" w:cs="Arial"/>
        </w:rPr>
        <w:t>. This shows an improvement compared with the previous years.</w:t>
      </w:r>
    </w:p>
    <w:p w14:paraId="6EA303E2" w14:textId="77777777" w:rsidR="008B5EE7" w:rsidRPr="008B5EE7" w:rsidRDefault="008B5EE7" w:rsidP="008B5EE7">
      <w:pPr>
        <w:pStyle w:val="ListParagraph"/>
        <w:spacing w:after="0"/>
        <w:ind w:left="714"/>
        <w:jc w:val="both"/>
        <w:rPr>
          <w:rFonts w:ascii="Arial" w:hAnsi="Arial" w:cs="Arial"/>
        </w:rPr>
      </w:pPr>
    </w:p>
    <w:p w14:paraId="73A0E3E4" w14:textId="0421FC37" w:rsidR="008B5EE7" w:rsidRPr="008B5EE7" w:rsidRDefault="008B5EE7" w:rsidP="008B5EE7">
      <w:pPr>
        <w:pStyle w:val="ListParagraph"/>
        <w:numPr>
          <w:ilvl w:val="0"/>
          <w:numId w:val="39"/>
        </w:numPr>
        <w:spacing w:after="0"/>
        <w:ind w:left="714" w:hanging="357"/>
        <w:jc w:val="both"/>
        <w:rPr>
          <w:rFonts w:ascii="Arial" w:hAnsi="Arial" w:cs="Arial"/>
        </w:rPr>
      </w:pPr>
      <w:r w:rsidRPr="008B5EE7">
        <w:rPr>
          <w:rFonts w:ascii="Arial" w:hAnsi="Arial" w:cs="Arial"/>
        </w:rPr>
        <w:t xml:space="preserve">The geographical coverage of hydrogen refuelling infrastructure </w:t>
      </w:r>
      <w:r w:rsidR="00AE165E">
        <w:rPr>
          <w:rFonts w:ascii="Arial" w:hAnsi="Arial" w:cs="Arial"/>
        </w:rPr>
        <w:t xml:space="preserve">(HRS) </w:t>
      </w:r>
      <w:r w:rsidRPr="008B5EE7">
        <w:rPr>
          <w:rFonts w:ascii="Arial" w:hAnsi="Arial" w:cs="Arial"/>
        </w:rPr>
        <w:t xml:space="preserve">continues to expand, </w:t>
      </w:r>
      <w:r>
        <w:rPr>
          <w:rFonts w:ascii="Arial" w:hAnsi="Arial" w:cs="Arial"/>
        </w:rPr>
        <w:t xml:space="preserve">providing the necessary support to </w:t>
      </w:r>
      <w:r w:rsidRPr="008B5EE7">
        <w:rPr>
          <w:rFonts w:ascii="Arial" w:hAnsi="Arial" w:cs="Arial"/>
        </w:rPr>
        <w:t xml:space="preserve">the increasing number of FCEVs being </w:t>
      </w:r>
      <w:r>
        <w:rPr>
          <w:rFonts w:ascii="Arial" w:hAnsi="Arial" w:cs="Arial"/>
        </w:rPr>
        <w:lastRenderedPageBreak/>
        <w:t>deployed</w:t>
      </w:r>
      <w:r w:rsidRPr="008B5EE7">
        <w:rPr>
          <w:rFonts w:ascii="Arial" w:hAnsi="Arial" w:cs="Arial"/>
        </w:rPr>
        <w:t xml:space="preserve">. The total number of HRS funded </w:t>
      </w:r>
      <w:r w:rsidR="00AE165E">
        <w:rPr>
          <w:rFonts w:ascii="Arial" w:hAnsi="Arial" w:cs="Arial"/>
        </w:rPr>
        <w:t>had already reached</w:t>
      </w:r>
      <w:r w:rsidRPr="008B5EE7">
        <w:rPr>
          <w:rFonts w:ascii="Arial" w:hAnsi="Arial" w:cs="Arial"/>
        </w:rPr>
        <w:t xml:space="preserve"> 113</w:t>
      </w:r>
      <w:r w:rsidRPr="008B5EE7">
        <w:rPr>
          <w:vertAlign w:val="superscript"/>
        </w:rPr>
        <w:footnoteReference w:id="3"/>
      </w:r>
      <w:r w:rsidR="00AE165E">
        <w:rPr>
          <w:rFonts w:ascii="Arial" w:hAnsi="Arial" w:cs="Arial"/>
        </w:rPr>
        <w:t xml:space="preserve"> by early 2021. By the end of 2021, the total number of HRS in Europe monitored by the JU funded </w:t>
      </w:r>
      <w:r w:rsidRPr="008B5EE7">
        <w:rPr>
          <w:rFonts w:ascii="Arial" w:hAnsi="Arial" w:cs="Arial"/>
        </w:rPr>
        <w:t xml:space="preserve">European HRS availability </w:t>
      </w:r>
      <w:r w:rsidRPr="00AE165E">
        <w:rPr>
          <w:rFonts w:ascii="Arial" w:hAnsi="Arial" w:cs="Arial"/>
        </w:rPr>
        <w:t>system (</w:t>
      </w:r>
      <w:hyperlink r:id="rId9">
        <w:r w:rsidRPr="007A008A">
          <w:rPr>
            <w:rFonts w:ascii="Arial" w:hAnsi="Arial" w:cs="Arial"/>
          </w:rPr>
          <w:t>https://h2-map.eu/</w:t>
        </w:r>
      </w:hyperlink>
      <w:r w:rsidRPr="00AE165E">
        <w:rPr>
          <w:rFonts w:ascii="Arial" w:hAnsi="Arial" w:cs="Arial"/>
        </w:rPr>
        <w:t>),</w:t>
      </w:r>
      <w:r w:rsidR="00AE165E">
        <w:rPr>
          <w:rFonts w:ascii="Arial" w:hAnsi="Arial" w:cs="Arial"/>
        </w:rPr>
        <w:t xml:space="preserve"> had reached 179 refuelling stations </w:t>
      </w:r>
      <w:r w:rsidRPr="008B5EE7">
        <w:rPr>
          <w:rFonts w:ascii="Arial" w:hAnsi="Arial" w:cs="Arial"/>
        </w:rPr>
        <w:t>(</w:t>
      </w:r>
      <w:r w:rsidR="00AE165E">
        <w:rPr>
          <w:rFonts w:ascii="Arial" w:hAnsi="Arial" w:cs="Arial"/>
        </w:rPr>
        <w:t>part of them</w:t>
      </w:r>
      <w:r w:rsidRPr="008B5EE7">
        <w:rPr>
          <w:rFonts w:ascii="Arial" w:hAnsi="Arial" w:cs="Arial"/>
        </w:rPr>
        <w:t xml:space="preserve"> not funded by the FCH 2 JU).</w:t>
      </w:r>
    </w:p>
    <w:p w14:paraId="5E59C442" w14:textId="77777777" w:rsidR="005E0587" w:rsidRPr="00CB13E2" w:rsidRDefault="005E0587" w:rsidP="005E0587">
      <w:pPr>
        <w:spacing w:after="0"/>
        <w:jc w:val="both"/>
        <w:rPr>
          <w:rFonts w:ascii="Arial" w:hAnsi="Arial" w:cs="Arial"/>
        </w:rPr>
      </w:pPr>
    </w:p>
    <w:p w14:paraId="55D011C0" w14:textId="6726A414" w:rsidR="006F2CA5" w:rsidRDefault="005E0587" w:rsidP="009F407C">
      <w:pPr>
        <w:numPr>
          <w:ilvl w:val="0"/>
          <w:numId w:val="37"/>
        </w:numPr>
        <w:spacing w:after="0" w:line="259" w:lineRule="auto"/>
        <w:ind w:left="714" w:hanging="357"/>
        <w:jc w:val="both"/>
        <w:rPr>
          <w:rFonts w:ascii="Arial" w:hAnsi="Arial" w:cs="Arial"/>
        </w:rPr>
      </w:pPr>
      <w:r w:rsidRPr="009F407C">
        <w:rPr>
          <w:rFonts w:ascii="Arial" w:hAnsi="Arial" w:cs="Arial"/>
        </w:rPr>
        <w:t>In the energy sector fuel cells have demonstrated a great potential to provide combined heat and power (CHP) in buildings with high energy efficiency. As of November 2021, the 4 European manufacturers involved in the PACE project have already deployed 1</w:t>
      </w:r>
      <w:r w:rsidR="00F4264D" w:rsidRPr="006F2CA5">
        <w:rPr>
          <w:rFonts w:ascii="Arial" w:hAnsi="Arial" w:cs="Arial"/>
        </w:rPr>
        <w:t>,</w:t>
      </w:r>
      <w:r w:rsidRPr="007A008A">
        <w:rPr>
          <w:rFonts w:ascii="Arial" w:hAnsi="Arial" w:cs="Arial"/>
        </w:rPr>
        <w:t xml:space="preserve">900 FC µ-CHP units in domestic and small commercial building sectors, </w:t>
      </w:r>
      <w:r w:rsidR="00F4264D" w:rsidRPr="007A008A">
        <w:rPr>
          <w:rFonts w:ascii="Arial" w:hAnsi="Arial" w:cs="Arial"/>
        </w:rPr>
        <w:t xml:space="preserve">with </w:t>
      </w:r>
      <w:r w:rsidR="00F4264D" w:rsidRPr="009F407C">
        <w:rPr>
          <w:rFonts w:ascii="Arial" w:hAnsi="Arial" w:cs="Arial"/>
        </w:rPr>
        <w:t>9</w:t>
      </w:r>
      <w:r w:rsidRPr="009F407C">
        <w:rPr>
          <w:rFonts w:ascii="Arial" w:hAnsi="Arial" w:cs="Arial"/>
        </w:rPr>
        <w:t xml:space="preserve">00 additional units </w:t>
      </w:r>
      <w:r w:rsidR="00F4264D" w:rsidRPr="009F407C">
        <w:rPr>
          <w:rFonts w:ascii="Arial" w:hAnsi="Arial" w:cs="Arial"/>
        </w:rPr>
        <w:t xml:space="preserve">expected to </w:t>
      </w:r>
      <w:r w:rsidRPr="009F407C">
        <w:rPr>
          <w:rFonts w:ascii="Arial" w:hAnsi="Arial" w:cs="Arial"/>
        </w:rPr>
        <w:t xml:space="preserve">be installed by the end of 2022. The technological development of µ-CHP installations is mature, </w:t>
      </w:r>
      <w:r w:rsidR="00D736EB" w:rsidRPr="009F407C">
        <w:rPr>
          <w:rFonts w:ascii="Arial" w:hAnsi="Arial" w:cs="Arial"/>
        </w:rPr>
        <w:t xml:space="preserve">but </w:t>
      </w:r>
      <w:r w:rsidRPr="009F407C">
        <w:rPr>
          <w:rFonts w:ascii="Arial" w:hAnsi="Arial" w:cs="Arial"/>
        </w:rPr>
        <w:t>scaling-up of production is still needed to bring further cost reduction.</w:t>
      </w:r>
      <w:r w:rsidR="003F0CD6" w:rsidRPr="009F407C">
        <w:rPr>
          <w:rFonts w:ascii="Arial" w:hAnsi="Arial" w:cs="Arial"/>
        </w:rPr>
        <w:t xml:space="preserve"> </w:t>
      </w:r>
    </w:p>
    <w:p w14:paraId="56AEE185" w14:textId="77777777" w:rsidR="006F2CA5" w:rsidRDefault="006F2CA5" w:rsidP="007A008A">
      <w:pPr>
        <w:spacing w:after="0" w:line="259" w:lineRule="auto"/>
        <w:ind w:left="714"/>
        <w:jc w:val="both"/>
        <w:rPr>
          <w:rFonts w:ascii="Arial" w:hAnsi="Arial" w:cs="Arial"/>
        </w:rPr>
      </w:pPr>
    </w:p>
    <w:p w14:paraId="34CAF796" w14:textId="570EF531" w:rsidR="005E0587" w:rsidRPr="009F407C" w:rsidRDefault="003F0CD6" w:rsidP="009F407C">
      <w:pPr>
        <w:numPr>
          <w:ilvl w:val="0"/>
          <w:numId w:val="37"/>
        </w:numPr>
        <w:spacing w:after="0" w:line="259" w:lineRule="auto"/>
        <w:ind w:left="714" w:hanging="357"/>
        <w:jc w:val="both"/>
        <w:rPr>
          <w:rFonts w:ascii="Arial" w:hAnsi="Arial" w:cs="Arial"/>
        </w:rPr>
      </w:pPr>
      <w:r w:rsidRPr="006F2CA5">
        <w:rPr>
          <w:rFonts w:ascii="Arial" w:hAnsi="Arial" w:cs="Arial"/>
        </w:rPr>
        <w:t>In the mid-size installations</w:t>
      </w:r>
      <w:r w:rsidR="009F407C" w:rsidRPr="006F2CA5">
        <w:rPr>
          <w:rFonts w:ascii="Arial" w:hAnsi="Arial" w:cs="Arial"/>
        </w:rPr>
        <w:t>,</w:t>
      </w:r>
      <w:r w:rsidR="009F407C" w:rsidRPr="00761A71">
        <w:rPr>
          <w:rFonts w:ascii="Arial" w:hAnsi="Arial" w:cs="Arial"/>
        </w:rPr>
        <w:t xml:space="preserve"> the COMSOS project aims to validate and demonstrate the advantages of mid-sized </w:t>
      </w:r>
      <w:r w:rsidR="009F407C" w:rsidRPr="00A00195">
        <w:rPr>
          <w:rFonts w:ascii="Arial" w:hAnsi="Arial" w:cs="Arial"/>
        </w:rPr>
        <w:t xml:space="preserve">SOFC-based (Solid Oxide Fuel Cell) </w:t>
      </w:r>
      <w:r w:rsidR="009F407C" w:rsidRPr="00DA2C3B">
        <w:rPr>
          <w:rFonts w:ascii="Arial" w:hAnsi="Arial" w:cs="Arial"/>
        </w:rPr>
        <w:t>CHP systems in ind</w:t>
      </w:r>
      <w:r w:rsidR="009F407C" w:rsidRPr="007A008A">
        <w:rPr>
          <w:rFonts w:ascii="Arial" w:hAnsi="Arial" w:cs="Arial"/>
        </w:rPr>
        <w:t>ustrial or utility services environments.</w:t>
      </w:r>
      <w:r w:rsidR="006F2CA5">
        <w:rPr>
          <w:rFonts w:ascii="Arial" w:hAnsi="Arial" w:cs="Arial"/>
        </w:rPr>
        <w:t xml:space="preserve"> Concerning </w:t>
      </w:r>
      <w:r w:rsidR="006F2CA5" w:rsidRPr="00F05339">
        <w:rPr>
          <w:rFonts w:ascii="Arial" w:hAnsi="Arial" w:cs="Arial"/>
        </w:rPr>
        <w:t>off-grid applications</w:t>
      </w:r>
      <w:r w:rsidR="006F2CA5">
        <w:rPr>
          <w:rFonts w:ascii="Arial" w:hAnsi="Arial" w:cs="Arial"/>
        </w:rPr>
        <w:t xml:space="preserve">, projects </w:t>
      </w:r>
      <w:r w:rsidR="006F2CA5" w:rsidRPr="00F05339">
        <w:rPr>
          <w:rFonts w:ascii="Arial" w:hAnsi="Arial" w:cs="Arial"/>
        </w:rPr>
        <w:t xml:space="preserve">REMOTE, RoRePower and EVERYWH2ERE </w:t>
      </w:r>
      <w:r w:rsidR="006F2CA5">
        <w:rPr>
          <w:rFonts w:ascii="Arial" w:hAnsi="Arial" w:cs="Arial"/>
        </w:rPr>
        <w:t xml:space="preserve">aim to produce </w:t>
      </w:r>
      <w:r w:rsidR="006F2CA5" w:rsidRPr="006F2CA5">
        <w:rPr>
          <w:rFonts w:ascii="Arial" w:hAnsi="Arial" w:cs="Arial"/>
        </w:rPr>
        <w:t xml:space="preserve">results </w:t>
      </w:r>
      <w:r w:rsidR="006F2CA5">
        <w:rPr>
          <w:rFonts w:ascii="Arial" w:hAnsi="Arial" w:cs="Arial"/>
        </w:rPr>
        <w:t xml:space="preserve">that </w:t>
      </w:r>
      <w:r w:rsidR="006F2CA5" w:rsidRPr="006F2CA5">
        <w:rPr>
          <w:rFonts w:ascii="Arial" w:hAnsi="Arial" w:cs="Arial"/>
        </w:rPr>
        <w:t>could be applied in new fields where there is need for storage of local RES</w:t>
      </w:r>
      <w:r w:rsidR="006F2CA5">
        <w:rPr>
          <w:rFonts w:ascii="Arial" w:hAnsi="Arial" w:cs="Arial"/>
        </w:rPr>
        <w:t>, like g</w:t>
      </w:r>
      <w:r w:rsidR="006F2CA5" w:rsidRPr="006F2CA5">
        <w:rPr>
          <w:rFonts w:ascii="Arial" w:hAnsi="Arial" w:cs="Arial"/>
        </w:rPr>
        <w:t>rid balancing and the production of hydrogen for mobility.</w:t>
      </w:r>
    </w:p>
    <w:p w14:paraId="698906A3" w14:textId="77777777" w:rsidR="005E0587" w:rsidRPr="00CB13E2" w:rsidRDefault="005E0587" w:rsidP="005E0587">
      <w:pPr>
        <w:spacing w:after="0" w:line="259" w:lineRule="auto"/>
        <w:ind w:left="714"/>
        <w:jc w:val="both"/>
        <w:rPr>
          <w:rFonts w:ascii="Arial" w:hAnsi="Arial" w:cs="Arial"/>
        </w:rPr>
      </w:pPr>
    </w:p>
    <w:p w14:paraId="0E4BF6DD" w14:textId="66E2E6B9" w:rsidR="000A3F42" w:rsidRDefault="00761A71" w:rsidP="005E0587">
      <w:pPr>
        <w:pStyle w:val="ListParagraph"/>
        <w:numPr>
          <w:ilvl w:val="0"/>
          <w:numId w:val="39"/>
        </w:numPr>
        <w:spacing w:after="160" w:line="259" w:lineRule="auto"/>
        <w:jc w:val="both"/>
        <w:rPr>
          <w:rFonts w:ascii="Arial" w:hAnsi="Arial" w:cs="Arial"/>
        </w:rPr>
      </w:pPr>
      <w:r>
        <w:rPr>
          <w:rFonts w:ascii="Arial" w:hAnsi="Arial" w:cs="Arial"/>
        </w:rPr>
        <w:t xml:space="preserve">Support to electrolysis research and demonstration continued to deliver good results, providing a solid basis for the support of the EU hydrogen strategy and the European hydrogen value chain. The support to game-changer low temperature electrolysers has significantly improved </w:t>
      </w:r>
      <w:r w:rsidR="000A3F42">
        <w:rPr>
          <w:rFonts w:ascii="Arial" w:hAnsi="Arial" w:cs="Arial"/>
        </w:rPr>
        <w:t xml:space="preserve">the techno-economic characteristics of this technology. Moreover, FCH 2 JU supports three projects on anion exchange membrane electrolysers (AEMEL), an alternative low TRL technology to the two main low </w:t>
      </w:r>
      <w:proofErr w:type="gramStart"/>
      <w:r w:rsidR="000A3F42">
        <w:rPr>
          <w:rFonts w:ascii="Arial" w:hAnsi="Arial" w:cs="Arial"/>
        </w:rPr>
        <w:t xml:space="preserve">temperature  </w:t>
      </w:r>
      <w:r w:rsidR="003B4EC5">
        <w:rPr>
          <w:rFonts w:ascii="Arial" w:hAnsi="Arial" w:cs="Arial"/>
        </w:rPr>
        <w:t>electrolyser</w:t>
      </w:r>
      <w:proofErr w:type="gramEnd"/>
      <w:r w:rsidR="003B4EC5">
        <w:rPr>
          <w:rFonts w:ascii="Arial" w:hAnsi="Arial" w:cs="Arial"/>
        </w:rPr>
        <w:t xml:space="preserve"> technologies (alkanine – AE – and proton exchange membrane - PEM).</w:t>
      </w:r>
    </w:p>
    <w:p w14:paraId="1F0C991F" w14:textId="77777777" w:rsidR="000A3F42" w:rsidRDefault="000A3F42" w:rsidP="007A008A">
      <w:pPr>
        <w:pStyle w:val="ListParagraph"/>
        <w:spacing w:after="160" w:line="259" w:lineRule="auto"/>
        <w:jc w:val="both"/>
        <w:rPr>
          <w:rFonts w:ascii="Arial" w:hAnsi="Arial" w:cs="Arial"/>
        </w:rPr>
      </w:pPr>
    </w:p>
    <w:p w14:paraId="244BEDA1" w14:textId="50718980" w:rsidR="006F2CA5" w:rsidRDefault="000A3F42" w:rsidP="005E0587">
      <w:pPr>
        <w:pStyle w:val="ListParagraph"/>
        <w:numPr>
          <w:ilvl w:val="0"/>
          <w:numId w:val="39"/>
        </w:numPr>
        <w:spacing w:after="160" w:line="259" w:lineRule="auto"/>
        <w:jc w:val="both"/>
        <w:rPr>
          <w:rFonts w:ascii="Arial" w:hAnsi="Arial" w:cs="Arial"/>
        </w:rPr>
      </w:pPr>
      <w:r>
        <w:rPr>
          <w:rFonts w:ascii="Arial" w:hAnsi="Arial" w:cs="Arial"/>
        </w:rPr>
        <w:t xml:space="preserve">At the same time, high temperature electrolysis starts finding its place </w:t>
      </w:r>
      <w:r w:rsidR="004C118B">
        <w:rPr>
          <w:rFonts w:ascii="Arial" w:hAnsi="Arial" w:cs="Arial"/>
        </w:rPr>
        <w:t xml:space="preserve">in </w:t>
      </w:r>
      <w:r>
        <w:rPr>
          <w:rFonts w:ascii="Arial" w:hAnsi="Arial" w:cs="Arial"/>
        </w:rPr>
        <w:t>the industrial courtyard, facilitating strategic partnerships.</w:t>
      </w:r>
      <w:r w:rsidR="003B4EC5">
        <w:rPr>
          <w:rFonts w:ascii="Arial" w:hAnsi="Arial" w:cs="Arial"/>
        </w:rPr>
        <w:t xml:space="preserve"> The JU supports both lower TRL projects, like SELySOS, SWITCH and GAMER aiming to improve the performance of these electrolysers, as well as demonstration projects </w:t>
      </w:r>
      <w:r w:rsidR="003B4EC5" w:rsidRPr="00F05339">
        <w:rPr>
          <w:rFonts w:ascii="Arial" w:hAnsi="Arial" w:cs="Arial"/>
        </w:rPr>
        <w:t>in industrial environments</w:t>
      </w:r>
      <w:r w:rsidR="00F221E4">
        <w:rPr>
          <w:rFonts w:ascii="Arial" w:hAnsi="Arial" w:cs="Arial"/>
        </w:rPr>
        <w:t>,</w:t>
      </w:r>
      <w:r w:rsidR="003B4EC5" w:rsidRPr="00F05339">
        <w:rPr>
          <w:rFonts w:ascii="Arial" w:hAnsi="Arial" w:cs="Arial"/>
        </w:rPr>
        <w:t xml:space="preserve"> such as a steel plant </w:t>
      </w:r>
      <w:r w:rsidR="003B4EC5">
        <w:rPr>
          <w:rFonts w:ascii="Arial" w:hAnsi="Arial" w:cs="Arial"/>
        </w:rPr>
        <w:t xml:space="preserve">(GrinHy2.0) </w:t>
      </w:r>
      <w:r w:rsidR="003B4EC5" w:rsidRPr="00F05339">
        <w:rPr>
          <w:rFonts w:ascii="Arial" w:hAnsi="Arial" w:cs="Arial"/>
        </w:rPr>
        <w:t>and a bio-refinery</w:t>
      </w:r>
      <w:r w:rsidR="003B4EC5">
        <w:rPr>
          <w:rFonts w:ascii="Arial" w:hAnsi="Arial" w:cs="Arial"/>
        </w:rPr>
        <w:t xml:space="preserve"> (MultiPLHY)</w:t>
      </w:r>
      <w:r w:rsidR="003B4EC5" w:rsidRPr="00F05339">
        <w:rPr>
          <w:rFonts w:ascii="Arial" w:hAnsi="Arial" w:cs="Arial"/>
        </w:rPr>
        <w:t>.</w:t>
      </w:r>
    </w:p>
    <w:p w14:paraId="34F1AA55" w14:textId="77777777" w:rsidR="00F221E4" w:rsidRPr="007A008A" w:rsidRDefault="00F221E4" w:rsidP="007A008A">
      <w:pPr>
        <w:pStyle w:val="ListParagraph"/>
        <w:rPr>
          <w:rFonts w:ascii="Arial" w:hAnsi="Arial" w:cs="Arial"/>
        </w:rPr>
      </w:pPr>
    </w:p>
    <w:p w14:paraId="48D0908D" w14:textId="18DD31FB" w:rsidR="005E0587" w:rsidRPr="00CB13E2" w:rsidRDefault="005E0587" w:rsidP="005E0587">
      <w:pPr>
        <w:pStyle w:val="ListParagraph"/>
        <w:numPr>
          <w:ilvl w:val="0"/>
          <w:numId w:val="39"/>
        </w:numPr>
        <w:spacing w:after="160" w:line="259" w:lineRule="auto"/>
        <w:jc w:val="both"/>
        <w:rPr>
          <w:rFonts w:ascii="Arial" w:hAnsi="Arial" w:cs="Arial"/>
        </w:rPr>
      </w:pPr>
      <w:r w:rsidRPr="00CB13E2">
        <w:rPr>
          <w:rFonts w:ascii="Arial" w:hAnsi="Arial" w:cs="Arial"/>
        </w:rPr>
        <w:t xml:space="preserve">In </w:t>
      </w:r>
      <w:r w:rsidR="000A3F42">
        <w:rPr>
          <w:rFonts w:ascii="Arial" w:hAnsi="Arial" w:cs="Arial"/>
        </w:rPr>
        <w:t>terms of size</w:t>
      </w:r>
      <w:r w:rsidRPr="00CB13E2">
        <w:rPr>
          <w:rFonts w:ascii="Arial" w:hAnsi="Arial" w:cs="Arial"/>
        </w:rPr>
        <w:t xml:space="preserve">, </w:t>
      </w:r>
      <w:r w:rsidR="00D85567">
        <w:rPr>
          <w:rFonts w:ascii="Arial" w:hAnsi="Arial" w:cs="Arial"/>
        </w:rPr>
        <w:t>demonstration</w:t>
      </w:r>
      <w:r w:rsidR="00D85567" w:rsidRPr="00CB13E2">
        <w:rPr>
          <w:rFonts w:ascii="Arial" w:hAnsi="Arial" w:cs="Arial"/>
        </w:rPr>
        <w:t xml:space="preserve"> </w:t>
      </w:r>
      <w:r w:rsidRPr="00CB13E2">
        <w:rPr>
          <w:rFonts w:ascii="Arial" w:hAnsi="Arial" w:cs="Arial"/>
        </w:rPr>
        <w:t xml:space="preserve">of large electrolysers has reached the multi-MW scale. In the last decade, electrolyser capacity increased 500 times and funding per MW installed reduced by a factor of 100. The large demonstration projects in refineries (Refhyne), steel industry (H2FUTURE) or chemical industry (Djewels) have proved electrolysers as a reliable enabler for sectorial </w:t>
      </w:r>
      <w:r w:rsidR="0065547F">
        <w:rPr>
          <w:rFonts w:ascii="Arial" w:hAnsi="Arial" w:cs="Arial"/>
        </w:rPr>
        <w:t>i</w:t>
      </w:r>
      <w:r w:rsidRPr="00CB13E2">
        <w:rPr>
          <w:rFonts w:ascii="Arial" w:hAnsi="Arial" w:cs="Arial"/>
        </w:rPr>
        <w:t xml:space="preserve">ntegration and helped bring renewable </w:t>
      </w:r>
      <w:r>
        <w:rPr>
          <w:rFonts w:ascii="Arial" w:hAnsi="Arial" w:cs="Arial"/>
        </w:rPr>
        <w:t>hydrogen</w:t>
      </w:r>
      <w:r w:rsidRPr="00CB13E2">
        <w:rPr>
          <w:rFonts w:ascii="Arial" w:hAnsi="Arial" w:cs="Arial"/>
        </w:rPr>
        <w:t xml:space="preserve"> to the centre of EU energy policy.</w:t>
      </w:r>
    </w:p>
    <w:p w14:paraId="04465C4D" w14:textId="77777777" w:rsidR="005E0587" w:rsidRPr="00CB13E2" w:rsidRDefault="005E0587" w:rsidP="005E0587">
      <w:pPr>
        <w:pStyle w:val="ListParagraph"/>
        <w:spacing w:after="0"/>
        <w:ind w:left="709"/>
        <w:jc w:val="both"/>
        <w:rPr>
          <w:rFonts w:ascii="Arial" w:hAnsi="Arial" w:cs="Arial"/>
        </w:rPr>
      </w:pPr>
      <w:bookmarkStart w:id="8" w:name="_Hlk97648093"/>
    </w:p>
    <w:p w14:paraId="0E4E27F3" w14:textId="55E1DB03" w:rsidR="00A00195" w:rsidRDefault="00B321ED" w:rsidP="005E0587">
      <w:pPr>
        <w:pStyle w:val="ListParagraph"/>
        <w:numPr>
          <w:ilvl w:val="0"/>
          <w:numId w:val="38"/>
        </w:numPr>
        <w:spacing w:after="0"/>
        <w:ind w:left="709" w:hanging="357"/>
        <w:jc w:val="both"/>
        <w:rPr>
          <w:rFonts w:ascii="Arial" w:hAnsi="Arial" w:cs="Arial"/>
        </w:rPr>
      </w:pPr>
      <w:r>
        <w:rPr>
          <w:rFonts w:ascii="Arial" w:hAnsi="Arial" w:cs="Arial"/>
        </w:rPr>
        <w:t xml:space="preserve">The area of hydrogen storage, distribution and purification has been receiving an increasing amount of attention and funding the </w:t>
      </w:r>
      <w:r w:rsidR="00A00195">
        <w:rPr>
          <w:rFonts w:ascii="Arial" w:hAnsi="Arial" w:cs="Arial"/>
        </w:rPr>
        <w:t xml:space="preserve">recent years. </w:t>
      </w:r>
      <w:r w:rsidR="00A00195" w:rsidRPr="00A00195">
        <w:rPr>
          <w:rFonts w:ascii="Arial" w:hAnsi="Arial" w:cs="Arial"/>
        </w:rPr>
        <w:t xml:space="preserve">The HYSTOC project aims to develop and demonstrate a transport and storage system for HRS using a liquid organic hydrogen </w:t>
      </w:r>
      <w:proofErr w:type="gramStart"/>
      <w:r w:rsidR="00A00195" w:rsidRPr="00A00195">
        <w:rPr>
          <w:rFonts w:ascii="Arial" w:hAnsi="Arial" w:cs="Arial"/>
        </w:rPr>
        <w:t>carriers (LOHC)</w:t>
      </w:r>
      <w:proofErr w:type="gramEnd"/>
      <w:r w:rsidR="00A00195" w:rsidRPr="00A00195">
        <w:rPr>
          <w:rFonts w:ascii="Arial" w:hAnsi="Arial" w:cs="Arial"/>
        </w:rPr>
        <w:t>.</w:t>
      </w:r>
      <w:r w:rsidR="00A00195">
        <w:rPr>
          <w:rFonts w:ascii="Arial" w:hAnsi="Arial" w:cs="Arial"/>
        </w:rPr>
        <w:t xml:space="preserve"> </w:t>
      </w:r>
      <w:r w:rsidR="00A00195" w:rsidRPr="00F05339">
        <w:rPr>
          <w:rFonts w:ascii="Arial" w:hAnsi="Arial" w:cs="Arial"/>
        </w:rPr>
        <w:t>The HYCARE project is developing a prototype large scale hydrogen storage tank based on solid-state storage.</w:t>
      </w:r>
      <w:r w:rsidR="00A00195">
        <w:rPr>
          <w:rFonts w:ascii="Arial" w:hAnsi="Arial" w:cs="Arial"/>
        </w:rPr>
        <w:t xml:space="preserve"> </w:t>
      </w:r>
      <w:r w:rsidR="00A00195" w:rsidRPr="00F05339">
        <w:rPr>
          <w:rFonts w:ascii="Arial" w:eastAsia="Times New Roman" w:hAnsi="Arial" w:cs="Arial"/>
          <w:lang w:eastAsia="en-GB"/>
        </w:rPr>
        <w:t xml:space="preserve">The HYGRID project </w:t>
      </w:r>
      <w:r w:rsidR="00A00195" w:rsidRPr="00F05339">
        <w:rPr>
          <w:rFonts w:ascii="Arial" w:eastAsia="Times New Roman" w:hAnsi="Arial" w:cs="Arial"/>
          <w:lang w:eastAsia="en-GB"/>
        </w:rPr>
        <w:lastRenderedPageBreak/>
        <w:t>aims to develop, scale-up and demonstrate a novel membrane-based hybrid technology for the direct separation of hydrogen from natural gas grids.</w:t>
      </w:r>
      <w:r w:rsidR="00DA2C3B">
        <w:rPr>
          <w:rFonts w:ascii="Arial" w:eastAsia="Times New Roman" w:hAnsi="Arial" w:cs="Arial"/>
          <w:lang w:eastAsia="en-GB"/>
        </w:rPr>
        <w:t xml:space="preserve"> </w:t>
      </w:r>
      <w:r w:rsidR="00DA2C3B" w:rsidRPr="00F05339">
        <w:rPr>
          <w:rFonts w:ascii="Arial" w:eastAsia="Times New Roman" w:hAnsi="Arial" w:cs="Arial"/>
          <w:lang w:eastAsia="en-GB"/>
        </w:rPr>
        <w:t>The MEMPHYS project</w:t>
      </w:r>
      <w:r w:rsidR="00DA2C3B">
        <w:rPr>
          <w:rFonts w:ascii="Arial" w:eastAsia="Times New Roman" w:hAnsi="Arial" w:cs="Arial"/>
          <w:lang w:eastAsia="en-GB"/>
        </w:rPr>
        <w:t xml:space="preserve"> </w:t>
      </w:r>
      <w:r w:rsidR="00DA2C3B" w:rsidRPr="00F05339">
        <w:rPr>
          <w:rFonts w:ascii="Arial" w:eastAsia="Times New Roman" w:hAnsi="Arial" w:cs="Arial"/>
          <w:lang w:eastAsia="en-GB"/>
        </w:rPr>
        <w:t>targeted the development of a low-energy hydrogen purification system.</w:t>
      </w:r>
      <w:r w:rsidR="00DA2C3B">
        <w:rPr>
          <w:rFonts w:ascii="Arial" w:eastAsia="Times New Roman" w:hAnsi="Arial" w:cs="Arial"/>
          <w:lang w:eastAsia="en-GB"/>
        </w:rPr>
        <w:t xml:space="preserve"> </w:t>
      </w:r>
    </w:p>
    <w:p w14:paraId="1FCACF63" w14:textId="77777777" w:rsidR="00F221E4" w:rsidRDefault="00F221E4" w:rsidP="007A008A">
      <w:pPr>
        <w:pStyle w:val="ListParagraph"/>
        <w:spacing w:after="0"/>
        <w:ind w:left="709"/>
        <w:jc w:val="both"/>
        <w:rPr>
          <w:rFonts w:ascii="Arial" w:hAnsi="Arial" w:cs="Arial"/>
        </w:rPr>
      </w:pPr>
    </w:p>
    <w:p w14:paraId="132B6B49" w14:textId="78D317A9" w:rsidR="006F2044" w:rsidRDefault="006F2044" w:rsidP="006F2044">
      <w:pPr>
        <w:pStyle w:val="ListParagraph"/>
        <w:numPr>
          <w:ilvl w:val="0"/>
          <w:numId w:val="38"/>
        </w:numPr>
        <w:spacing w:after="0"/>
        <w:jc w:val="both"/>
        <w:rPr>
          <w:rFonts w:ascii="Arial" w:hAnsi="Arial" w:cs="Arial"/>
        </w:rPr>
      </w:pPr>
      <w:r w:rsidRPr="006F2044">
        <w:rPr>
          <w:rFonts w:ascii="Arial" w:hAnsi="Arial" w:cs="Arial"/>
        </w:rPr>
        <w:t>All the above areas are also demonstrated together in an integrated</w:t>
      </w:r>
      <w:r w:rsidRPr="007A008A">
        <w:rPr>
          <w:rFonts w:ascii="Arial" w:hAnsi="Arial" w:cs="Arial"/>
        </w:rPr>
        <w:t xml:space="preserve"> system approach </w:t>
      </w:r>
      <w:r w:rsidRPr="00FB5B92">
        <w:rPr>
          <w:rFonts w:ascii="Arial" w:hAnsi="Arial" w:cs="Arial"/>
        </w:rPr>
        <w:t>throu</w:t>
      </w:r>
      <w:r w:rsidRPr="001E4BA8">
        <w:rPr>
          <w:rFonts w:ascii="Arial" w:hAnsi="Arial" w:cs="Arial"/>
        </w:rPr>
        <w:t xml:space="preserve">gh </w:t>
      </w:r>
      <w:r w:rsidRPr="00DB3CD9">
        <w:rPr>
          <w:rFonts w:ascii="Arial" w:hAnsi="Arial" w:cs="Arial"/>
        </w:rPr>
        <w:t>the Hydrogen Valley</w:t>
      </w:r>
      <w:r w:rsidR="007A008A">
        <w:rPr>
          <w:rFonts w:ascii="Arial" w:hAnsi="Arial" w:cs="Arial"/>
        </w:rPr>
        <w:t>s</w:t>
      </w:r>
      <w:r w:rsidRPr="007A008A">
        <w:rPr>
          <w:rFonts w:ascii="Arial" w:hAnsi="Arial" w:cs="Arial"/>
        </w:rPr>
        <w:t xml:space="preserve">. Currently, the JU supports three hydrogen territories, BIGHIT in the norther Scottish islands of Orkney, HEAVENN in the northern regions of the Netherlands and </w:t>
      </w:r>
      <w:r w:rsidRPr="00FB5B92">
        <w:rPr>
          <w:rFonts w:ascii="Arial" w:hAnsi="Arial" w:cs="Arial"/>
        </w:rPr>
        <w:t xml:space="preserve">GREEN HYSLAND </w:t>
      </w:r>
      <w:r w:rsidRPr="001E4BA8">
        <w:rPr>
          <w:rFonts w:ascii="Arial" w:hAnsi="Arial" w:cs="Arial"/>
        </w:rPr>
        <w:t xml:space="preserve">at </w:t>
      </w:r>
      <w:r w:rsidRPr="00DB3CD9">
        <w:rPr>
          <w:rFonts w:ascii="Arial" w:hAnsi="Arial" w:cs="Arial"/>
        </w:rPr>
        <w:t xml:space="preserve">the island of Majorca (Spain). </w:t>
      </w:r>
      <w:r w:rsidRPr="008E4A6E">
        <w:rPr>
          <w:rFonts w:ascii="Arial" w:hAnsi="Arial" w:cs="Arial"/>
        </w:rPr>
        <w:t xml:space="preserve"> A</w:t>
      </w:r>
      <w:r w:rsidRPr="00264800">
        <w:rPr>
          <w:rFonts w:ascii="Arial" w:hAnsi="Arial" w:cs="Arial"/>
        </w:rPr>
        <w:t>lthough they vary significantly in size, they all have in common integra</w:t>
      </w:r>
      <w:r w:rsidRPr="00351A36">
        <w:rPr>
          <w:rFonts w:ascii="Arial" w:hAnsi="Arial" w:cs="Arial"/>
        </w:rPr>
        <w:t>ting hydrogen production from</w:t>
      </w:r>
      <w:r w:rsidRPr="006F2044">
        <w:rPr>
          <w:rFonts w:ascii="Arial" w:hAnsi="Arial" w:cs="Arial"/>
        </w:rPr>
        <w:t xml:space="preserve"> renewable electricity and the search for various storage and distribution solutions that are specific to each territory, the amount of hydrogen produced, the type</w:t>
      </w:r>
      <w:r>
        <w:rPr>
          <w:rFonts w:ascii="Arial" w:hAnsi="Arial" w:cs="Arial"/>
        </w:rPr>
        <w:t xml:space="preserve"> </w:t>
      </w:r>
      <w:r w:rsidRPr="006F2044">
        <w:rPr>
          <w:rFonts w:ascii="Arial" w:hAnsi="Arial" w:cs="Arial"/>
        </w:rPr>
        <w:t xml:space="preserve">of end use and the distance to the end uses. </w:t>
      </w:r>
    </w:p>
    <w:p w14:paraId="56E0761F" w14:textId="77777777" w:rsidR="006F2044" w:rsidRPr="007A008A" w:rsidRDefault="006F2044" w:rsidP="007A008A">
      <w:pPr>
        <w:pStyle w:val="ListParagraph"/>
        <w:rPr>
          <w:rFonts w:ascii="Arial" w:hAnsi="Arial" w:cs="Arial"/>
        </w:rPr>
      </w:pPr>
    </w:p>
    <w:p w14:paraId="061ACADC" w14:textId="1E20E7F2" w:rsidR="007A008A" w:rsidRPr="00FB5B92" w:rsidRDefault="007A008A" w:rsidP="00FB5B92">
      <w:pPr>
        <w:pStyle w:val="ListParagraph"/>
        <w:numPr>
          <w:ilvl w:val="0"/>
          <w:numId w:val="38"/>
        </w:numPr>
        <w:spacing w:after="0"/>
        <w:jc w:val="both"/>
        <w:rPr>
          <w:rFonts w:ascii="Arial" w:hAnsi="Arial" w:cs="Arial"/>
        </w:rPr>
      </w:pPr>
      <w:r w:rsidRPr="00FB5B92">
        <w:rPr>
          <w:rFonts w:ascii="Arial" w:hAnsi="Arial" w:cs="Arial"/>
        </w:rPr>
        <w:t>The above research</w:t>
      </w:r>
      <w:r w:rsidRPr="001E4BA8">
        <w:rPr>
          <w:rFonts w:ascii="Arial" w:hAnsi="Arial" w:cs="Arial"/>
        </w:rPr>
        <w:t xml:space="preserve"> and innovation actions are </w:t>
      </w:r>
      <w:r w:rsidRPr="00DB3CD9">
        <w:rPr>
          <w:rFonts w:ascii="Arial" w:hAnsi="Arial" w:cs="Arial"/>
        </w:rPr>
        <w:t>complemented</w:t>
      </w:r>
      <w:r w:rsidRPr="008E4A6E">
        <w:rPr>
          <w:rFonts w:ascii="Arial" w:hAnsi="Arial" w:cs="Arial"/>
        </w:rPr>
        <w:t xml:space="preserve"> </w:t>
      </w:r>
      <w:r w:rsidRPr="00264800">
        <w:rPr>
          <w:rFonts w:ascii="Arial" w:hAnsi="Arial" w:cs="Arial"/>
        </w:rPr>
        <w:t xml:space="preserve">by </w:t>
      </w:r>
      <w:proofErr w:type="gramStart"/>
      <w:r w:rsidRPr="00264800">
        <w:rPr>
          <w:rFonts w:ascii="Arial" w:hAnsi="Arial" w:cs="Arial"/>
        </w:rPr>
        <w:t>a number of</w:t>
      </w:r>
      <w:proofErr w:type="gramEnd"/>
      <w:r w:rsidRPr="00351A36">
        <w:rPr>
          <w:rFonts w:ascii="Arial" w:hAnsi="Arial" w:cs="Arial"/>
        </w:rPr>
        <w:t xml:space="preserve"> cross-cutting activities relate</w:t>
      </w:r>
      <w:r w:rsidRPr="00FB5B92">
        <w:rPr>
          <w:rFonts w:ascii="Arial" w:hAnsi="Arial" w:cs="Arial"/>
        </w:rPr>
        <w:t xml:space="preserve">d to pre-normative research (PNR), input in regulations codes and standards (RCS), education and training, as well as safety aspects. </w:t>
      </w:r>
      <w:r w:rsidR="00FB5B92" w:rsidRPr="00FB5B92">
        <w:rPr>
          <w:rFonts w:ascii="Arial" w:hAnsi="Arial" w:cs="Arial"/>
        </w:rPr>
        <w:t>The comprehensive portfolio of FCH 2 JU activities strengthens the whole FCH sector and support</w:t>
      </w:r>
      <w:r w:rsidR="00FB5B92">
        <w:rPr>
          <w:rFonts w:ascii="Arial" w:hAnsi="Arial" w:cs="Arial"/>
        </w:rPr>
        <w:t>s</w:t>
      </w:r>
      <w:r w:rsidR="00FB5B92" w:rsidRPr="00FB5B92">
        <w:rPr>
          <w:rFonts w:ascii="Arial" w:hAnsi="Arial" w:cs="Arial"/>
        </w:rPr>
        <w:t xml:space="preserve"> the market uptake</w:t>
      </w:r>
      <w:r w:rsidR="00FB5B92">
        <w:rPr>
          <w:rFonts w:ascii="Arial" w:hAnsi="Arial" w:cs="Arial"/>
        </w:rPr>
        <w:t xml:space="preserve"> of hydrogen technologies.</w:t>
      </w:r>
    </w:p>
    <w:p w14:paraId="57F2BA34" w14:textId="77777777" w:rsidR="00B321ED" w:rsidRPr="007A008A" w:rsidRDefault="00B321ED" w:rsidP="007A008A">
      <w:pPr>
        <w:pStyle w:val="ListParagraph"/>
        <w:rPr>
          <w:rFonts w:ascii="Arial" w:hAnsi="Arial" w:cs="Arial"/>
        </w:rPr>
      </w:pPr>
    </w:p>
    <w:p w14:paraId="423627B7" w14:textId="572CF97A" w:rsidR="00B321ED" w:rsidRDefault="001E4BA8" w:rsidP="001E4BA8">
      <w:pPr>
        <w:pStyle w:val="ListParagraph"/>
        <w:numPr>
          <w:ilvl w:val="0"/>
          <w:numId w:val="38"/>
        </w:numPr>
        <w:spacing w:after="0"/>
        <w:jc w:val="both"/>
        <w:rPr>
          <w:rFonts w:ascii="Arial" w:hAnsi="Arial" w:cs="Arial"/>
        </w:rPr>
      </w:pPr>
      <w:r w:rsidRPr="00F05339">
        <w:rPr>
          <w:rFonts w:ascii="Arial" w:hAnsi="Arial" w:cs="Arial"/>
        </w:rPr>
        <w:t xml:space="preserve">Knowledge management activities </w:t>
      </w:r>
      <w:r>
        <w:rPr>
          <w:rFonts w:ascii="Arial" w:hAnsi="Arial" w:cs="Arial"/>
        </w:rPr>
        <w:t>focused on improving the annual Programme Review exercise and the quality of information provided through the Fuel Cell and Hydrogen Observatory</w:t>
      </w:r>
      <w:r w:rsidR="00DB3CD9">
        <w:rPr>
          <w:rFonts w:ascii="Arial" w:hAnsi="Arial" w:cs="Arial"/>
        </w:rPr>
        <w:t xml:space="preserve"> (FCHO)</w:t>
      </w:r>
      <w:r>
        <w:rPr>
          <w:rFonts w:ascii="Arial" w:hAnsi="Arial" w:cs="Arial"/>
        </w:rPr>
        <w:t xml:space="preserve">. </w:t>
      </w:r>
      <w:r w:rsidR="00DB3CD9">
        <w:rPr>
          <w:rFonts w:ascii="Arial" w:hAnsi="Arial" w:cs="Arial"/>
        </w:rPr>
        <w:t xml:space="preserve">The duration of the Programme Review, covering 85 projects, was reduced by 6 months, permitting the publication of the Programme Review Report on the Programme Review Days. In parallel, the FCHO extended its content, publishing more data and information, including a new module on the Levelised Cost of Hydrogen. </w:t>
      </w:r>
    </w:p>
    <w:p w14:paraId="5B8D201D" w14:textId="77777777" w:rsidR="001E4BA8" w:rsidRPr="007A008A" w:rsidRDefault="001E4BA8" w:rsidP="007A008A">
      <w:pPr>
        <w:pStyle w:val="ListParagraph"/>
        <w:rPr>
          <w:rFonts w:ascii="Arial" w:hAnsi="Arial" w:cs="Arial"/>
        </w:rPr>
      </w:pPr>
    </w:p>
    <w:p w14:paraId="1A4F98BE" w14:textId="2C1FC001" w:rsidR="005E0587" w:rsidRDefault="005E0587" w:rsidP="005E0587">
      <w:pPr>
        <w:pStyle w:val="ListParagraph"/>
        <w:numPr>
          <w:ilvl w:val="0"/>
          <w:numId w:val="38"/>
        </w:numPr>
        <w:spacing w:after="0"/>
        <w:ind w:left="709" w:hanging="357"/>
        <w:jc w:val="both"/>
        <w:rPr>
          <w:rFonts w:ascii="Arial" w:hAnsi="Arial" w:cs="Arial"/>
        </w:rPr>
      </w:pPr>
      <w:r w:rsidRPr="00CB13E2">
        <w:rPr>
          <w:rFonts w:ascii="Arial" w:hAnsi="Arial" w:cs="Arial"/>
        </w:rPr>
        <w:t xml:space="preserve">Dissemination and exploitation of results is an important part of </w:t>
      </w:r>
      <w:r>
        <w:rPr>
          <w:rFonts w:ascii="Arial" w:hAnsi="Arial" w:cs="Arial"/>
        </w:rPr>
        <w:t>the</w:t>
      </w:r>
      <w:r w:rsidRPr="00CB13E2">
        <w:rPr>
          <w:rFonts w:ascii="Arial" w:hAnsi="Arial" w:cs="Arial"/>
        </w:rPr>
        <w:t xml:space="preserve"> JU which participates actively in several initiatives: the Horizon Results Platform</w:t>
      </w:r>
      <w:r w:rsidRPr="00CB13E2">
        <w:rPr>
          <w:rFonts w:ascii="Arial" w:hAnsi="Arial" w:cs="Arial"/>
          <w:vertAlign w:val="superscript"/>
        </w:rPr>
        <w:footnoteReference w:id="4"/>
      </w:r>
      <w:r w:rsidRPr="00CB13E2">
        <w:rPr>
          <w:rFonts w:ascii="Arial" w:hAnsi="Arial" w:cs="Arial"/>
        </w:rPr>
        <w:t>, the Innovation Radar</w:t>
      </w:r>
      <w:r w:rsidRPr="00CB13E2">
        <w:rPr>
          <w:rFonts w:ascii="Arial" w:hAnsi="Arial" w:cs="Arial"/>
          <w:vertAlign w:val="superscript"/>
        </w:rPr>
        <w:footnoteReference w:id="5"/>
      </w:r>
      <w:r w:rsidRPr="00CB13E2">
        <w:rPr>
          <w:rFonts w:ascii="Arial" w:hAnsi="Arial" w:cs="Arial"/>
        </w:rPr>
        <w:t xml:space="preserve">, the Horizon Results Booster. Until the end of 2021, 25 FCH 2 JU project results have been uploaded in the Horizon Results Platform. </w:t>
      </w:r>
      <w:r>
        <w:rPr>
          <w:rFonts w:ascii="Arial" w:hAnsi="Arial" w:cs="Arial"/>
        </w:rPr>
        <w:t xml:space="preserve">Moreover, in 2021, </w:t>
      </w:r>
      <w:r w:rsidRPr="00CB13E2">
        <w:rPr>
          <w:rFonts w:ascii="Arial" w:hAnsi="Arial" w:cs="Arial"/>
        </w:rPr>
        <w:t>24 project participants of 5 FCH 2 JU projects submitted 10 innovations</w:t>
      </w:r>
      <w:r w:rsidR="0001012C">
        <w:rPr>
          <w:rFonts w:ascii="Arial" w:hAnsi="Arial" w:cs="Arial"/>
        </w:rPr>
        <w:t xml:space="preserve"> to the Innovation Radar</w:t>
      </w:r>
      <w:r w:rsidRPr="00CB13E2">
        <w:rPr>
          <w:rFonts w:ascii="Arial" w:hAnsi="Arial" w:cs="Arial"/>
        </w:rPr>
        <w:t xml:space="preserve">, that were included in the platform. </w:t>
      </w:r>
      <w:bookmarkEnd w:id="8"/>
      <w:r w:rsidRPr="00CB13E2">
        <w:rPr>
          <w:rFonts w:ascii="Arial" w:hAnsi="Arial" w:cs="Arial"/>
        </w:rPr>
        <w:t>The EC Horizon Results Booster was launched in 2019</w:t>
      </w:r>
      <w:r w:rsidR="0001012C">
        <w:rPr>
          <w:rFonts w:ascii="Arial" w:hAnsi="Arial" w:cs="Arial"/>
        </w:rPr>
        <w:t>;</w:t>
      </w:r>
      <w:r w:rsidRPr="00CB13E2">
        <w:rPr>
          <w:rFonts w:ascii="Arial" w:hAnsi="Arial" w:cs="Arial"/>
        </w:rPr>
        <w:t xml:space="preserve"> so far 8 projects have applied or already benefitted from these services. </w:t>
      </w:r>
    </w:p>
    <w:p w14:paraId="61D2AC54" w14:textId="77777777" w:rsidR="005E0587" w:rsidRDefault="005E0587" w:rsidP="005E0587">
      <w:pPr>
        <w:pStyle w:val="ListParagraph"/>
        <w:jc w:val="both"/>
        <w:rPr>
          <w:rFonts w:ascii="Arial" w:hAnsi="Arial" w:cs="Arial"/>
        </w:rPr>
      </w:pPr>
    </w:p>
    <w:p w14:paraId="022D1450" w14:textId="6431B3FC" w:rsidR="00CB13E2" w:rsidRPr="00CB13E2" w:rsidRDefault="00CB13E2" w:rsidP="002672A0">
      <w:pPr>
        <w:pStyle w:val="ListParagraph"/>
        <w:numPr>
          <w:ilvl w:val="0"/>
          <w:numId w:val="37"/>
        </w:numPr>
        <w:jc w:val="both"/>
        <w:rPr>
          <w:rFonts w:ascii="Arial" w:hAnsi="Arial" w:cs="Arial"/>
        </w:rPr>
      </w:pPr>
      <w:r w:rsidRPr="00CB13E2">
        <w:rPr>
          <w:rFonts w:ascii="Arial" w:hAnsi="Arial" w:cs="Arial"/>
        </w:rPr>
        <w:t xml:space="preserve">Communication activities focused in 2021 on two main areas: promoting the results of the FCH </w:t>
      </w:r>
      <w:r w:rsidR="00076081">
        <w:rPr>
          <w:rFonts w:ascii="Arial" w:hAnsi="Arial" w:cs="Arial"/>
        </w:rPr>
        <w:t xml:space="preserve">2 </w:t>
      </w:r>
      <w:r w:rsidRPr="00CB13E2">
        <w:rPr>
          <w:rFonts w:ascii="Arial" w:hAnsi="Arial" w:cs="Arial"/>
        </w:rPr>
        <w:t xml:space="preserve">JU and the development of the communications framework of its successor Clean Hydrogen JU. This last part included the development of a new brand and visual identity, the development of the new website ( </w:t>
      </w:r>
      <w:hyperlink r:id="rId10" w:history="1">
        <w:r w:rsidR="00076081" w:rsidRPr="002C7BC9">
          <w:rPr>
            <w:rStyle w:val="Hyperlink"/>
            <w:rFonts w:ascii="Arial" w:hAnsi="Arial" w:cs="Arial"/>
          </w:rPr>
          <w:t>www.clean-hydrogen.europa.eu</w:t>
        </w:r>
      </w:hyperlink>
      <w:r w:rsidRPr="00CB13E2">
        <w:rPr>
          <w:rFonts w:ascii="Arial" w:hAnsi="Arial" w:cs="Arial"/>
        </w:rPr>
        <w:t xml:space="preserve">), and of a new newsletter. A communication campaign was launched around the new partnership, generating media coverage and awareness among various stakeholders. </w:t>
      </w:r>
    </w:p>
    <w:p w14:paraId="1670FB82" w14:textId="77777777" w:rsidR="00CB13E2" w:rsidRPr="00CB13E2" w:rsidRDefault="00CB13E2" w:rsidP="00CB13E2">
      <w:pPr>
        <w:pStyle w:val="ListParagraph"/>
        <w:jc w:val="both"/>
        <w:rPr>
          <w:rFonts w:ascii="Arial" w:hAnsi="Arial" w:cs="Arial"/>
        </w:rPr>
      </w:pPr>
    </w:p>
    <w:p w14:paraId="41576D73" w14:textId="77777777" w:rsidR="00CB13E2" w:rsidRPr="00CB13E2" w:rsidRDefault="00CB13E2" w:rsidP="002672A0">
      <w:pPr>
        <w:pStyle w:val="ListParagraph"/>
        <w:numPr>
          <w:ilvl w:val="0"/>
          <w:numId w:val="37"/>
        </w:numPr>
        <w:jc w:val="both"/>
        <w:rPr>
          <w:rFonts w:ascii="Arial" w:hAnsi="Arial" w:cs="Arial"/>
        </w:rPr>
      </w:pPr>
      <w:r w:rsidRPr="00CB13E2">
        <w:rPr>
          <w:rFonts w:ascii="Arial" w:hAnsi="Arial" w:cs="Arial"/>
        </w:rPr>
        <w:t>The second edition of </w:t>
      </w:r>
      <w:hyperlink r:id="rId11" w:history="1">
        <w:r w:rsidRPr="00CB13E2">
          <w:rPr>
            <w:rFonts w:ascii="Arial" w:hAnsi="Arial" w:cs="Arial"/>
          </w:rPr>
          <w:t>European Hydrogen Week</w:t>
        </w:r>
      </w:hyperlink>
      <w:r w:rsidRPr="00CB13E2">
        <w:rPr>
          <w:rFonts w:ascii="Arial" w:hAnsi="Arial" w:cs="Arial"/>
        </w:rPr>
        <w:t xml:space="preserve"> brought together over 2 000 participants from the public and private sectors across Europe and beyond to review </w:t>
      </w:r>
      <w:r w:rsidRPr="00CB13E2">
        <w:rPr>
          <w:rFonts w:ascii="Arial" w:hAnsi="Arial" w:cs="Arial"/>
        </w:rPr>
        <w:lastRenderedPageBreak/>
        <w:t xml:space="preserve">progress and look ahead to new opportunities for the production and use of hydrogen throughout the economy. The event marked the public launch of the Clean Hydrogen Partnership in the presence of the President of the European Commission, Ursula von der Leyen. </w:t>
      </w:r>
    </w:p>
    <w:p w14:paraId="520EB31C" w14:textId="77777777" w:rsidR="00CB13E2" w:rsidRPr="00CB13E2" w:rsidRDefault="00CB13E2" w:rsidP="00CB13E2">
      <w:pPr>
        <w:pStyle w:val="ListParagraph"/>
        <w:jc w:val="both"/>
        <w:rPr>
          <w:rFonts w:ascii="Arial" w:hAnsi="Arial" w:cs="Arial"/>
          <w:highlight w:val="yellow"/>
        </w:rPr>
      </w:pPr>
    </w:p>
    <w:p w14:paraId="54E4CFF5" w14:textId="467F9A14" w:rsidR="005E0587" w:rsidRPr="005E0587" w:rsidRDefault="00CB13E2" w:rsidP="005E0587">
      <w:pPr>
        <w:pStyle w:val="ListParagraph"/>
        <w:numPr>
          <w:ilvl w:val="0"/>
          <w:numId w:val="37"/>
        </w:numPr>
        <w:jc w:val="both"/>
        <w:rPr>
          <w:rFonts w:ascii="Arial" w:hAnsi="Arial" w:cs="Arial"/>
        </w:rPr>
      </w:pPr>
      <w:r w:rsidRPr="00CB13E2">
        <w:rPr>
          <w:rFonts w:ascii="Arial" w:hAnsi="Arial" w:cs="Arial"/>
        </w:rPr>
        <w:t xml:space="preserve">Hydrogen week concluded with the FCH 2 JU Programme Review Days, which presented the progress of supported projects and technological developments in the transport and energy sectors. </w:t>
      </w:r>
    </w:p>
    <w:p w14:paraId="3616C656" w14:textId="77777777" w:rsidR="009E761E" w:rsidRPr="009E761E" w:rsidRDefault="009E761E" w:rsidP="00CB13E2">
      <w:pPr>
        <w:pStyle w:val="ListParagraph"/>
        <w:spacing w:after="60"/>
        <w:jc w:val="both"/>
        <w:rPr>
          <w:rFonts w:ascii="Arial" w:hAnsi="Arial" w:cs="Arial"/>
        </w:rPr>
      </w:pPr>
    </w:p>
    <w:p w14:paraId="59744E37" w14:textId="22C3A2C4" w:rsidR="00A732E2" w:rsidRPr="000121FA" w:rsidRDefault="009E761E" w:rsidP="000121FA">
      <w:pPr>
        <w:jc w:val="both"/>
        <w:rPr>
          <w:rFonts w:ascii="Arial" w:hAnsi="Arial" w:cs="Arial"/>
          <w:i/>
        </w:rPr>
      </w:pPr>
      <w:r w:rsidRPr="000121FA">
        <w:rPr>
          <w:rFonts w:ascii="Arial" w:hAnsi="Arial" w:cs="Arial"/>
          <w:i/>
        </w:rPr>
        <w:t>Support activities and internal control environments</w:t>
      </w:r>
    </w:p>
    <w:p w14:paraId="464804A8" w14:textId="1833AFBF" w:rsidR="009E761E" w:rsidRDefault="009E761E" w:rsidP="002672A0">
      <w:pPr>
        <w:pStyle w:val="ListParagraph"/>
        <w:numPr>
          <w:ilvl w:val="0"/>
          <w:numId w:val="27"/>
        </w:numPr>
        <w:spacing w:after="60"/>
        <w:jc w:val="both"/>
        <w:rPr>
          <w:rFonts w:ascii="Arial" w:hAnsi="Arial" w:cs="Arial"/>
        </w:rPr>
      </w:pPr>
      <w:r w:rsidRPr="009E761E">
        <w:rPr>
          <w:rFonts w:ascii="Arial" w:hAnsi="Arial" w:cs="Arial"/>
        </w:rPr>
        <w:t xml:space="preserve">Budget execution </w:t>
      </w:r>
      <w:r w:rsidRPr="00D9694E">
        <w:rPr>
          <w:rFonts w:ascii="Arial" w:hAnsi="Arial" w:cs="Arial"/>
        </w:rPr>
        <w:t>further improved to 9</w:t>
      </w:r>
      <w:r w:rsidR="00D9694E" w:rsidRPr="00D9694E">
        <w:rPr>
          <w:rFonts w:ascii="Arial" w:hAnsi="Arial" w:cs="Arial"/>
        </w:rPr>
        <w:t>8</w:t>
      </w:r>
      <w:r w:rsidRPr="00D9694E">
        <w:rPr>
          <w:rFonts w:ascii="Arial" w:hAnsi="Arial" w:cs="Arial"/>
        </w:rPr>
        <w:t>.</w:t>
      </w:r>
      <w:r w:rsidR="00D9694E" w:rsidRPr="00D9694E">
        <w:rPr>
          <w:rFonts w:ascii="Arial" w:hAnsi="Arial" w:cs="Arial"/>
        </w:rPr>
        <w:t>3</w:t>
      </w:r>
      <w:r w:rsidRPr="00D9694E">
        <w:rPr>
          <w:rFonts w:ascii="Arial" w:hAnsi="Arial" w:cs="Arial"/>
        </w:rPr>
        <w:t>% in terms of commitment appropriations</w:t>
      </w:r>
      <w:r w:rsidR="008913E5">
        <w:rPr>
          <w:rFonts w:ascii="Arial" w:hAnsi="Arial" w:cs="Arial"/>
        </w:rPr>
        <w:t xml:space="preserve">, </w:t>
      </w:r>
      <w:r w:rsidR="008913E5" w:rsidRPr="008913E5">
        <w:rPr>
          <w:rFonts w:ascii="Arial" w:hAnsi="Arial" w:cs="Arial"/>
          <w:u w:val="single"/>
        </w:rPr>
        <w:t>recording the best performance in JU history</w:t>
      </w:r>
      <w:r w:rsidR="008913E5">
        <w:rPr>
          <w:rFonts w:ascii="Arial" w:hAnsi="Arial" w:cs="Arial"/>
        </w:rPr>
        <w:t>,</w:t>
      </w:r>
      <w:r w:rsidRPr="00D9694E">
        <w:rPr>
          <w:rFonts w:ascii="Arial" w:hAnsi="Arial" w:cs="Arial"/>
        </w:rPr>
        <w:t xml:space="preserve"> and</w:t>
      </w:r>
      <w:r w:rsidRPr="009E761E">
        <w:rPr>
          <w:rFonts w:ascii="Arial" w:hAnsi="Arial" w:cs="Arial"/>
        </w:rPr>
        <w:t xml:space="preserve"> reached 8</w:t>
      </w:r>
      <w:r w:rsidR="00D9694E">
        <w:rPr>
          <w:rFonts w:ascii="Arial" w:hAnsi="Arial" w:cs="Arial"/>
        </w:rPr>
        <w:t>8</w:t>
      </w:r>
      <w:r w:rsidRPr="009E761E">
        <w:rPr>
          <w:rFonts w:ascii="Arial" w:hAnsi="Arial" w:cs="Arial"/>
        </w:rPr>
        <w:t>% in terms of payment appropriations.</w:t>
      </w:r>
      <w:r w:rsidR="00D9694E">
        <w:rPr>
          <w:rFonts w:ascii="Arial" w:hAnsi="Arial" w:cs="Arial"/>
        </w:rPr>
        <w:t xml:space="preserve"> </w:t>
      </w:r>
      <w:r w:rsidR="00D9694E" w:rsidRPr="008913E5">
        <w:rPr>
          <w:rFonts w:ascii="Arial" w:hAnsi="Arial" w:cs="Arial"/>
          <w:u w:val="single"/>
        </w:rPr>
        <w:t>Administrative budget showed the best rates in JU history</w:t>
      </w:r>
      <w:r w:rsidR="00D9694E">
        <w:rPr>
          <w:rFonts w:ascii="Arial" w:hAnsi="Arial" w:cs="Arial"/>
        </w:rPr>
        <w:t xml:space="preserve"> at 93% in terms of commitments and 78% in terms of payments.</w:t>
      </w:r>
    </w:p>
    <w:p w14:paraId="11E9F3CD" w14:textId="77777777" w:rsidR="003A2B27" w:rsidRPr="003A2B27" w:rsidRDefault="003A2B27" w:rsidP="003A2B27">
      <w:pPr>
        <w:pStyle w:val="ListParagraph"/>
        <w:spacing w:after="60"/>
        <w:jc w:val="both"/>
        <w:rPr>
          <w:rFonts w:ascii="Arial" w:hAnsi="Arial" w:cs="Arial"/>
        </w:rPr>
      </w:pPr>
    </w:p>
    <w:p w14:paraId="681BC672" w14:textId="6B52A78E" w:rsidR="00843C56" w:rsidRDefault="00843C56" w:rsidP="002672A0">
      <w:pPr>
        <w:pStyle w:val="ListParagraph"/>
        <w:numPr>
          <w:ilvl w:val="0"/>
          <w:numId w:val="27"/>
        </w:numPr>
        <w:spacing w:after="60"/>
        <w:jc w:val="both"/>
        <w:rPr>
          <w:rFonts w:ascii="Arial" w:hAnsi="Arial" w:cs="Arial"/>
        </w:rPr>
      </w:pPr>
      <w:r>
        <w:rPr>
          <w:rFonts w:ascii="Arial" w:hAnsi="Arial" w:cs="Arial"/>
        </w:rPr>
        <w:t>Time-to-pay improved for a 3</w:t>
      </w:r>
      <w:r w:rsidRPr="00843C56">
        <w:rPr>
          <w:rFonts w:ascii="Arial" w:hAnsi="Arial" w:cs="Arial"/>
          <w:vertAlign w:val="superscript"/>
        </w:rPr>
        <w:t>rd</w:t>
      </w:r>
      <w:r>
        <w:rPr>
          <w:rFonts w:ascii="Arial" w:hAnsi="Arial" w:cs="Arial"/>
        </w:rPr>
        <w:t xml:space="preserve"> consecutive year (for operational payments) and for 5</w:t>
      </w:r>
      <w:r w:rsidRPr="00843C56">
        <w:rPr>
          <w:rFonts w:ascii="Arial" w:hAnsi="Arial" w:cs="Arial"/>
          <w:vertAlign w:val="superscript"/>
        </w:rPr>
        <w:t>th</w:t>
      </w:r>
      <w:r>
        <w:rPr>
          <w:rFonts w:ascii="Arial" w:hAnsi="Arial" w:cs="Arial"/>
        </w:rPr>
        <w:t xml:space="preserve"> consecutive year </w:t>
      </w:r>
      <w:r w:rsidR="008913E5">
        <w:rPr>
          <w:rFonts w:ascii="Arial" w:hAnsi="Arial" w:cs="Arial"/>
        </w:rPr>
        <w:t>(</w:t>
      </w:r>
      <w:r>
        <w:rPr>
          <w:rFonts w:ascii="Arial" w:hAnsi="Arial" w:cs="Arial"/>
        </w:rPr>
        <w:t>for administrative payments</w:t>
      </w:r>
      <w:r w:rsidR="008913E5">
        <w:rPr>
          <w:rFonts w:ascii="Arial" w:hAnsi="Arial" w:cs="Arial"/>
        </w:rPr>
        <w:t>)</w:t>
      </w:r>
      <w:r>
        <w:rPr>
          <w:rFonts w:ascii="Arial" w:hAnsi="Arial" w:cs="Arial"/>
        </w:rPr>
        <w:t>.</w:t>
      </w:r>
    </w:p>
    <w:p w14:paraId="5CF2DF3B" w14:textId="77777777" w:rsidR="003A2B27" w:rsidRPr="003A2B27" w:rsidRDefault="003A2B27" w:rsidP="003A2B27">
      <w:pPr>
        <w:pStyle w:val="ListParagraph"/>
        <w:spacing w:after="60"/>
        <w:jc w:val="both"/>
        <w:rPr>
          <w:rFonts w:ascii="Arial" w:hAnsi="Arial" w:cs="Arial"/>
        </w:rPr>
      </w:pPr>
    </w:p>
    <w:p w14:paraId="04AC778E" w14:textId="147BA2A6" w:rsidR="009E761E" w:rsidRPr="008913E5" w:rsidRDefault="009E761E" w:rsidP="002672A0">
      <w:pPr>
        <w:pStyle w:val="ListParagraph"/>
        <w:numPr>
          <w:ilvl w:val="0"/>
          <w:numId w:val="27"/>
        </w:numPr>
        <w:spacing w:after="60"/>
        <w:jc w:val="both"/>
        <w:rPr>
          <w:rFonts w:ascii="Arial" w:hAnsi="Arial" w:cs="Arial"/>
          <w:i/>
          <w:iCs/>
        </w:rPr>
      </w:pPr>
      <w:r w:rsidRPr="008913E5">
        <w:rPr>
          <w:rFonts w:ascii="Arial" w:hAnsi="Arial" w:cs="Arial"/>
          <w:i/>
          <w:iCs/>
        </w:rPr>
        <w:t>Leverage effect and in-kind contributions</w:t>
      </w:r>
    </w:p>
    <w:p w14:paraId="661B708D" w14:textId="5B001BE0" w:rsidR="009E761E" w:rsidRDefault="009E761E" w:rsidP="009E761E">
      <w:pPr>
        <w:pStyle w:val="ListParagraph"/>
        <w:spacing w:after="60"/>
        <w:jc w:val="both"/>
        <w:rPr>
          <w:rFonts w:ascii="Arial" w:hAnsi="Arial" w:cs="Arial"/>
        </w:rPr>
      </w:pPr>
      <w:r w:rsidRPr="009E761E">
        <w:rPr>
          <w:rFonts w:ascii="Arial" w:hAnsi="Arial" w:cs="Arial"/>
        </w:rPr>
        <w:t>By the end of 2021, the JU had supported 134 projects under the H2020 programme for a combined public-private investment close to EUR 1.2 billion. Together with its additional activities, FCH 2 JU managed to achieve a combined amount of private-public investment for the H2020 programme of over EUR 2.2 billion</w:t>
      </w:r>
    </w:p>
    <w:p w14:paraId="2E3A5018" w14:textId="0E1F7BE4" w:rsidR="003A2B27" w:rsidRDefault="003A2B27" w:rsidP="009E761E">
      <w:pPr>
        <w:pStyle w:val="ListParagraph"/>
        <w:spacing w:after="60"/>
        <w:jc w:val="both"/>
        <w:rPr>
          <w:rFonts w:ascii="Arial" w:hAnsi="Arial" w:cs="Arial"/>
        </w:rPr>
      </w:pPr>
    </w:p>
    <w:p w14:paraId="6A9D0915" w14:textId="2DBF230C" w:rsidR="008913E5" w:rsidRPr="00C25187" w:rsidRDefault="00435C2C" w:rsidP="002672A0">
      <w:pPr>
        <w:pStyle w:val="ListParagraph"/>
        <w:numPr>
          <w:ilvl w:val="0"/>
          <w:numId w:val="27"/>
        </w:numPr>
        <w:spacing w:after="60"/>
        <w:jc w:val="both"/>
        <w:rPr>
          <w:rFonts w:ascii="Arial" w:hAnsi="Arial" w:cs="Arial"/>
          <w:i/>
          <w:iCs/>
        </w:rPr>
      </w:pPr>
      <w:r w:rsidRPr="00C25187">
        <w:rPr>
          <w:rFonts w:ascii="Arial" w:hAnsi="Arial" w:cs="Arial"/>
          <w:i/>
          <w:iCs/>
        </w:rPr>
        <w:t>Reinforcement of</w:t>
      </w:r>
      <w:r w:rsidR="009E761E" w:rsidRPr="00C25187">
        <w:rPr>
          <w:rFonts w:ascii="Arial" w:hAnsi="Arial" w:cs="Arial"/>
          <w:i/>
          <w:iCs/>
        </w:rPr>
        <w:t xml:space="preserve"> internal control</w:t>
      </w:r>
      <w:r w:rsidRPr="00C25187">
        <w:rPr>
          <w:rFonts w:ascii="Arial" w:hAnsi="Arial" w:cs="Arial"/>
          <w:i/>
          <w:iCs/>
        </w:rPr>
        <w:t xml:space="preserve"> system</w:t>
      </w:r>
      <w:r w:rsidR="008913E5" w:rsidRPr="00C25187">
        <w:rPr>
          <w:rFonts w:ascii="Arial" w:hAnsi="Arial" w:cs="Arial"/>
          <w:i/>
          <w:iCs/>
        </w:rPr>
        <w:t xml:space="preserve"> </w:t>
      </w:r>
    </w:p>
    <w:p w14:paraId="7B7203D9" w14:textId="651F9E58" w:rsidR="00435C2C" w:rsidRDefault="00435C2C" w:rsidP="00435C2C">
      <w:pPr>
        <w:pStyle w:val="ListParagraph"/>
        <w:spacing w:after="60"/>
        <w:jc w:val="both"/>
        <w:rPr>
          <w:rFonts w:ascii="Arial" w:hAnsi="Arial" w:cs="Arial"/>
        </w:rPr>
      </w:pPr>
      <w:r w:rsidRPr="00435C2C">
        <w:rPr>
          <w:rFonts w:ascii="Arial" w:hAnsi="Arial" w:cs="Arial"/>
        </w:rPr>
        <w:t xml:space="preserve">Due to persistent systemic errors for declared personnel costs, particularly in case of SMEs and new beneficiaries (who are more error-prone than other beneficiaries), </w:t>
      </w:r>
      <w:r w:rsidR="00AC7D8D">
        <w:rPr>
          <w:rFonts w:ascii="Arial" w:hAnsi="Arial" w:cs="Arial"/>
        </w:rPr>
        <w:t>the</w:t>
      </w:r>
      <w:r w:rsidRPr="00435C2C">
        <w:rPr>
          <w:rFonts w:ascii="Arial" w:hAnsi="Arial" w:cs="Arial"/>
        </w:rPr>
        <w:t xml:space="preserve"> JU ha</w:t>
      </w:r>
      <w:r w:rsidR="009E01BC">
        <w:rPr>
          <w:rFonts w:ascii="Arial" w:hAnsi="Arial" w:cs="Arial"/>
        </w:rPr>
        <w:t>d</w:t>
      </w:r>
      <w:r w:rsidRPr="00435C2C">
        <w:rPr>
          <w:rFonts w:ascii="Arial" w:hAnsi="Arial" w:cs="Arial"/>
        </w:rPr>
        <w:t xml:space="preserve"> already strengthened its internal control to address the increased risk regarding SMEs and new beneficiaries.</w:t>
      </w:r>
      <w:r>
        <w:rPr>
          <w:rFonts w:ascii="Arial" w:hAnsi="Arial" w:cs="Arial"/>
        </w:rPr>
        <w:t xml:space="preserve"> The</w:t>
      </w:r>
      <w:r w:rsidR="009E01BC">
        <w:rPr>
          <w:rFonts w:ascii="Arial" w:hAnsi="Arial" w:cs="Arial"/>
        </w:rPr>
        <w:t xml:space="preserve"> results of the</w:t>
      </w:r>
      <w:r>
        <w:rPr>
          <w:rFonts w:ascii="Arial" w:hAnsi="Arial" w:cs="Arial"/>
        </w:rPr>
        <w:t xml:space="preserve">se measures </w:t>
      </w:r>
      <w:r w:rsidR="009E01BC">
        <w:rPr>
          <w:rFonts w:ascii="Arial" w:hAnsi="Arial" w:cs="Arial"/>
        </w:rPr>
        <w:t xml:space="preserve">were evident for the first time in 2021 and </w:t>
      </w:r>
      <w:r>
        <w:rPr>
          <w:rFonts w:ascii="Arial" w:hAnsi="Arial" w:cs="Arial"/>
        </w:rPr>
        <w:t xml:space="preserve">contributed </w:t>
      </w:r>
      <w:r w:rsidR="00811A62">
        <w:rPr>
          <w:rFonts w:ascii="Arial" w:hAnsi="Arial" w:cs="Arial"/>
        </w:rPr>
        <w:t>to</w:t>
      </w:r>
      <w:r>
        <w:rPr>
          <w:rFonts w:ascii="Arial" w:hAnsi="Arial" w:cs="Arial"/>
        </w:rPr>
        <w:t xml:space="preserve"> significantly lowering the representative error rate from </w:t>
      </w:r>
      <w:r w:rsidR="00283405">
        <w:rPr>
          <w:rFonts w:ascii="Arial" w:hAnsi="Arial" w:cs="Arial"/>
        </w:rPr>
        <w:t xml:space="preserve">SMEs </w:t>
      </w:r>
      <w:r>
        <w:rPr>
          <w:rFonts w:ascii="Arial" w:hAnsi="Arial" w:cs="Arial"/>
        </w:rPr>
        <w:t>and new beneficiaries in the last 2 years.</w:t>
      </w:r>
    </w:p>
    <w:p w14:paraId="090A8E9B" w14:textId="77777777" w:rsidR="003A2B27" w:rsidRDefault="003A2B27" w:rsidP="00435C2C">
      <w:pPr>
        <w:pStyle w:val="ListParagraph"/>
        <w:spacing w:after="60"/>
        <w:jc w:val="both"/>
        <w:rPr>
          <w:rFonts w:ascii="Arial" w:hAnsi="Arial" w:cs="Arial"/>
        </w:rPr>
      </w:pPr>
    </w:p>
    <w:p w14:paraId="6182C57C" w14:textId="372EC476" w:rsidR="00435C2C" w:rsidRDefault="00811A62" w:rsidP="003A2B27">
      <w:pPr>
        <w:pStyle w:val="ListParagraph"/>
        <w:numPr>
          <w:ilvl w:val="0"/>
          <w:numId w:val="54"/>
        </w:numPr>
        <w:spacing w:after="60"/>
        <w:ind w:left="709"/>
        <w:jc w:val="both"/>
        <w:rPr>
          <w:rFonts w:ascii="Arial" w:hAnsi="Arial" w:cs="Arial"/>
        </w:rPr>
      </w:pPr>
      <w:r>
        <w:rPr>
          <w:rFonts w:ascii="Arial" w:hAnsi="Arial" w:cs="Arial"/>
        </w:rPr>
        <w:t>The huge preparatory work</w:t>
      </w:r>
      <w:r w:rsidR="009F2E8F">
        <w:rPr>
          <w:rFonts w:ascii="Arial" w:hAnsi="Arial" w:cs="Arial"/>
        </w:rPr>
        <w:t>,</w:t>
      </w:r>
      <w:r>
        <w:rPr>
          <w:rFonts w:ascii="Arial" w:hAnsi="Arial" w:cs="Arial"/>
        </w:rPr>
        <w:t xml:space="preserve"> in support of the Commission</w:t>
      </w:r>
      <w:r w:rsidR="009F2E8F">
        <w:rPr>
          <w:rFonts w:ascii="Arial" w:hAnsi="Arial" w:cs="Arial"/>
        </w:rPr>
        <w:t>,</w:t>
      </w:r>
      <w:r>
        <w:rPr>
          <w:rFonts w:ascii="Arial" w:hAnsi="Arial" w:cs="Arial"/>
        </w:rPr>
        <w:t xml:space="preserve"> for the transition to the new Programme was successfully concluded with the </w:t>
      </w:r>
      <w:r w:rsidR="00BA51BA">
        <w:rPr>
          <w:rFonts w:ascii="Arial" w:hAnsi="Arial" w:cs="Arial"/>
        </w:rPr>
        <w:t>first meeting of the GB</w:t>
      </w:r>
      <w:r w:rsidR="00361F11">
        <w:rPr>
          <w:rFonts w:ascii="Arial" w:hAnsi="Arial" w:cs="Arial"/>
        </w:rPr>
        <w:t>,</w:t>
      </w:r>
      <w:r>
        <w:rPr>
          <w:rFonts w:ascii="Arial" w:hAnsi="Arial" w:cs="Arial"/>
        </w:rPr>
        <w:t xml:space="preserve"> </w:t>
      </w:r>
      <w:r w:rsidR="00BA51BA">
        <w:rPr>
          <w:rFonts w:ascii="Arial" w:hAnsi="Arial" w:cs="Arial"/>
        </w:rPr>
        <w:t>allow</w:t>
      </w:r>
      <w:r w:rsidR="00361F11">
        <w:rPr>
          <w:rFonts w:ascii="Arial" w:hAnsi="Arial" w:cs="Arial"/>
        </w:rPr>
        <w:t>ing</w:t>
      </w:r>
      <w:r w:rsidR="00BA51BA">
        <w:rPr>
          <w:rFonts w:ascii="Arial" w:hAnsi="Arial" w:cs="Arial"/>
        </w:rPr>
        <w:t xml:space="preserve"> </w:t>
      </w:r>
      <w:r w:rsidR="00361F11">
        <w:rPr>
          <w:rFonts w:ascii="Arial" w:hAnsi="Arial" w:cs="Arial"/>
        </w:rPr>
        <w:t>the JU</w:t>
      </w:r>
      <w:r w:rsidR="00BA51BA">
        <w:rPr>
          <w:rFonts w:ascii="Arial" w:hAnsi="Arial" w:cs="Arial"/>
        </w:rPr>
        <w:t xml:space="preserve"> to </w:t>
      </w:r>
      <w:r w:rsidR="00361F11">
        <w:rPr>
          <w:rFonts w:ascii="Arial" w:hAnsi="Arial" w:cs="Arial"/>
        </w:rPr>
        <w:t xml:space="preserve">continue </w:t>
      </w:r>
      <w:r w:rsidR="00BA51BA">
        <w:rPr>
          <w:rFonts w:ascii="Arial" w:hAnsi="Arial" w:cs="Arial"/>
        </w:rPr>
        <w:t>operat</w:t>
      </w:r>
      <w:r w:rsidR="00361F11">
        <w:rPr>
          <w:rFonts w:ascii="Arial" w:hAnsi="Arial" w:cs="Arial"/>
        </w:rPr>
        <w:t>ing</w:t>
      </w:r>
      <w:r w:rsidR="00BA51BA">
        <w:rPr>
          <w:rFonts w:ascii="Arial" w:hAnsi="Arial" w:cs="Arial"/>
        </w:rPr>
        <w:t xml:space="preserve"> as from 30 November 2021.</w:t>
      </w:r>
    </w:p>
    <w:p w14:paraId="647B2269" w14:textId="50D9F057" w:rsidR="00BA51BA" w:rsidRDefault="00BA51BA" w:rsidP="00435C2C">
      <w:pPr>
        <w:pStyle w:val="ListParagraph"/>
        <w:spacing w:after="60"/>
        <w:jc w:val="both"/>
        <w:rPr>
          <w:rFonts w:ascii="Arial" w:hAnsi="Arial" w:cs="Arial"/>
        </w:rPr>
      </w:pPr>
    </w:p>
    <w:p w14:paraId="53E61850" w14:textId="35224727" w:rsidR="00AC6F3D" w:rsidRDefault="00AC6F3D">
      <w:pPr>
        <w:spacing w:after="0" w:line="240" w:lineRule="auto"/>
        <w:rPr>
          <w:rFonts w:ascii="Arial" w:hAnsi="Arial" w:cs="Arial"/>
        </w:rPr>
      </w:pPr>
      <w:r>
        <w:rPr>
          <w:rFonts w:ascii="Arial" w:hAnsi="Arial" w:cs="Arial"/>
        </w:rPr>
        <w:br w:type="page"/>
      </w:r>
    </w:p>
    <w:p w14:paraId="7F107C41" w14:textId="77777777" w:rsidR="003C522F" w:rsidRDefault="003C522F" w:rsidP="00435C2C">
      <w:pPr>
        <w:pStyle w:val="ListParagraph"/>
        <w:spacing w:after="60"/>
        <w:jc w:val="both"/>
        <w:rPr>
          <w:rFonts w:ascii="Arial" w:hAnsi="Arial" w:cs="Arial"/>
        </w:rPr>
      </w:pPr>
    </w:p>
    <w:p w14:paraId="5DE98CEA" w14:textId="080269EE" w:rsidR="00DF1916" w:rsidRPr="003A2B27" w:rsidRDefault="00DF03D2" w:rsidP="00864737">
      <w:pPr>
        <w:pStyle w:val="Heading1"/>
        <w:numPr>
          <w:ilvl w:val="0"/>
          <w:numId w:val="1"/>
        </w:numPr>
        <w:jc w:val="both"/>
        <w:rPr>
          <w:rFonts w:ascii="Arial" w:hAnsi="Arial" w:cs="Arial"/>
          <w:caps/>
        </w:rPr>
      </w:pPr>
      <w:bookmarkStart w:id="9" w:name="_Toc98496323"/>
      <w:bookmarkStart w:id="10" w:name="_Toc101516046"/>
      <w:r w:rsidRPr="003A2B27">
        <w:rPr>
          <w:rFonts w:ascii="Arial" w:hAnsi="Arial" w:cs="Arial"/>
          <w:caps/>
        </w:rPr>
        <w:t>Implementation of the Annual Work Plan</w:t>
      </w:r>
      <w:r w:rsidR="00577FB0" w:rsidRPr="003A2B27">
        <w:rPr>
          <w:rFonts w:ascii="Arial" w:hAnsi="Arial" w:cs="Arial"/>
          <w:caps/>
        </w:rPr>
        <w:t xml:space="preserve"> 20</w:t>
      </w:r>
      <w:r w:rsidR="00801E0D" w:rsidRPr="003A2B27">
        <w:rPr>
          <w:rFonts w:ascii="Arial" w:hAnsi="Arial" w:cs="Arial"/>
          <w:caps/>
        </w:rPr>
        <w:t>21</w:t>
      </w:r>
      <w:bookmarkEnd w:id="9"/>
      <w:bookmarkEnd w:id="10"/>
    </w:p>
    <w:p w14:paraId="3E5474DA" w14:textId="1149A12E" w:rsidR="00DF1916" w:rsidRPr="00F05339" w:rsidRDefault="00DF1916" w:rsidP="00864737">
      <w:pPr>
        <w:pStyle w:val="Heading3"/>
        <w:numPr>
          <w:ilvl w:val="1"/>
          <w:numId w:val="1"/>
        </w:numPr>
        <w:jc w:val="both"/>
        <w:rPr>
          <w:rFonts w:ascii="Arial" w:hAnsi="Arial" w:cs="Arial"/>
        </w:rPr>
      </w:pPr>
      <w:bookmarkStart w:id="11" w:name="_Toc98496324"/>
      <w:bookmarkStart w:id="12" w:name="_Toc101516047"/>
      <w:r w:rsidRPr="00F05339">
        <w:rPr>
          <w:rFonts w:ascii="Arial" w:hAnsi="Arial" w:cs="Arial"/>
        </w:rPr>
        <w:t>Key objectives 20</w:t>
      </w:r>
      <w:r w:rsidR="00801E0D" w:rsidRPr="00F05339">
        <w:rPr>
          <w:rFonts w:ascii="Arial" w:hAnsi="Arial" w:cs="Arial"/>
        </w:rPr>
        <w:t>21</w:t>
      </w:r>
      <w:r w:rsidRPr="00F05339">
        <w:rPr>
          <w:rFonts w:ascii="Arial" w:hAnsi="Arial" w:cs="Arial"/>
        </w:rPr>
        <w:t xml:space="preserve"> and associated risks</w:t>
      </w:r>
      <w:bookmarkEnd w:id="11"/>
      <w:bookmarkEnd w:id="12"/>
    </w:p>
    <w:p w14:paraId="69339EFF" w14:textId="77777777" w:rsidR="006C336C" w:rsidRPr="00F05339" w:rsidRDefault="006C336C" w:rsidP="006C336C">
      <w:pPr>
        <w:jc w:val="both"/>
        <w:rPr>
          <w:rFonts w:ascii="Arial" w:hAnsi="Arial" w:cs="Arial"/>
        </w:rPr>
      </w:pPr>
    </w:p>
    <w:p w14:paraId="7C6794AB" w14:textId="77777777" w:rsidR="006C336C" w:rsidRPr="00F05339" w:rsidRDefault="006C336C" w:rsidP="006C336C">
      <w:pPr>
        <w:jc w:val="both"/>
        <w:rPr>
          <w:rFonts w:ascii="Arial" w:hAnsi="Arial" w:cs="Arial"/>
          <w:b/>
          <w:bCs/>
        </w:rPr>
      </w:pPr>
      <w:r w:rsidRPr="00F05339">
        <w:rPr>
          <w:rFonts w:ascii="Arial" w:hAnsi="Arial" w:cs="Arial"/>
          <w:b/>
          <w:bCs/>
        </w:rPr>
        <w:t>H2020 programme</w:t>
      </w:r>
    </w:p>
    <w:p w14:paraId="2CBF63E0" w14:textId="240E8D39" w:rsidR="006C336C" w:rsidRPr="00F05339" w:rsidRDefault="006C336C" w:rsidP="006C336C">
      <w:pPr>
        <w:jc w:val="both"/>
        <w:rPr>
          <w:rFonts w:ascii="Arial" w:hAnsi="Arial" w:cs="Arial"/>
        </w:rPr>
      </w:pPr>
      <w:r w:rsidRPr="00F05339">
        <w:rPr>
          <w:rFonts w:ascii="Arial" w:hAnsi="Arial" w:cs="Arial"/>
        </w:rPr>
        <w:t>The overall objective of the Fuel Cell</w:t>
      </w:r>
      <w:r w:rsidR="00F05339" w:rsidRPr="00F05339">
        <w:rPr>
          <w:rFonts w:ascii="Arial" w:hAnsi="Arial" w:cs="Arial"/>
          <w:lang w:val="en-US"/>
        </w:rPr>
        <w:t>s</w:t>
      </w:r>
      <w:r w:rsidRPr="00F05339">
        <w:rPr>
          <w:rFonts w:ascii="Arial" w:hAnsi="Arial" w:cs="Arial"/>
        </w:rPr>
        <w:t xml:space="preserve"> and Hydrogen Joint 2 Undertaking (FCH 2 JU) was to implement an optimal research and innovation programme at the EU level to develop a portfolio of clean and efficient solutions that exploit the properties of hydrogen as an energy carrier and fuel cells (FC) as energy converters to the point of market readiness. This will provide feedback and related support to EU policies on sustainable energy and transport, climate change, the environment and industrial competitiveness, as embodied in the Europe 2020 strategy, and job creation. It will also help to achieve the EU’s overarching goal of smart, </w:t>
      </w:r>
      <w:proofErr w:type="gramStart"/>
      <w:r w:rsidRPr="00F05339">
        <w:rPr>
          <w:rFonts w:ascii="Arial" w:hAnsi="Arial" w:cs="Arial"/>
        </w:rPr>
        <w:t>sustainable</w:t>
      </w:r>
      <w:proofErr w:type="gramEnd"/>
      <w:r w:rsidRPr="00F05339">
        <w:rPr>
          <w:rFonts w:ascii="Arial" w:hAnsi="Arial" w:cs="Arial"/>
        </w:rPr>
        <w:t xml:space="preserve"> and inclusive growth. The overall direction of the programme was guided by the multi-annual plans: Multi-Annual Implementation Plan (MAIP) for 2008-2014 under FP7 and Multi-Annual Work Plan (MAWP) for 2014-2020 under Horizon 2020. These plans specify targets for the state of hydrogen technologies in Europe (covering cost, </w:t>
      </w:r>
      <w:proofErr w:type="gramStart"/>
      <w:r w:rsidRPr="00F05339">
        <w:rPr>
          <w:rFonts w:ascii="Arial" w:hAnsi="Arial" w:cs="Arial"/>
        </w:rPr>
        <w:t>durability</w:t>
      </w:r>
      <w:proofErr w:type="gramEnd"/>
      <w:r w:rsidRPr="00F05339">
        <w:rPr>
          <w:rFonts w:ascii="Arial" w:hAnsi="Arial" w:cs="Arial"/>
        </w:rPr>
        <w:t xml:space="preserve"> and performance) and specific key performance indicators (KPIs). The programme’s progress and therefore scientific/technological achievements are always assessed according to the progress towards achieving these targets and KPIs. As the technology has progressed substantially in recent years and new applications have begun to emerge, these KPIs (fixed in 2014) were revised and included in an addendum to the MAWP, endorsed by the JU G</w:t>
      </w:r>
      <w:r w:rsidR="00F05339" w:rsidRPr="00F05339">
        <w:rPr>
          <w:rFonts w:ascii="Arial" w:hAnsi="Arial" w:cs="Arial"/>
        </w:rPr>
        <w:t>overning Board (GB)</w:t>
      </w:r>
      <w:r w:rsidRPr="00F05339">
        <w:rPr>
          <w:rFonts w:ascii="Arial" w:hAnsi="Arial" w:cs="Arial"/>
        </w:rPr>
        <w:t xml:space="preserve"> on 15 June 2018. The main objectives and achievements are presented in Section 1.2.</w:t>
      </w:r>
    </w:p>
    <w:p w14:paraId="456756AD" w14:textId="77777777" w:rsidR="006C336C" w:rsidRPr="00F05339" w:rsidRDefault="006C336C" w:rsidP="006C336C">
      <w:pPr>
        <w:jc w:val="both"/>
        <w:rPr>
          <w:rFonts w:ascii="Arial" w:hAnsi="Arial" w:cs="Arial"/>
          <w:b/>
          <w:bCs/>
        </w:rPr>
      </w:pPr>
      <w:r w:rsidRPr="00F05339">
        <w:rPr>
          <w:rFonts w:ascii="Arial" w:hAnsi="Arial" w:cs="Arial"/>
          <w:b/>
          <w:bCs/>
        </w:rPr>
        <w:t>Horizon Europe programme</w:t>
      </w:r>
    </w:p>
    <w:p w14:paraId="2874FD92" w14:textId="6F98245B" w:rsidR="006C336C" w:rsidRPr="00F05339" w:rsidRDefault="006C336C" w:rsidP="006C336C">
      <w:pPr>
        <w:jc w:val="both"/>
        <w:rPr>
          <w:rFonts w:ascii="Arial" w:hAnsi="Arial" w:cs="Arial"/>
        </w:rPr>
      </w:pPr>
      <w:r w:rsidRPr="00F05339">
        <w:rPr>
          <w:rFonts w:ascii="Arial" w:hAnsi="Arial" w:cs="Arial"/>
        </w:rPr>
        <w:t>The new EU Clean Hydrogen J</w:t>
      </w:r>
      <w:r w:rsidR="00F05339" w:rsidRPr="00F05339">
        <w:rPr>
          <w:rFonts w:ascii="Arial" w:hAnsi="Arial" w:cs="Arial"/>
        </w:rPr>
        <w:t>oint Undertaking</w:t>
      </w:r>
      <w:r w:rsidR="009F2E8F">
        <w:rPr>
          <w:rStyle w:val="FootnoteReference"/>
          <w:rFonts w:ascii="Arial" w:hAnsi="Arial" w:cs="Arial"/>
        </w:rPr>
        <w:footnoteReference w:id="6"/>
      </w:r>
      <w:r w:rsidRPr="00F05339">
        <w:rPr>
          <w:rFonts w:ascii="Arial" w:hAnsi="Arial" w:cs="Arial"/>
        </w:rPr>
        <w:t xml:space="preserve"> launch was announced during the opening keynote by the President von der Leyen at the EU Hydrogen Week 2021</w:t>
      </w:r>
      <w:r w:rsidR="00F05339" w:rsidRPr="00F05339">
        <w:rPr>
          <w:rFonts w:ascii="Arial" w:hAnsi="Arial" w:cs="Arial"/>
        </w:rPr>
        <w:t>, and officially established in November 2021 with the Council Regulation (EU) 2021/2085</w:t>
      </w:r>
      <w:r w:rsidR="00F05339" w:rsidRPr="00F05339">
        <w:rPr>
          <w:rStyle w:val="FootnoteReference"/>
          <w:rFonts w:ascii="Arial" w:hAnsi="Arial" w:cs="Arial"/>
        </w:rPr>
        <w:footnoteReference w:id="7"/>
      </w:r>
      <w:r w:rsidRPr="00F05339">
        <w:rPr>
          <w:rFonts w:ascii="Arial" w:hAnsi="Arial" w:cs="Arial"/>
        </w:rPr>
        <w:t>. The new J</w:t>
      </w:r>
      <w:r w:rsidR="00F05339" w:rsidRPr="00F05339">
        <w:rPr>
          <w:rFonts w:ascii="Arial" w:hAnsi="Arial" w:cs="Arial"/>
        </w:rPr>
        <w:t xml:space="preserve">oint </w:t>
      </w:r>
      <w:r w:rsidRPr="00F05339">
        <w:rPr>
          <w:rFonts w:ascii="Arial" w:hAnsi="Arial" w:cs="Arial"/>
        </w:rPr>
        <w:t>U</w:t>
      </w:r>
      <w:r w:rsidR="00F05339" w:rsidRPr="00F05339">
        <w:rPr>
          <w:rFonts w:ascii="Arial" w:hAnsi="Arial" w:cs="Arial"/>
        </w:rPr>
        <w:t>ndertaking (JU)</w:t>
      </w:r>
      <w:r w:rsidRPr="00F05339">
        <w:rPr>
          <w:rFonts w:ascii="Arial" w:hAnsi="Arial" w:cs="Arial"/>
        </w:rPr>
        <w:t xml:space="preserve"> aims to bring together the European Commission, the hydrogen industry, researchers and innovators as well as </w:t>
      </w:r>
      <w:proofErr w:type="gramStart"/>
      <w:r w:rsidRPr="00F05339">
        <w:rPr>
          <w:rFonts w:ascii="Arial" w:hAnsi="Arial" w:cs="Arial"/>
        </w:rPr>
        <w:t>policy-makers</w:t>
      </w:r>
      <w:proofErr w:type="gramEnd"/>
      <w:r w:rsidRPr="00F05339">
        <w:rPr>
          <w:rFonts w:ascii="Arial" w:hAnsi="Arial" w:cs="Arial"/>
        </w:rPr>
        <w:t xml:space="preserve"> from the Member States, building on the joint efforts of FCH 2 JU.</w:t>
      </w:r>
    </w:p>
    <w:p w14:paraId="2B3091E6" w14:textId="781FA9F9" w:rsidR="006C336C" w:rsidRPr="00F05339" w:rsidRDefault="006C336C" w:rsidP="006C336C">
      <w:pPr>
        <w:jc w:val="both"/>
        <w:rPr>
          <w:rFonts w:ascii="Arial" w:hAnsi="Arial" w:cs="Arial"/>
        </w:rPr>
      </w:pPr>
      <w:r w:rsidRPr="00F05339">
        <w:rPr>
          <w:rFonts w:ascii="Arial" w:hAnsi="Arial" w:cs="Arial"/>
        </w:rPr>
        <w:t>The overall direction of the programme will be guided by a new strategic research and innovation agenda (SRIA), replacing MAWP, which was adopted by the Clean Hydrogen JU</w:t>
      </w:r>
      <w:r w:rsidR="00283405">
        <w:rPr>
          <w:rFonts w:ascii="Arial" w:hAnsi="Arial" w:cs="Arial"/>
        </w:rPr>
        <w:t xml:space="preserve"> Governing Board on</w:t>
      </w:r>
      <w:r w:rsidRPr="00F05339">
        <w:rPr>
          <w:rFonts w:ascii="Arial" w:hAnsi="Arial" w:cs="Arial"/>
        </w:rPr>
        <w:t xml:space="preserve"> 25 February 2022</w:t>
      </w:r>
      <w:r w:rsidRPr="00F05339">
        <w:rPr>
          <w:rStyle w:val="FootnoteReference"/>
          <w:rFonts w:ascii="Arial" w:hAnsi="Arial" w:cs="Arial"/>
        </w:rPr>
        <w:footnoteReference w:id="8"/>
      </w:r>
      <w:r w:rsidRPr="00F05339">
        <w:rPr>
          <w:rFonts w:ascii="Arial" w:hAnsi="Arial" w:cs="Arial"/>
        </w:rPr>
        <w:t>.</w:t>
      </w:r>
    </w:p>
    <w:p w14:paraId="0159DF74" w14:textId="77777777" w:rsidR="006C336C" w:rsidRPr="00F05339" w:rsidRDefault="006C336C" w:rsidP="006C336C">
      <w:pPr>
        <w:spacing w:after="215" w:line="259" w:lineRule="auto"/>
        <w:ind w:left="2" w:hanging="10"/>
        <w:rPr>
          <w:rFonts w:ascii="Arial" w:hAnsi="Arial" w:cs="Arial"/>
        </w:rPr>
      </w:pPr>
      <w:r w:rsidRPr="00F05339">
        <w:rPr>
          <w:rFonts w:ascii="Arial" w:hAnsi="Arial" w:cs="Arial"/>
          <w:color w:val="3A5FAC"/>
        </w:rPr>
        <w:lastRenderedPageBreak/>
        <w:t>Leverage effect in H2020 programme</w:t>
      </w:r>
    </w:p>
    <w:p w14:paraId="6FDE0FC6" w14:textId="77777777" w:rsidR="006C336C" w:rsidRPr="00F05339" w:rsidRDefault="006C336C" w:rsidP="006C336C">
      <w:pPr>
        <w:ind w:left="10" w:right="18"/>
        <w:jc w:val="both"/>
        <w:rPr>
          <w:rFonts w:ascii="Arial" w:hAnsi="Arial" w:cs="Arial"/>
          <w:b/>
        </w:rPr>
      </w:pPr>
      <w:r w:rsidRPr="00F05339">
        <w:rPr>
          <w:rFonts w:ascii="Arial" w:hAnsi="Arial" w:cs="Arial"/>
          <w:b/>
        </w:rPr>
        <w:t xml:space="preserve">A key objective and measure of the JUs’ success is their capacity to leverage private funding. </w:t>
      </w:r>
    </w:p>
    <w:p w14:paraId="42CFC35F" w14:textId="77777777" w:rsidR="006C336C" w:rsidRPr="00F05339" w:rsidRDefault="006C336C" w:rsidP="006C336C">
      <w:pPr>
        <w:ind w:left="10" w:right="18"/>
        <w:jc w:val="both"/>
        <w:rPr>
          <w:rFonts w:ascii="Arial" w:hAnsi="Arial" w:cs="Arial"/>
          <w:b/>
        </w:rPr>
      </w:pPr>
      <w:r w:rsidRPr="00F05339">
        <w:rPr>
          <w:rFonts w:ascii="Arial" w:hAnsi="Arial" w:cs="Arial"/>
        </w:rPr>
        <w:t>The Council Regulation establishing the FCH 2 JU</w:t>
      </w:r>
      <w:r w:rsidRPr="00F05339">
        <w:rPr>
          <w:rFonts w:ascii="Arial" w:hAnsi="Arial" w:cs="Arial"/>
          <w:vertAlign w:val="superscript"/>
        </w:rPr>
        <w:footnoteReference w:id="9"/>
      </w:r>
      <w:r w:rsidRPr="00F05339">
        <w:rPr>
          <w:rFonts w:ascii="Arial" w:hAnsi="Arial" w:cs="Arial"/>
        </w:rPr>
        <w:t xml:space="preserve"> explicitly mentions </w:t>
      </w:r>
      <w:r w:rsidRPr="00F05339">
        <w:rPr>
          <w:rFonts w:ascii="Arial" w:hAnsi="Arial" w:cs="Arial"/>
          <w:b/>
        </w:rPr>
        <w:t>the minimum target leverage effect over the whole 2014-2020 period at 0.57</w:t>
      </w:r>
      <w:r w:rsidRPr="00F05339">
        <w:rPr>
          <w:rStyle w:val="FootnoteReference"/>
          <w:rFonts w:ascii="Arial" w:hAnsi="Arial" w:cs="Arial"/>
          <w:b/>
        </w:rPr>
        <w:footnoteReference w:id="10"/>
      </w:r>
      <w:r w:rsidRPr="00F05339">
        <w:rPr>
          <w:rFonts w:ascii="Arial" w:hAnsi="Arial" w:cs="Arial"/>
          <w:b/>
        </w:rPr>
        <w:t>.</w:t>
      </w:r>
    </w:p>
    <w:p w14:paraId="4B86674F" w14:textId="1DAC5182" w:rsidR="006C336C" w:rsidRPr="00F05339" w:rsidRDefault="006C336C" w:rsidP="006C336C">
      <w:pPr>
        <w:ind w:left="10" w:right="18"/>
        <w:jc w:val="both"/>
        <w:rPr>
          <w:rFonts w:ascii="Arial" w:hAnsi="Arial" w:cs="Arial"/>
        </w:rPr>
      </w:pPr>
      <w:r w:rsidRPr="00F05339">
        <w:rPr>
          <w:rFonts w:ascii="Arial" w:hAnsi="Arial" w:cs="Arial"/>
          <w:b/>
        </w:rPr>
        <w:t>By the end of 2021</w:t>
      </w:r>
      <w:r w:rsidRPr="00F05339">
        <w:rPr>
          <w:rFonts w:ascii="Arial" w:hAnsi="Arial" w:cs="Arial"/>
        </w:rPr>
        <w:t>, under the H2020 programme, the</w:t>
      </w:r>
      <w:r w:rsidR="0064795C">
        <w:rPr>
          <w:rFonts w:ascii="Arial" w:hAnsi="Arial" w:cs="Arial"/>
        </w:rPr>
        <w:t xml:space="preserve"> </w:t>
      </w:r>
      <w:r w:rsidRPr="00F05339">
        <w:rPr>
          <w:rFonts w:ascii="Arial" w:hAnsi="Arial" w:cs="Arial"/>
        </w:rPr>
        <w:t xml:space="preserve">JU had supported </w:t>
      </w:r>
      <w:r w:rsidRPr="00F05339">
        <w:rPr>
          <w:rFonts w:ascii="Arial" w:hAnsi="Arial" w:cs="Arial"/>
          <w:b/>
        </w:rPr>
        <w:t>134 projects for a combined public-private investment close to 1.2 billion</w:t>
      </w:r>
      <w:r w:rsidRPr="00F05339">
        <w:rPr>
          <w:rStyle w:val="FootnoteReference"/>
          <w:rFonts w:ascii="Arial" w:hAnsi="Arial" w:cs="Arial"/>
          <w:b/>
        </w:rPr>
        <w:footnoteReference w:id="11"/>
      </w:r>
      <w:r w:rsidRPr="00F05339">
        <w:rPr>
          <w:rFonts w:ascii="Arial" w:hAnsi="Arial" w:cs="Arial"/>
          <w:b/>
        </w:rPr>
        <w:t xml:space="preserve"> EUR</w:t>
      </w:r>
      <w:r w:rsidRPr="00F05339">
        <w:rPr>
          <w:rFonts w:ascii="Arial" w:hAnsi="Arial" w:cs="Arial"/>
        </w:rPr>
        <w:t xml:space="preserve">. </w:t>
      </w:r>
    </w:p>
    <w:p w14:paraId="7E362F8A" w14:textId="76BFB985" w:rsidR="006C336C" w:rsidRPr="00F05339" w:rsidRDefault="006C336C" w:rsidP="002672A0">
      <w:pPr>
        <w:keepNext/>
        <w:keepLines/>
        <w:numPr>
          <w:ilvl w:val="0"/>
          <w:numId w:val="8"/>
        </w:numPr>
        <w:spacing w:before="40" w:after="0"/>
        <w:outlineLvl w:val="3"/>
        <w:rPr>
          <w:rFonts w:ascii="Arial" w:hAnsi="Arial" w:cs="Arial"/>
          <w:b/>
          <w:bCs/>
          <w:iCs/>
          <w:color w:val="034EA2"/>
        </w:rPr>
      </w:pPr>
      <w:r w:rsidRPr="00F05339">
        <w:rPr>
          <w:rFonts w:ascii="Arial" w:hAnsi="Arial" w:cs="Arial"/>
          <w:b/>
          <w:bCs/>
          <w:iCs/>
          <w:color w:val="034EA2"/>
        </w:rPr>
        <w:t xml:space="preserve">CHART 1.1.1: Total committed private and public investment in JU actions over 2014-2020 in EUR million </w:t>
      </w:r>
    </w:p>
    <w:p w14:paraId="7FCACC45" w14:textId="77777777" w:rsidR="006C336C" w:rsidRPr="00F05339" w:rsidRDefault="006C336C" w:rsidP="006C336C">
      <w:pPr>
        <w:ind w:left="10" w:right="18"/>
        <w:jc w:val="both"/>
        <w:rPr>
          <w:rFonts w:ascii="Arial" w:hAnsi="Arial" w:cs="Arial"/>
          <w:lang w:val="en-US"/>
        </w:rPr>
      </w:pPr>
      <w:r w:rsidRPr="00F05339">
        <w:rPr>
          <w:rFonts w:ascii="Arial" w:hAnsi="Arial" w:cs="Arial"/>
          <w:noProof/>
          <w:lang w:eastAsia="en-GB"/>
        </w:rPr>
        <w:drawing>
          <wp:inline distT="0" distB="0" distL="0" distR="0" wp14:anchorId="6B90AA41" wp14:editId="4214E58B">
            <wp:extent cx="5731510" cy="2694940"/>
            <wp:effectExtent l="0" t="0" r="2540" b="10160"/>
            <wp:docPr id="8" name="Chart 8">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20B7F1C" w14:textId="6B215DE4" w:rsidR="006C336C" w:rsidRPr="00F05339" w:rsidRDefault="006C336C" w:rsidP="006C336C">
      <w:pPr>
        <w:spacing w:after="0" w:line="240" w:lineRule="auto"/>
        <w:jc w:val="both"/>
        <w:rPr>
          <w:rFonts w:ascii="Arial" w:eastAsia="Times New Roman" w:hAnsi="Arial" w:cs="Arial"/>
          <w:color w:val="000000"/>
          <w:lang w:eastAsia="en-GB"/>
        </w:rPr>
      </w:pPr>
      <w:r w:rsidRPr="00F05339">
        <w:rPr>
          <w:rFonts w:ascii="Arial" w:hAnsi="Arial" w:cs="Arial"/>
        </w:rPr>
        <w:t xml:space="preserve">In addition, </w:t>
      </w:r>
      <w:r w:rsidRPr="00F05339">
        <w:rPr>
          <w:rFonts w:ascii="Arial" w:hAnsi="Arial" w:cs="Arial"/>
          <w:b/>
          <w:bCs/>
        </w:rPr>
        <w:t>in 2021</w:t>
      </w:r>
      <w:r w:rsidRPr="00F05339">
        <w:rPr>
          <w:rFonts w:ascii="Arial" w:hAnsi="Arial" w:cs="Arial"/>
        </w:rPr>
        <w:t xml:space="preserve">, industry and research members reached an overall amount of </w:t>
      </w:r>
      <w:r w:rsidRPr="00F05339">
        <w:rPr>
          <w:rFonts w:ascii="Arial" w:hAnsi="Arial" w:cs="Arial"/>
          <w:b/>
          <w:bCs/>
        </w:rPr>
        <w:t>EUR 1.039 million of certified additional activities</w:t>
      </w:r>
      <w:r w:rsidRPr="00F05339">
        <w:rPr>
          <w:rFonts w:ascii="Arial" w:hAnsi="Arial" w:cs="Arial"/>
        </w:rPr>
        <w:t>, so-called IKAA (covering the years 2014-2020)</w:t>
      </w:r>
      <w:r w:rsidR="00C800DE">
        <w:rPr>
          <w:rFonts w:ascii="Arial" w:hAnsi="Arial" w:cs="Arial"/>
        </w:rPr>
        <w:t>.</w:t>
      </w:r>
      <w:r w:rsidRPr="00F05339">
        <w:rPr>
          <w:rFonts w:ascii="Arial" w:hAnsi="Arial" w:cs="Arial"/>
        </w:rPr>
        <w:t xml:space="preserve"> </w:t>
      </w:r>
      <w:r w:rsidRPr="00F05339">
        <w:rPr>
          <w:rFonts w:ascii="Arial" w:eastAsia="Times New Roman" w:hAnsi="Arial" w:cs="Arial"/>
          <w:color w:val="000000"/>
          <w:lang w:eastAsia="en-GB"/>
        </w:rPr>
        <w:t>Due to this high number of certified IKAA, there was no new IKAA plan adopted for year 2021 for Horizon 2020.</w:t>
      </w:r>
    </w:p>
    <w:p w14:paraId="2E181B62" w14:textId="77777777" w:rsidR="006C336C" w:rsidRPr="00F05339" w:rsidRDefault="006C336C" w:rsidP="006C336C">
      <w:pPr>
        <w:ind w:left="10" w:right="18"/>
        <w:jc w:val="both"/>
        <w:rPr>
          <w:rFonts w:ascii="Arial" w:hAnsi="Arial" w:cs="Arial"/>
        </w:rPr>
      </w:pPr>
    </w:p>
    <w:p w14:paraId="6DDF39A5" w14:textId="77777777" w:rsidR="006C336C" w:rsidRPr="00F05339" w:rsidRDefault="006C336C" w:rsidP="006C336C">
      <w:pPr>
        <w:ind w:left="10" w:right="18"/>
        <w:jc w:val="both"/>
        <w:rPr>
          <w:rFonts w:ascii="Arial" w:hAnsi="Arial" w:cs="Arial"/>
        </w:rPr>
      </w:pPr>
      <w:r w:rsidRPr="00F05339">
        <w:rPr>
          <w:rFonts w:ascii="Arial" w:hAnsi="Arial" w:cs="Arial"/>
        </w:rPr>
        <w:t>This demonstrates the sector’s huge success of the H2020 programme and a continuous willingness to invest and grow.</w:t>
      </w:r>
    </w:p>
    <w:p w14:paraId="38A1B931" w14:textId="4AE52453" w:rsidR="006C336C" w:rsidRPr="00F05339" w:rsidRDefault="006C336C" w:rsidP="006C336C">
      <w:pPr>
        <w:ind w:left="10" w:right="18"/>
        <w:jc w:val="both"/>
        <w:rPr>
          <w:rFonts w:ascii="Arial" w:hAnsi="Arial" w:cs="Arial"/>
        </w:rPr>
      </w:pPr>
      <w:r w:rsidRPr="00F05339">
        <w:rPr>
          <w:rFonts w:ascii="Arial" w:hAnsi="Arial" w:cs="Arial"/>
        </w:rPr>
        <w:t>By combining committed EU and private funds in the JU actions with the amount of the certified additional activities for the years 2014-2020, at the end of the year 2021, a total EUR 2.22 billion programme can be observed:</w:t>
      </w:r>
    </w:p>
    <w:p w14:paraId="2F4A5E19" w14:textId="0782444C" w:rsidR="006C336C" w:rsidRPr="00F05339" w:rsidRDefault="004C118B" w:rsidP="006C336C">
      <w:pPr>
        <w:spacing w:after="0" w:line="240" w:lineRule="auto"/>
        <w:rPr>
          <w:rFonts w:ascii="Arial" w:eastAsia="Times New Roman" w:hAnsi="Arial" w:cs="Arial"/>
          <w:b/>
          <w:bCs/>
          <w:lang w:eastAsia="en-GB"/>
        </w:rPr>
      </w:pPr>
      <w:r>
        <w:rPr>
          <w:rFonts w:ascii="Arial" w:eastAsia="Times New Roman" w:hAnsi="Arial" w:cs="Arial"/>
          <w:b/>
          <w:bCs/>
          <w:lang w:eastAsia="en-GB"/>
        </w:rPr>
        <w:t>CHART 1.1.2</w:t>
      </w:r>
      <w:r w:rsidR="006C336C" w:rsidRPr="00F05339">
        <w:rPr>
          <w:rFonts w:ascii="Arial" w:eastAsia="Times New Roman" w:hAnsi="Arial" w:cs="Arial"/>
          <w:b/>
          <w:bCs/>
          <w:lang w:eastAsia="en-GB"/>
        </w:rPr>
        <w:t>: EU/PRIVATE INVESTMENTS IN JU ACTIONS VS. IKAA FOR 2014-2021, IN EUR BILLION</w:t>
      </w:r>
    </w:p>
    <w:p w14:paraId="5308C1FE" w14:textId="77777777" w:rsidR="006C336C" w:rsidRPr="00F05339" w:rsidRDefault="006C336C" w:rsidP="006C336C">
      <w:pPr>
        <w:ind w:left="10" w:right="18"/>
        <w:jc w:val="center"/>
        <w:rPr>
          <w:rFonts w:ascii="Arial" w:hAnsi="Arial" w:cs="Arial"/>
        </w:rPr>
      </w:pPr>
      <w:r w:rsidRPr="00F05339">
        <w:rPr>
          <w:rFonts w:ascii="Arial" w:hAnsi="Arial" w:cs="Arial"/>
          <w:noProof/>
          <w:lang w:eastAsia="en-GB"/>
        </w:rPr>
        <w:lastRenderedPageBreak/>
        <w:drawing>
          <wp:inline distT="0" distB="0" distL="0" distR="0" wp14:anchorId="68470142" wp14:editId="3EE54C60">
            <wp:extent cx="4572000" cy="2647950"/>
            <wp:effectExtent l="0" t="0" r="0" b="0"/>
            <wp:docPr id="9" name="Chart 9">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1207101B" w14:textId="77777777" w:rsidR="006C336C" w:rsidRPr="00F05339" w:rsidRDefault="006C336C" w:rsidP="006C336C">
      <w:pPr>
        <w:ind w:left="10" w:right="18"/>
        <w:jc w:val="both"/>
        <w:rPr>
          <w:rFonts w:ascii="Arial" w:hAnsi="Arial" w:cs="Arial"/>
        </w:rPr>
      </w:pPr>
    </w:p>
    <w:p w14:paraId="3E3E2E86" w14:textId="77777777" w:rsidR="006C336C" w:rsidRPr="00F05339" w:rsidRDefault="006C336C" w:rsidP="006C336C">
      <w:pPr>
        <w:ind w:right="18"/>
        <w:jc w:val="both"/>
        <w:rPr>
          <w:rFonts w:ascii="Arial" w:hAnsi="Arial" w:cs="Arial"/>
          <w:b/>
          <w:i/>
        </w:rPr>
      </w:pPr>
      <w:r w:rsidRPr="00F05339">
        <w:rPr>
          <w:rFonts w:ascii="Arial" w:hAnsi="Arial" w:cs="Arial"/>
          <w:b/>
          <w:i/>
        </w:rPr>
        <w:t>Values of leverage effect for the Calls concluded by December 2021</w:t>
      </w:r>
    </w:p>
    <w:p w14:paraId="604F2635" w14:textId="0C3F0CC8" w:rsidR="006C336C" w:rsidRPr="00F05339" w:rsidRDefault="006C336C" w:rsidP="006C336C">
      <w:pPr>
        <w:keepNext/>
        <w:keepLines/>
        <w:spacing w:before="40" w:after="0"/>
        <w:outlineLvl w:val="3"/>
        <w:rPr>
          <w:rFonts w:ascii="Arial" w:hAnsi="Arial" w:cs="Arial"/>
          <w:iCs/>
          <w:color w:val="034EA2"/>
        </w:rPr>
      </w:pPr>
      <w:r w:rsidRPr="00F05339">
        <w:rPr>
          <w:rFonts w:ascii="Arial" w:hAnsi="Arial" w:cs="Arial"/>
          <w:iCs/>
          <w:color w:val="034EA2"/>
        </w:rPr>
        <w:t>Chart 1.</w:t>
      </w:r>
      <w:r w:rsidR="004C118B">
        <w:rPr>
          <w:rFonts w:ascii="Arial" w:hAnsi="Arial" w:cs="Arial"/>
          <w:iCs/>
          <w:color w:val="034EA2"/>
        </w:rPr>
        <w:t>1</w:t>
      </w:r>
      <w:r w:rsidRPr="00F05339">
        <w:rPr>
          <w:rFonts w:ascii="Arial" w:hAnsi="Arial" w:cs="Arial"/>
          <w:iCs/>
          <w:color w:val="034EA2"/>
        </w:rPr>
        <w:t>.</w:t>
      </w:r>
      <w:r w:rsidR="004C118B">
        <w:rPr>
          <w:rFonts w:ascii="Arial" w:hAnsi="Arial" w:cs="Arial"/>
          <w:iCs/>
          <w:color w:val="034EA2"/>
        </w:rPr>
        <w:t>3</w:t>
      </w:r>
      <w:r w:rsidRPr="00F05339">
        <w:rPr>
          <w:rFonts w:ascii="Arial" w:hAnsi="Arial" w:cs="Arial"/>
          <w:iCs/>
          <w:color w:val="034EA2"/>
        </w:rPr>
        <w:t xml:space="preserve">: Total committed private and public investment in JU over the period of 2014-2021 (committed private funding in all signed FCH 2 JU actions and certified </w:t>
      </w:r>
      <w:r w:rsidRPr="00F05339">
        <w:rPr>
          <w:rFonts w:ascii="Arial" w:hAnsi="Arial" w:cs="Arial"/>
          <w:i/>
          <w:iCs/>
          <w:color w:val="034EA2"/>
        </w:rPr>
        <w:t>additional activities</w:t>
      </w:r>
      <w:r w:rsidRPr="00F05339">
        <w:rPr>
          <w:rFonts w:ascii="Arial" w:hAnsi="Arial" w:cs="Arial"/>
          <w:iCs/>
          <w:color w:val="034EA2"/>
        </w:rPr>
        <w:t xml:space="preserve"> 2014-2020) up to 31 December 2021 </w:t>
      </w:r>
    </w:p>
    <w:p w14:paraId="702F312A" w14:textId="18D4D100" w:rsidR="006C336C" w:rsidRPr="00F05339" w:rsidRDefault="000A1D52" w:rsidP="000A1D52">
      <w:pPr>
        <w:pStyle w:val="ListParagraph"/>
        <w:spacing w:after="0"/>
        <w:ind w:left="370" w:right="17"/>
        <w:jc w:val="center"/>
        <w:rPr>
          <w:rFonts w:ascii="Arial" w:hAnsi="Arial" w:cs="Arial"/>
          <w:highlight w:val="yellow"/>
        </w:rPr>
      </w:pPr>
      <w:r>
        <w:rPr>
          <w:rFonts w:ascii="Arial" w:hAnsi="Arial" w:cs="Arial"/>
          <w:noProof/>
          <w:highlight w:val="yellow"/>
        </w:rPr>
        <w:drawing>
          <wp:inline distT="0" distB="0" distL="0" distR="0" wp14:anchorId="6E79985E" wp14:editId="0EACE44A">
            <wp:extent cx="4508238" cy="2340000"/>
            <wp:effectExtent l="0" t="0" r="6985" b="31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08238" cy="2340000"/>
                    </a:xfrm>
                    <a:prstGeom prst="rect">
                      <a:avLst/>
                    </a:prstGeom>
                    <a:noFill/>
                  </pic:spPr>
                </pic:pic>
              </a:graphicData>
            </a:graphic>
          </wp:inline>
        </w:drawing>
      </w:r>
    </w:p>
    <w:p w14:paraId="618C1DB3" w14:textId="575C3B8F" w:rsidR="00713EEB" w:rsidRDefault="00713EEB" w:rsidP="006C336C">
      <w:pPr>
        <w:pStyle w:val="ListParagraph"/>
        <w:spacing w:after="0"/>
        <w:ind w:left="370" w:right="17"/>
        <w:jc w:val="both"/>
        <w:rPr>
          <w:rFonts w:ascii="Arial" w:hAnsi="Arial" w:cs="Arial"/>
          <w:highlight w:val="yellow"/>
        </w:rPr>
      </w:pPr>
    </w:p>
    <w:p w14:paraId="5DB18858" w14:textId="77777777" w:rsidR="00713EEB" w:rsidRPr="00F05339" w:rsidRDefault="00713EEB" w:rsidP="00713EEB">
      <w:pPr>
        <w:jc w:val="both"/>
        <w:rPr>
          <w:rFonts w:ascii="Arial" w:hAnsi="Arial" w:cs="Arial"/>
        </w:rPr>
      </w:pPr>
      <w:r w:rsidRPr="00F05339">
        <w:rPr>
          <w:rFonts w:ascii="Arial" w:hAnsi="Arial" w:cs="Arial"/>
        </w:rPr>
        <w:t xml:space="preserve">This overall level of the leveraged funding clearly demonstrates a huge commitment of the private sector, significantly </w:t>
      </w:r>
      <w:r w:rsidRPr="00F05339">
        <w:rPr>
          <w:rFonts w:ascii="Arial" w:hAnsi="Arial" w:cs="Arial"/>
          <w:b/>
        </w:rPr>
        <w:t>exceeding the set targets in the FCH 2 JU Council Regulation</w:t>
      </w:r>
      <w:r w:rsidRPr="00F05339">
        <w:rPr>
          <w:rFonts w:ascii="Arial" w:hAnsi="Arial" w:cs="Arial"/>
        </w:rPr>
        <w:t>.</w:t>
      </w:r>
    </w:p>
    <w:p w14:paraId="44BA6F73" w14:textId="77777777" w:rsidR="006C336C" w:rsidRPr="00F05339" w:rsidRDefault="006C336C" w:rsidP="006C336C">
      <w:pPr>
        <w:pStyle w:val="ListParagraph"/>
        <w:spacing w:after="0"/>
        <w:ind w:left="370" w:right="17"/>
        <w:jc w:val="both"/>
        <w:rPr>
          <w:rFonts w:ascii="Arial" w:hAnsi="Arial" w:cs="Arial"/>
          <w:highlight w:val="yellow"/>
        </w:rPr>
      </w:pPr>
    </w:p>
    <w:p w14:paraId="3F525DC1" w14:textId="77777777" w:rsidR="006C336C" w:rsidRPr="00F05339" w:rsidRDefault="006C336C" w:rsidP="006C336C">
      <w:pPr>
        <w:spacing w:after="215" w:line="259" w:lineRule="auto"/>
        <w:ind w:left="2" w:hanging="10"/>
        <w:rPr>
          <w:rFonts w:ascii="Arial" w:hAnsi="Arial" w:cs="Arial"/>
        </w:rPr>
      </w:pPr>
      <w:r w:rsidRPr="00F05339">
        <w:rPr>
          <w:rFonts w:ascii="Arial" w:hAnsi="Arial" w:cs="Arial"/>
          <w:color w:val="3A5FAC"/>
        </w:rPr>
        <w:t>Leverage effect in Horizon Europe programme</w:t>
      </w:r>
    </w:p>
    <w:p w14:paraId="55E379D2" w14:textId="77777777" w:rsidR="006C336C" w:rsidRPr="00F05339" w:rsidRDefault="006C336C" w:rsidP="006C336C">
      <w:pPr>
        <w:spacing w:after="0"/>
        <w:ind w:right="17"/>
        <w:jc w:val="both"/>
        <w:rPr>
          <w:rFonts w:ascii="Arial" w:hAnsi="Arial" w:cs="Arial"/>
        </w:rPr>
      </w:pPr>
      <w:r w:rsidRPr="00F05339">
        <w:rPr>
          <w:rFonts w:ascii="Arial" w:hAnsi="Arial" w:cs="Arial"/>
        </w:rPr>
        <w:t>The new Council Regulation</w:t>
      </w:r>
      <w:r w:rsidRPr="00F05339">
        <w:rPr>
          <w:rStyle w:val="FootnoteReference"/>
          <w:rFonts w:ascii="Arial" w:hAnsi="Arial" w:cs="Arial"/>
        </w:rPr>
        <w:footnoteReference w:id="12"/>
      </w:r>
      <w:r w:rsidRPr="00F05339">
        <w:rPr>
          <w:rFonts w:ascii="Arial" w:hAnsi="Arial" w:cs="Arial"/>
        </w:rPr>
        <w:t xml:space="preserve"> is based on the principles and criteria set out in the Horizon Europe Regulation</w:t>
      </w:r>
      <w:r w:rsidRPr="00F05339">
        <w:rPr>
          <w:rStyle w:val="FootnoteReference"/>
          <w:rFonts w:ascii="Arial" w:hAnsi="Arial" w:cs="Arial"/>
        </w:rPr>
        <w:footnoteReference w:id="13"/>
      </w:r>
      <w:r w:rsidRPr="00F05339">
        <w:rPr>
          <w:rFonts w:ascii="Arial" w:hAnsi="Arial" w:cs="Arial"/>
        </w:rPr>
        <w:t>, including openness and transparency, a strong leverage effect and long-term commitments of all the involved parties.</w:t>
      </w:r>
    </w:p>
    <w:p w14:paraId="12C55CC9" w14:textId="77777777" w:rsidR="006C336C" w:rsidRPr="00F05339" w:rsidRDefault="006C336C" w:rsidP="006C336C">
      <w:pPr>
        <w:spacing w:after="0"/>
        <w:ind w:right="17"/>
        <w:jc w:val="both"/>
        <w:rPr>
          <w:rFonts w:ascii="Arial" w:hAnsi="Arial" w:cs="Arial"/>
        </w:rPr>
      </w:pPr>
    </w:p>
    <w:p w14:paraId="38854949" w14:textId="77777777" w:rsidR="006C336C" w:rsidRPr="00F05339" w:rsidRDefault="006C336C" w:rsidP="006C336C">
      <w:pPr>
        <w:spacing w:after="0"/>
        <w:ind w:right="17"/>
        <w:jc w:val="both"/>
        <w:rPr>
          <w:rFonts w:ascii="Arial" w:hAnsi="Arial" w:cs="Arial"/>
        </w:rPr>
      </w:pPr>
      <w:r w:rsidRPr="00F05339">
        <w:rPr>
          <w:rFonts w:ascii="Arial" w:hAnsi="Arial" w:cs="Arial"/>
        </w:rPr>
        <w:lastRenderedPageBreak/>
        <w:t>According to the new Council Regulation (ref. to Article 171), the joint undertakings shall organise the continuous monitoring and reporting of the management and implementation of their activities and periodic reviews of the outputs, results and impacts of the funded indirect actions implemented in accordance with Article 50 of and Annex III to the Horizon Europe Regulation. That monitoring and reporting shall include (among others):</w:t>
      </w:r>
    </w:p>
    <w:p w14:paraId="6C594D2F" w14:textId="77777777" w:rsidR="006C336C" w:rsidRPr="00F05339" w:rsidRDefault="006C336C" w:rsidP="002672A0">
      <w:pPr>
        <w:pStyle w:val="ListParagraph"/>
        <w:numPr>
          <w:ilvl w:val="0"/>
          <w:numId w:val="12"/>
        </w:numPr>
        <w:spacing w:after="0"/>
        <w:ind w:right="17"/>
        <w:jc w:val="both"/>
        <w:rPr>
          <w:rFonts w:ascii="Arial" w:hAnsi="Arial" w:cs="Arial"/>
        </w:rPr>
      </w:pPr>
      <w:r w:rsidRPr="00F05339">
        <w:rPr>
          <w:rFonts w:ascii="Arial" w:hAnsi="Arial" w:cs="Arial"/>
        </w:rPr>
        <w:t xml:space="preserve">information on quantitative and qualitative leverage effects, including on committed and </w:t>
      </w:r>
      <w:proofErr w:type="gramStart"/>
      <w:r w:rsidRPr="00F05339">
        <w:rPr>
          <w:rFonts w:ascii="Arial" w:hAnsi="Arial" w:cs="Arial"/>
        </w:rPr>
        <w:t>actually provided</w:t>
      </w:r>
      <w:proofErr w:type="gramEnd"/>
      <w:r w:rsidRPr="00F05339">
        <w:rPr>
          <w:rFonts w:ascii="Arial" w:hAnsi="Arial" w:cs="Arial"/>
        </w:rPr>
        <w:t xml:space="preserve"> financial and in-kind contributions, visibility and positioning in the international context, impact on research and innovation related risks of private sector investments.</w:t>
      </w:r>
    </w:p>
    <w:p w14:paraId="38F2F1D8" w14:textId="77777777" w:rsidR="006C336C" w:rsidRPr="00F05339" w:rsidRDefault="006C336C" w:rsidP="006C336C">
      <w:pPr>
        <w:spacing w:after="0"/>
        <w:ind w:right="17"/>
        <w:jc w:val="both"/>
        <w:rPr>
          <w:rFonts w:ascii="Arial" w:hAnsi="Arial" w:cs="Arial"/>
        </w:rPr>
      </w:pPr>
    </w:p>
    <w:p w14:paraId="5B34C95A" w14:textId="77777777" w:rsidR="006C336C" w:rsidRPr="00F05339" w:rsidRDefault="006C336C" w:rsidP="006C336C">
      <w:pPr>
        <w:spacing w:after="0"/>
        <w:ind w:right="17"/>
        <w:jc w:val="both"/>
        <w:rPr>
          <w:rFonts w:ascii="Arial" w:hAnsi="Arial" w:cs="Arial"/>
        </w:rPr>
      </w:pPr>
      <w:r w:rsidRPr="00F05339">
        <w:rPr>
          <w:rFonts w:ascii="Arial" w:hAnsi="Arial" w:cs="Arial"/>
        </w:rPr>
        <w:t xml:space="preserve">Annex III of the Horizon Europe Regulation requires that </w:t>
      </w:r>
      <w:r w:rsidRPr="00F05339">
        <w:rPr>
          <w:rFonts w:ascii="Arial" w:hAnsi="Arial" w:cs="Arial"/>
          <w:b/>
          <w:bCs/>
        </w:rPr>
        <w:t>the financial or in-kind contributions from members other than the Union should be at least equal to 50 % and may reach up to 75 % of the aggregated joint undertaking budgetary commitments</w:t>
      </w:r>
      <w:r w:rsidRPr="00F05339">
        <w:rPr>
          <w:rFonts w:ascii="Arial" w:hAnsi="Arial" w:cs="Arial"/>
        </w:rPr>
        <w:t>.</w:t>
      </w:r>
    </w:p>
    <w:p w14:paraId="131D7264" w14:textId="77777777" w:rsidR="006C336C" w:rsidRPr="00F05339" w:rsidRDefault="006C336C" w:rsidP="006C336C">
      <w:pPr>
        <w:spacing w:after="0"/>
        <w:ind w:right="17"/>
        <w:jc w:val="both"/>
        <w:rPr>
          <w:rFonts w:ascii="Arial" w:hAnsi="Arial" w:cs="Arial"/>
        </w:rPr>
      </w:pPr>
    </w:p>
    <w:p w14:paraId="6BBA20FF" w14:textId="77777777" w:rsidR="006C336C" w:rsidRPr="00F05339" w:rsidRDefault="006C336C" w:rsidP="006C336C">
      <w:pPr>
        <w:spacing w:after="0"/>
        <w:ind w:right="17"/>
        <w:jc w:val="both"/>
        <w:rPr>
          <w:rFonts w:ascii="Arial" w:hAnsi="Arial" w:cs="Arial"/>
        </w:rPr>
      </w:pPr>
      <w:r w:rsidRPr="00F05339">
        <w:rPr>
          <w:rFonts w:ascii="Arial" w:hAnsi="Arial" w:cs="Arial"/>
        </w:rPr>
        <w:t xml:space="preserve">The Union should be </w:t>
      </w:r>
      <w:proofErr w:type="gramStart"/>
      <w:r w:rsidRPr="00F05339">
        <w:rPr>
          <w:rFonts w:ascii="Arial" w:hAnsi="Arial" w:cs="Arial"/>
        </w:rPr>
        <w:t>in a position</w:t>
      </w:r>
      <w:proofErr w:type="gramEnd"/>
      <w:r w:rsidRPr="00F05339">
        <w:rPr>
          <w:rFonts w:ascii="Arial" w:hAnsi="Arial" w:cs="Arial"/>
        </w:rPr>
        <w:t xml:space="preserve"> to reduce its contribution if members other than the Union fail to fulfil their commitments.</w:t>
      </w:r>
    </w:p>
    <w:p w14:paraId="5E90B917" w14:textId="77777777" w:rsidR="006C336C" w:rsidRPr="00F05339" w:rsidRDefault="006C336C" w:rsidP="006C336C">
      <w:pPr>
        <w:spacing w:after="0"/>
        <w:ind w:right="17"/>
        <w:jc w:val="both"/>
        <w:rPr>
          <w:rFonts w:ascii="Arial" w:hAnsi="Arial" w:cs="Arial"/>
        </w:rPr>
      </w:pPr>
    </w:p>
    <w:p w14:paraId="71199B44" w14:textId="77777777" w:rsidR="006C336C" w:rsidRPr="00F05339" w:rsidRDefault="006C336C" w:rsidP="006C336C">
      <w:pPr>
        <w:spacing w:after="0"/>
        <w:ind w:right="17"/>
        <w:jc w:val="both"/>
        <w:rPr>
          <w:rFonts w:ascii="Arial" w:hAnsi="Arial" w:cs="Arial"/>
        </w:rPr>
      </w:pPr>
      <w:r w:rsidRPr="00F05339">
        <w:rPr>
          <w:rFonts w:ascii="Arial" w:hAnsi="Arial" w:cs="Arial"/>
        </w:rPr>
        <w:t>For the Clean Hydrogen JU, specific leverage targets have been defined as following:</w:t>
      </w:r>
    </w:p>
    <w:p w14:paraId="48067AD2" w14:textId="77777777" w:rsidR="006C336C" w:rsidRPr="00F05339" w:rsidRDefault="006C336C" w:rsidP="006C336C">
      <w:pPr>
        <w:autoSpaceDE w:val="0"/>
        <w:autoSpaceDN w:val="0"/>
        <w:adjustRightInd w:val="0"/>
        <w:spacing w:after="0" w:line="240" w:lineRule="auto"/>
        <w:rPr>
          <w:rFonts w:ascii="Arial" w:hAnsi="Arial" w:cs="Arial"/>
          <w:color w:val="000000"/>
          <w:sz w:val="24"/>
          <w:szCs w:val="24"/>
          <w:lang w:eastAsia="en-GB"/>
        </w:rPr>
      </w:pPr>
    </w:p>
    <w:p w14:paraId="3BA2A2EE" w14:textId="77777777" w:rsidR="006C336C" w:rsidRPr="00F05339" w:rsidRDefault="006C336C" w:rsidP="006C336C">
      <w:pPr>
        <w:ind w:left="10" w:right="18"/>
        <w:jc w:val="both"/>
        <w:rPr>
          <w:rFonts w:ascii="Arial" w:hAnsi="Arial" w:cs="Arial"/>
          <w:b/>
        </w:rPr>
      </w:pPr>
      <w:r w:rsidRPr="00F05339">
        <w:rPr>
          <w:rFonts w:ascii="Arial" w:hAnsi="Arial" w:cs="Arial"/>
          <w:b/>
        </w:rPr>
        <w:t>Union financial contribution (Article 76):</w:t>
      </w:r>
    </w:p>
    <w:p w14:paraId="695159BA" w14:textId="77777777" w:rsidR="006C336C" w:rsidRPr="00F05339" w:rsidRDefault="006C336C" w:rsidP="006C336C">
      <w:pPr>
        <w:spacing w:after="0"/>
        <w:ind w:right="17"/>
        <w:jc w:val="both"/>
        <w:rPr>
          <w:rFonts w:ascii="Arial" w:hAnsi="Arial" w:cs="Arial"/>
        </w:rPr>
      </w:pPr>
      <w:r w:rsidRPr="00F05339">
        <w:rPr>
          <w:rFonts w:ascii="Arial" w:hAnsi="Arial" w:cs="Arial"/>
        </w:rPr>
        <w:t>The Union financial contribution to the Clean Hydrogen Joint Undertaking, including EEA appropriations, to cover administrative and operational costs shall be up to EUR 1 000 000 000, including up to EUR 30 193 000 for administrative costs.</w:t>
      </w:r>
    </w:p>
    <w:p w14:paraId="70EC2988" w14:textId="77777777" w:rsidR="006C336C" w:rsidRPr="00F05339" w:rsidRDefault="006C336C" w:rsidP="006C336C">
      <w:pPr>
        <w:spacing w:after="0"/>
        <w:ind w:right="17"/>
        <w:jc w:val="both"/>
        <w:rPr>
          <w:rFonts w:ascii="Arial" w:hAnsi="Arial" w:cs="Arial"/>
        </w:rPr>
      </w:pPr>
    </w:p>
    <w:p w14:paraId="2F023500" w14:textId="77777777" w:rsidR="006C336C" w:rsidRPr="00F05339" w:rsidRDefault="006C336C" w:rsidP="006C336C">
      <w:pPr>
        <w:ind w:left="10" w:right="18"/>
        <w:jc w:val="both"/>
        <w:rPr>
          <w:rFonts w:ascii="Arial" w:hAnsi="Arial" w:cs="Arial"/>
          <w:b/>
        </w:rPr>
      </w:pPr>
      <w:r w:rsidRPr="00F05339">
        <w:rPr>
          <w:rFonts w:ascii="Arial" w:hAnsi="Arial" w:cs="Arial"/>
          <w:b/>
        </w:rPr>
        <w:t>Contributions from members other than the Union (Article 77):</w:t>
      </w:r>
    </w:p>
    <w:p w14:paraId="02B81EBD" w14:textId="05F43913" w:rsidR="006C336C" w:rsidRPr="00F05339" w:rsidRDefault="006C336C" w:rsidP="006C336C">
      <w:pPr>
        <w:ind w:left="10" w:right="18"/>
        <w:jc w:val="both"/>
        <w:rPr>
          <w:rFonts w:ascii="Arial" w:hAnsi="Arial" w:cs="Arial"/>
          <w:bCs/>
        </w:rPr>
      </w:pPr>
      <w:r w:rsidRPr="00F05339">
        <w:rPr>
          <w:rFonts w:ascii="Arial" w:hAnsi="Arial" w:cs="Arial"/>
          <w:bCs/>
        </w:rPr>
        <w:t xml:space="preserve">The members of the Clean Hydrogen Joint Undertaking other than the Union shall make or arrange for their constituent or affiliated entities to make a total contribution of at least EUR 1 000 000 000, including up to EUR 30 193 000 for administrative costs, over the period </w:t>
      </w:r>
      <w:r w:rsidR="00D0629D">
        <w:rPr>
          <w:rFonts w:ascii="Arial" w:hAnsi="Arial" w:cs="Arial"/>
          <w:bCs/>
        </w:rPr>
        <w:t>ending 31 December 2031.</w:t>
      </w:r>
    </w:p>
    <w:p w14:paraId="6C7FF50D" w14:textId="77777777" w:rsidR="006C336C" w:rsidRPr="00F05339" w:rsidRDefault="006C336C" w:rsidP="006C336C">
      <w:pPr>
        <w:spacing w:after="0"/>
        <w:ind w:right="17"/>
        <w:jc w:val="both"/>
        <w:rPr>
          <w:rFonts w:ascii="Arial" w:hAnsi="Arial" w:cs="Arial"/>
        </w:rPr>
      </w:pPr>
    </w:p>
    <w:p w14:paraId="03E8DD01" w14:textId="69DA0B0D" w:rsidR="006C336C" w:rsidRDefault="00713EEB" w:rsidP="000A1D52">
      <w:pPr>
        <w:ind w:left="10" w:right="18"/>
        <w:jc w:val="both"/>
        <w:rPr>
          <w:rFonts w:ascii="Arial" w:hAnsi="Arial" w:cs="Arial"/>
        </w:rPr>
      </w:pPr>
      <w:r w:rsidRPr="00F05339">
        <w:rPr>
          <w:rFonts w:ascii="Arial" w:hAnsi="Arial" w:cs="Arial"/>
        </w:rPr>
        <w:t xml:space="preserve">More details on in-kind contributions for additional activities can be found </w:t>
      </w:r>
      <w:r w:rsidRPr="00B24936">
        <w:rPr>
          <w:rFonts w:ascii="Arial" w:hAnsi="Arial" w:cs="Arial"/>
        </w:rPr>
        <w:t>in section 1.7.</w:t>
      </w:r>
    </w:p>
    <w:p w14:paraId="63D9C24D" w14:textId="77777777" w:rsidR="00713EEB" w:rsidRPr="00F05339" w:rsidRDefault="00713EEB" w:rsidP="006C336C">
      <w:pPr>
        <w:spacing w:after="0"/>
        <w:ind w:right="17"/>
        <w:jc w:val="both"/>
        <w:rPr>
          <w:rFonts w:ascii="Arial" w:hAnsi="Arial" w:cs="Arial"/>
        </w:rPr>
      </w:pPr>
    </w:p>
    <w:p w14:paraId="17731B59" w14:textId="77777777" w:rsidR="006C336C" w:rsidRPr="006B7C68" w:rsidRDefault="006C336C" w:rsidP="006B7C68">
      <w:pPr>
        <w:spacing w:after="215" w:line="259" w:lineRule="auto"/>
        <w:ind w:left="2" w:hanging="10"/>
        <w:rPr>
          <w:rFonts w:ascii="Arial" w:hAnsi="Arial" w:cs="Arial"/>
          <w:color w:val="3A5FAC"/>
        </w:rPr>
      </w:pPr>
      <w:r w:rsidRPr="006B7C68">
        <w:rPr>
          <w:rFonts w:ascii="Arial" w:hAnsi="Arial" w:cs="Arial"/>
          <w:color w:val="3A5FAC"/>
        </w:rPr>
        <w:t>Risk assessment in 2021</w:t>
      </w:r>
    </w:p>
    <w:p w14:paraId="35ECF0B6" w14:textId="77777777" w:rsidR="006C336C" w:rsidRPr="00F05339" w:rsidRDefault="006C336C" w:rsidP="006C336C">
      <w:pPr>
        <w:jc w:val="both"/>
        <w:rPr>
          <w:rFonts w:ascii="Arial" w:hAnsi="Arial" w:cs="Arial"/>
        </w:rPr>
      </w:pPr>
      <w:r w:rsidRPr="00F05339">
        <w:rPr>
          <w:rFonts w:ascii="Arial" w:hAnsi="Arial" w:cs="Arial"/>
        </w:rPr>
        <w:t xml:space="preserve">Risk management is a crucial part of the strategic decision-making process. Robust risk management frameworks help to ensure that </w:t>
      </w:r>
      <w:proofErr w:type="gramStart"/>
      <w:r w:rsidRPr="00F05339">
        <w:rPr>
          <w:rFonts w:ascii="Arial" w:hAnsi="Arial" w:cs="Arial"/>
        </w:rPr>
        <w:t>taxpayers‘ money</w:t>
      </w:r>
      <w:proofErr w:type="gramEnd"/>
      <w:r w:rsidRPr="00F05339">
        <w:rPr>
          <w:rFonts w:ascii="Arial" w:hAnsi="Arial" w:cs="Arial"/>
        </w:rPr>
        <w:t xml:space="preserve"> is used effectively and efficiently, that potential risks to achieving objectives are identified in a timely fashion and that appropriate mitigating action is taken.</w:t>
      </w:r>
    </w:p>
    <w:p w14:paraId="5DDB459D" w14:textId="19BEA2EF" w:rsidR="006C336C" w:rsidRDefault="006C336C" w:rsidP="006C336C">
      <w:pPr>
        <w:ind w:left="10" w:right="18"/>
        <w:jc w:val="both"/>
        <w:rPr>
          <w:rFonts w:ascii="Arial" w:hAnsi="Arial" w:cs="Arial"/>
        </w:rPr>
      </w:pPr>
      <w:r w:rsidRPr="00F05339">
        <w:rPr>
          <w:rFonts w:ascii="Arial" w:hAnsi="Arial" w:cs="Arial"/>
        </w:rPr>
        <w:t>All members of staff, regardless of their level, shares responsibility for risk management. The Executive Director is accountable to the Governing Board and is ultimately responsible for the management of the JU activities and achievement of objectives and must ensure that the JU critical risks are known and appropriately managed.</w:t>
      </w:r>
    </w:p>
    <w:p w14:paraId="417D5934" w14:textId="77777777" w:rsidR="000A1D52" w:rsidRPr="00F05339" w:rsidRDefault="000A1D52" w:rsidP="006C336C">
      <w:pPr>
        <w:ind w:left="10" w:right="18"/>
        <w:jc w:val="both"/>
        <w:rPr>
          <w:rFonts w:ascii="Arial" w:hAnsi="Arial" w:cs="Arial"/>
        </w:rPr>
      </w:pPr>
    </w:p>
    <w:p w14:paraId="400A8D86" w14:textId="77777777" w:rsidR="006C336C" w:rsidRPr="00F05339" w:rsidRDefault="006C336C" w:rsidP="006C336C">
      <w:pPr>
        <w:ind w:left="10" w:right="18"/>
        <w:jc w:val="both"/>
        <w:rPr>
          <w:rFonts w:ascii="Arial" w:hAnsi="Arial" w:cs="Arial"/>
          <w:b/>
        </w:rPr>
      </w:pPr>
      <w:r w:rsidRPr="00F05339">
        <w:rPr>
          <w:rFonts w:ascii="Arial" w:hAnsi="Arial" w:cs="Arial"/>
          <w:b/>
        </w:rPr>
        <w:lastRenderedPageBreak/>
        <w:t>Relationship with the Internal Control Framework</w:t>
      </w:r>
    </w:p>
    <w:p w14:paraId="6FE42053" w14:textId="2584FD2F" w:rsidR="006C336C" w:rsidRPr="00F05339" w:rsidRDefault="006C336C" w:rsidP="006C336C">
      <w:pPr>
        <w:jc w:val="both"/>
        <w:rPr>
          <w:rFonts w:ascii="Arial" w:hAnsi="Arial" w:cs="Arial"/>
        </w:rPr>
      </w:pPr>
      <w:r w:rsidRPr="00F05339">
        <w:rPr>
          <w:rFonts w:ascii="Arial" w:hAnsi="Arial" w:cs="Arial"/>
        </w:rPr>
        <w:t xml:space="preserve">On 16 August 2018, the JU Governing Board adopted a new Internal Control Framework (ICF) stemming from the most updated internationally acknowledged COSO model of internal control, in line with the EC’s ICF. </w:t>
      </w:r>
    </w:p>
    <w:p w14:paraId="1DB8F768" w14:textId="6196E648" w:rsidR="006C336C" w:rsidRPr="00F05339" w:rsidRDefault="006C336C" w:rsidP="006C336C">
      <w:pPr>
        <w:jc w:val="both"/>
        <w:rPr>
          <w:rFonts w:ascii="Arial" w:hAnsi="Arial" w:cs="Arial"/>
        </w:rPr>
      </w:pPr>
      <w:r w:rsidRPr="00F05339">
        <w:rPr>
          <w:rFonts w:ascii="Arial" w:hAnsi="Arial" w:cs="Arial"/>
        </w:rPr>
        <w:t>Risk assessment is one of the five key Internal Control Framework components and consists of the four (4) principles</w:t>
      </w:r>
      <w:r w:rsidR="006B7C68">
        <w:rPr>
          <w:rFonts w:ascii="Arial" w:hAnsi="Arial" w:cs="Arial"/>
        </w:rPr>
        <w:t>, No.</w:t>
      </w:r>
      <w:r w:rsidRPr="00F05339">
        <w:rPr>
          <w:rFonts w:ascii="Arial" w:hAnsi="Arial" w:cs="Arial"/>
        </w:rPr>
        <w:t>6 - 9:</w:t>
      </w:r>
    </w:p>
    <w:tbl>
      <w:tblPr>
        <w:tblStyle w:val="TableGrid"/>
        <w:tblW w:w="0" w:type="auto"/>
        <w:tblLook w:val="04A0" w:firstRow="1" w:lastRow="0" w:firstColumn="1" w:lastColumn="0" w:noHBand="0" w:noVBand="1"/>
      </w:tblPr>
      <w:tblGrid>
        <w:gridCol w:w="704"/>
        <w:gridCol w:w="8312"/>
      </w:tblGrid>
      <w:tr w:rsidR="006C336C" w:rsidRPr="00F05339" w14:paraId="56889579" w14:textId="77777777" w:rsidTr="00DF2591">
        <w:trPr>
          <w:trHeight w:val="509"/>
        </w:trPr>
        <w:tc>
          <w:tcPr>
            <w:tcW w:w="9016" w:type="dxa"/>
            <w:gridSpan w:val="2"/>
            <w:vAlign w:val="center"/>
          </w:tcPr>
          <w:p w14:paraId="5BF80FF2" w14:textId="77777777" w:rsidR="006C336C" w:rsidRPr="00F05339" w:rsidRDefault="006C336C" w:rsidP="00DF2591">
            <w:pPr>
              <w:spacing w:after="0"/>
              <w:jc w:val="center"/>
              <w:rPr>
                <w:rFonts w:ascii="Arial" w:hAnsi="Arial" w:cs="Arial"/>
                <w:sz w:val="24"/>
                <w:szCs w:val="24"/>
              </w:rPr>
            </w:pPr>
            <w:r w:rsidRPr="00F05339">
              <w:rPr>
                <w:rFonts w:ascii="Arial" w:hAnsi="Arial" w:cs="Arial"/>
                <w:sz w:val="24"/>
                <w:szCs w:val="24"/>
              </w:rPr>
              <w:t>Internal Control Framework Components and Principles</w:t>
            </w:r>
          </w:p>
        </w:tc>
      </w:tr>
      <w:tr w:rsidR="006C336C" w:rsidRPr="00F05339" w14:paraId="62C99424" w14:textId="77777777" w:rsidTr="00DF2591">
        <w:tc>
          <w:tcPr>
            <w:tcW w:w="704" w:type="dxa"/>
            <w:vMerge w:val="restart"/>
            <w:textDirection w:val="btLr"/>
            <w:vAlign w:val="center"/>
          </w:tcPr>
          <w:p w14:paraId="50DB25A3" w14:textId="77777777" w:rsidR="006C336C" w:rsidRPr="00F05339" w:rsidRDefault="006C336C" w:rsidP="00DF2591">
            <w:pPr>
              <w:spacing w:after="0" w:line="240" w:lineRule="auto"/>
              <w:ind w:left="113" w:right="113"/>
              <w:jc w:val="center"/>
              <w:rPr>
                <w:rFonts w:ascii="Arial" w:hAnsi="Arial" w:cs="Arial"/>
                <w:sz w:val="24"/>
                <w:szCs w:val="24"/>
              </w:rPr>
            </w:pPr>
            <w:r w:rsidRPr="00F05339">
              <w:rPr>
                <w:rFonts w:ascii="Arial" w:hAnsi="Arial" w:cs="Arial"/>
                <w:sz w:val="24"/>
                <w:szCs w:val="24"/>
              </w:rPr>
              <w:t>Risk Assessment</w:t>
            </w:r>
          </w:p>
        </w:tc>
        <w:tc>
          <w:tcPr>
            <w:tcW w:w="8312" w:type="dxa"/>
          </w:tcPr>
          <w:p w14:paraId="023FC086" w14:textId="77777777" w:rsidR="006C336C" w:rsidRPr="00F05339" w:rsidRDefault="006C336C" w:rsidP="002672A0">
            <w:pPr>
              <w:pStyle w:val="ListParagraph"/>
              <w:numPr>
                <w:ilvl w:val="0"/>
                <w:numId w:val="11"/>
              </w:numPr>
              <w:spacing w:before="120" w:after="120" w:line="259" w:lineRule="auto"/>
              <w:jc w:val="both"/>
              <w:rPr>
                <w:rFonts w:ascii="Arial" w:hAnsi="Arial" w:cs="Arial"/>
              </w:rPr>
            </w:pPr>
            <w:r w:rsidRPr="00F05339">
              <w:rPr>
                <w:rFonts w:ascii="Arial" w:hAnsi="Arial" w:cs="Arial"/>
              </w:rPr>
              <w:t>The organization specifies objectives with sufficient clarity to enable the identification and assessment of risks relating to objectives.</w:t>
            </w:r>
          </w:p>
        </w:tc>
      </w:tr>
      <w:tr w:rsidR="006C336C" w:rsidRPr="00F05339" w14:paraId="6298BD1F" w14:textId="77777777" w:rsidTr="00DF2591">
        <w:tc>
          <w:tcPr>
            <w:tcW w:w="704" w:type="dxa"/>
            <w:vMerge/>
          </w:tcPr>
          <w:p w14:paraId="6A452383" w14:textId="77777777" w:rsidR="006C336C" w:rsidRPr="00F05339" w:rsidRDefault="006C336C" w:rsidP="00DF2591">
            <w:pPr>
              <w:jc w:val="both"/>
              <w:rPr>
                <w:rFonts w:ascii="Arial" w:hAnsi="Arial" w:cs="Arial"/>
              </w:rPr>
            </w:pPr>
          </w:p>
        </w:tc>
        <w:tc>
          <w:tcPr>
            <w:tcW w:w="8312" w:type="dxa"/>
          </w:tcPr>
          <w:p w14:paraId="797041C9" w14:textId="77777777" w:rsidR="006C336C" w:rsidRPr="00F05339" w:rsidRDefault="006C336C" w:rsidP="002672A0">
            <w:pPr>
              <w:pStyle w:val="ListParagraph"/>
              <w:numPr>
                <w:ilvl w:val="0"/>
                <w:numId w:val="11"/>
              </w:numPr>
              <w:spacing w:before="120" w:after="120" w:line="259" w:lineRule="auto"/>
              <w:jc w:val="both"/>
              <w:rPr>
                <w:rFonts w:ascii="Arial" w:hAnsi="Arial" w:cs="Arial"/>
              </w:rPr>
            </w:pPr>
            <w:r w:rsidRPr="00F05339">
              <w:rPr>
                <w:rFonts w:ascii="Arial" w:hAnsi="Arial" w:cs="Arial"/>
              </w:rPr>
              <w:t>The organization identifies risks to the achievement of objectives across the entity and analyses the risks as a basis for determining how the risks should be managed.</w:t>
            </w:r>
          </w:p>
        </w:tc>
      </w:tr>
      <w:tr w:rsidR="006C336C" w:rsidRPr="00F05339" w14:paraId="7B0A9D09" w14:textId="77777777" w:rsidTr="00DF2591">
        <w:tc>
          <w:tcPr>
            <w:tcW w:w="704" w:type="dxa"/>
            <w:vMerge/>
          </w:tcPr>
          <w:p w14:paraId="189C26E8" w14:textId="77777777" w:rsidR="006C336C" w:rsidRPr="00F05339" w:rsidRDefault="006C336C" w:rsidP="00DF2591">
            <w:pPr>
              <w:jc w:val="both"/>
              <w:rPr>
                <w:rFonts w:ascii="Arial" w:hAnsi="Arial" w:cs="Arial"/>
              </w:rPr>
            </w:pPr>
          </w:p>
        </w:tc>
        <w:tc>
          <w:tcPr>
            <w:tcW w:w="8312" w:type="dxa"/>
          </w:tcPr>
          <w:p w14:paraId="398D4130" w14:textId="77777777" w:rsidR="006C336C" w:rsidRPr="00F05339" w:rsidRDefault="006C336C" w:rsidP="002672A0">
            <w:pPr>
              <w:pStyle w:val="ListParagraph"/>
              <w:numPr>
                <w:ilvl w:val="0"/>
                <w:numId w:val="11"/>
              </w:numPr>
              <w:spacing w:before="120" w:after="120" w:line="259" w:lineRule="auto"/>
              <w:jc w:val="both"/>
              <w:rPr>
                <w:rFonts w:ascii="Arial" w:hAnsi="Arial" w:cs="Arial"/>
              </w:rPr>
            </w:pPr>
            <w:r w:rsidRPr="00F05339">
              <w:rPr>
                <w:rFonts w:ascii="Arial" w:hAnsi="Arial" w:cs="Arial"/>
              </w:rPr>
              <w:t>The organization considers the potential for fraud in assessing risks to the achievement of objectives.</w:t>
            </w:r>
          </w:p>
        </w:tc>
      </w:tr>
      <w:tr w:rsidR="006C336C" w:rsidRPr="00F05339" w14:paraId="28A7FE93" w14:textId="77777777" w:rsidTr="00DF2591">
        <w:tc>
          <w:tcPr>
            <w:tcW w:w="704" w:type="dxa"/>
            <w:vMerge/>
          </w:tcPr>
          <w:p w14:paraId="613750DD" w14:textId="77777777" w:rsidR="006C336C" w:rsidRPr="00F05339" w:rsidRDefault="006C336C" w:rsidP="00DF2591">
            <w:pPr>
              <w:jc w:val="both"/>
              <w:rPr>
                <w:rFonts w:ascii="Arial" w:hAnsi="Arial" w:cs="Arial"/>
              </w:rPr>
            </w:pPr>
          </w:p>
        </w:tc>
        <w:tc>
          <w:tcPr>
            <w:tcW w:w="8312" w:type="dxa"/>
          </w:tcPr>
          <w:p w14:paraId="22260C06" w14:textId="77777777" w:rsidR="006C336C" w:rsidRPr="00F05339" w:rsidRDefault="006C336C" w:rsidP="002672A0">
            <w:pPr>
              <w:pStyle w:val="ListParagraph"/>
              <w:numPr>
                <w:ilvl w:val="0"/>
                <w:numId w:val="11"/>
              </w:numPr>
              <w:spacing w:before="120" w:after="120" w:line="259" w:lineRule="auto"/>
              <w:jc w:val="both"/>
              <w:rPr>
                <w:rFonts w:ascii="Arial" w:hAnsi="Arial" w:cs="Arial"/>
              </w:rPr>
            </w:pPr>
            <w:r w:rsidRPr="00F05339">
              <w:rPr>
                <w:rFonts w:ascii="Arial" w:hAnsi="Arial" w:cs="Arial"/>
              </w:rPr>
              <w:t>The organization identifies and assesses changes that could significantly impact the system of internal control.</w:t>
            </w:r>
          </w:p>
        </w:tc>
      </w:tr>
    </w:tbl>
    <w:p w14:paraId="4FDE1050" w14:textId="77777777" w:rsidR="006C336C" w:rsidRPr="00F05339" w:rsidRDefault="006C336C" w:rsidP="006C336C">
      <w:pPr>
        <w:ind w:right="18"/>
        <w:jc w:val="both"/>
        <w:rPr>
          <w:rFonts w:ascii="Arial" w:hAnsi="Arial" w:cs="Arial"/>
        </w:rPr>
      </w:pPr>
    </w:p>
    <w:p w14:paraId="1524AEC6" w14:textId="77777777" w:rsidR="006C336C" w:rsidRPr="00F05339" w:rsidRDefault="006C336C" w:rsidP="006C336C">
      <w:pPr>
        <w:ind w:right="18"/>
        <w:jc w:val="both"/>
        <w:rPr>
          <w:rFonts w:ascii="Arial" w:hAnsi="Arial" w:cs="Arial"/>
          <w:b/>
        </w:rPr>
      </w:pPr>
      <w:r w:rsidRPr="00F05339">
        <w:rPr>
          <w:rFonts w:ascii="Arial" w:hAnsi="Arial" w:cs="Arial"/>
          <w:b/>
        </w:rPr>
        <w:t>Risk Identification and Assessment</w:t>
      </w:r>
    </w:p>
    <w:p w14:paraId="3B519003" w14:textId="4B9AE582" w:rsidR="006C336C" w:rsidRPr="00F05339" w:rsidRDefault="006C336C" w:rsidP="006C336C">
      <w:pPr>
        <w:ind w:right="18"/>
        <w:jc w:val="both"/>
        <w:rPr>
          <w:rFonts w:ascii="Arial" w:hAnsi="Arial" w:cs="Arial"/>
        </w:rPr>
      </w:pPr>
      <w:r w:rsidRPr="00F05339">
        <w:rPr>
          <w:rFonts w:ascii="Arial" w:hAnsi="Arial" w:cs="Arial"/>
        </w:rPr>
        <w:t xml:space="preserve">In November 2021 an annual risk assessment exercise was conducted for the purpose of identifying, </w:t>
      </w:r>
      <w:proofErr w:type="gramStart"/>
      <w:r w:rsidRPr="00F05339">
        <w:rPr>
          <w:rFonts w:ascii="Arial" w:hAnsi="Arial" w:cs="Arial"/>
        </w:rPr>
        <w:t>analysing</w:t>
      </w:r>
      <w:proofErr w:type="gramEnd"/>
      <w:r w:rsidRPr="00F05339">
        <w:rPr>
          <w:rFonts w:ascii="Arial" w:hAnsi="Arial" w:cs="Arial"/>
        </w:rPr>
        <w:t xml:space="preserve"> and responding to key risks (including fraud risks) across all of the </w:t>
      </w:r>
      <w:r w:rsidR="006B7C68" w:rsidRPr="00F05339">
        <w:rPr>
          <w:rFonts w:ascii="Arial" w:hAnsi="Arial" w:cs="Arial"/>
        </w:rPr>
        <w:t xml:space="preserve">JU program office </w:t>
      </w:r>
      <w:r w:rsidR="006B7C68">
        <w:rPr>
          <w:rFonts w:ascii="Arial" w:hAnsi="Arial" w:cs="Arial"/>
        </w:rPr>
        <w:t xml:space="preserve">(PO) </w:t>
      </w:r>
      <w:r w:rsidRPr="00F05339">
        <w:rPr>
          <w:rFonts w:ascii="Arial" w:hAnsi="Arial" w:cs="Arial"/>
        </w:rPr>
        <w:t xml:space="preserve">areas of responsibility of the, for the purposes of establishing the first version of the Annual Work Programme 2022, related to continuation of the JU activities under the new Clean Hydrogen partnership. </w:t>
      </w:r>
    </w:p>
    <w:p w14:paraId="430E91C4" w14:textId="10638C10" w:rsidR="006C336C" w:rsidRPr="00F05339" w:rsidRDefault="006C336C" w:rsidP="006C336C">
      <w:pPr>
        <w:ind w:right="18"/>
        <w:jc w:val="both"/>
        <w:rPr>
          <w:rFonts w:ascii="Arial" w:hAnsi="Arial" w:cs="Arial"/>
        </w:rPr>
      </w:pPr>
      <w:r w:rsidRPr="00F05339">
        <w:rPr>
          <w:rFonts w:ascii="Arial" w:hAnsi="Arial" w:cs="Arial"/>
        </w:rPr>
        <w:t>The risk identification started with assessment of the relevance of the risks identified in the previous risk-assessment exercises and continued with the identification of any new relevant risks (related to continuation of the JU operations under Horizon Europe programme, including transitional risks.)</w:t>
      </w:r>
    </w:p>
    <w:p w14:paraId="20FADB68" w14:textId="77777777" w:rsidR="006C336C" w:rsidRPr="00F05339" w:rsidRDefault="006C336C" w:rsidP="006C336C">
      <w:pPr>
        <w:ind w:left="10" w:right="18"/>
        <w:jc w:val="both"/>
        <w:rPr>
          <w:rFonts w:ascii="Arial" w:hAnsi="Arial" w:cs="Arial"/>
        </w:rPr>
      </w:pPr>
      <w:r w:rsidRPr="00F05339">
        <w:rPr>
          <w:rFonts w:ascii="Arial" w:hAnsi="Arial" w:cs="Arial"/>
        </w:rPr>
        <w:t xml:space="preserve">The aim of this annual exercise was </w:t>
      </w:r>
      <w:r w:rsidRPr="00F05339">
        <w:rPr>
          <w:rFonts w:ascii="Arial" w:hAnsi="Arial" w:cs="Arial"/>
          <w:b/>
        </w:rPr>
        <w:t>to identify risks that could harm achievements of the H2020 objectives</w:t>
      </w:r>
      <w:r w:rsidRPr="00F05339">
        <w:rPr>
          <w:rFonts w:ascii="Arial" w:hAnsi="Arial" w:cs="Arial"/>
        </w:rPr>
        <w:t>, including (among others) operational, financial and compliance risks.</w:t>
      </w:r>
    </w:p>
    <w:p w14:paraId="52BFD808" w14:textId="77777777" w:rsidR="006C336C" w:rsidRPr="00F05339" w:rsidRDefault="006C336C" w:rsidP="006C336C">
      <w:pPr>
        <w:ind w:right="18"/>
        <w:jc w:val="both"/>
        <w:rPr>
          <w:rFonts w:ascii="Arial" w:hAnsi="Arial" w:cs="Arial"/>
        </w:rPr>
      </w:pPr>
      <w:r w:rsidRPr="00F05339">
        <w:rPr>
          <w:rFonts w:ascii="Arial" w:hAnsi="Arial" w:cs="Arial"/>
        </w:rPr>
        <w:t xml:space="preserve">Due to continuation of COVID-19 related circumstances, the risk assessment exercise in November 2021, evaluated also existing risks and action plans related to COVID-19. </w:t>
      </w:r>
    </w:p>
    <w:p w14:paraId="24CF8E0A" w14:textId="77777777" w:rsidR="006C336C" w:rsidRPr="00F05339" w:rsidRDefault="006C336C" w:rsidP="006C336C">
      <w:pPr>
        <w:ind w:left="10" w:right="18"/>
        <w:rPr>
          <w:rFonts w:ascii="Arial" w:hAnsi="Arial" w:cs="Arial"/>
        </w:rPr>
      </w:pPr>
      <w:r w:rsidRPr="00F05339">
        <w:rPr>
          <w:rFonts w:ascii="Arial" w:hAnsi="Arial" w:cs="Arial"/>
        </w:rPr>
        <w:t>During the exercise, the following aspects of all the risks presented in AWP 2021 were assessed (in view of COVID-19):</w:t>
      </w:r>
    </w:p>
    <w:p w14:paraId="4988D506" w14:textId="77777777" w:rsidR="006C336C" w:rsidRPr="00F05339" w:rsidRDefault="006C336C" w:rsidP="002672A0">
      <w:pPr>
        <w:pStyle w:val="ListParagraph"/>
        <w:numPr>
          <w:ilvl w:val="0"/>
          <w:numId w:val="9"/>
        </w:numPr>
        <w:ind w:right="18"/>
        <w:rPr>
          <w:rFonts w:ascii="Arial" w:hAnsi="Arial" w:cs="Arial"/>
        </w:rPr>
      </w:pPr>
      <w:r w:rsidRPr="00F05339">
        <w:rPr>
          <w:rFonts w:ascii="Arial" w:hAnsi="Arial" w:cs="Arial"/>
        </w:rPr>
        <w:t>Relevance of the risk -&gt; is the risk still present? Has it materialised?</w:t>
      </w:r>
    </w:p>
    <w:p w14:paraId="21611448" w14:textId="77777777" w:rsidR="006C336C" w:rsidRPr="00F05339" w:rsidRDefault="006C336C" w:rsidP="002672A0">
      <w:pPr>
        <w:pStyle w:val="ListParagraph"/>
        <w:numPr>
          <w:ilvl w:val="0"/>
          <w:numId w:val="9"/>
        </w:numPr>
        <w:ind w:right="18"/>
        <w:rPr>
          <w:rFonts w:ascii="Arial" w:hAnsi="Arial" w:cs="Arial"/>
        </w:rPr>
      </w:pPr>
      <w:r w:rsidRPr="00F05339">
        <w:rPr>
          <w:rFonts w:ascii="Arial" w:hAnsi="Arial" w:cs="Arial"/>
        </w:rPr>
        <w:t>Rating the risk -&gt; did the rating (in terms of impact/likelihood) increase or decrease?</w:t>
      </w:r>
    </w:p>
    <w:p w14:paraId="2453E47A" w14:textId="77777777" w:rsidR="006C336C" w:rsidRPr="00F05339" w:rsidRDefault="006C336C" w:rsidP="002672A0">
      <w:pPr>
        <w:pStyle w:val="ListParagraph"/>
        <w:numPr>
          <w:ilvl w:val="0"/>
          <w:numId w:val="9"/>
        </w:numPr>
        <w:ind w:right="18"/>
        <w:rPr>
          <w:rFonts w:ascii="Arial" w:hAnsi="Arial" w:cs="Arial"/>
        </w:rPr>
      </w:pPr>
      <w:r w:rsidRPr="00F05339">
        <w:rPr>
          <w:rFonts w:ascii="Arial" w:hAnsi="Arial" w:cs="Arial"/>
        </w:rPr>
        <w:t>Relevance and fulfilment of the action plan -&gt; should we continue/expand/reduce action plans?</w:t>
      </w:r>
    </w:p>
    <w:p w14:paraId="4170D963" w14:textId="77777777" w:rsidR="006C336C" w:rsidRPr="00F05339" w:rsidRDefault="006C336C" w:rsidP="006C336C">
      <w:pPr>
        <w:ind w:right="18"/>
        <w:jc w:val="both"/>
        <w:rPr>
          <w:rFonts w:ascii="Arial" w:hAnsi="Arial" w:cs="Arial"/>
        </w:rPr>
      </w:pPr>
      <w:r w:rsidRPr="00F05339">
        <w:rPr>
          <w:rFonts w:ascii="Arial" w:hAnsi="Arial" w:cs="Arial"/>
        </w:rPr>
        <w:lastRenderedPageBreak/>
        <w:t xml:space="preserve">In addition to regular risk-assessment exercise, </w:t>
      </w:r>
      <w:r w:rsidRPr="00F05339">
        <w:rPr>
          <w:rFonts w:ascii="Arial" w:hAnsi="Arial" w:cs="Arial"/>
          <w:b/>
        </w:rPr>
        <w:t xml:space="preserve">a special brainstorming session, </w:t>
      </w:r>
      <w:proofErr w:type="gramStart"/>
      <w:r w:rsidRPr="00F05339">
        <w:rPr>
          <w:rFonts w:ascii="Arial" w:hAnsi="Arial" w:cs="Arial"/>
          <w:b/>
        </w:rPr>
        <w:t>taking into account</w:t>
      </w:r>
      <w:proofErr w:type="gramEnd"/>
      <w:r w:rsidRPr="00F05339">
        <w:rPr>
          <w:rFonts w:ascii="Arial" w:hAnsi="Arial" w:cs="Arial"/>
          <w:b/>
        </w:rPr>
        <w:t xml:space="preserve"> an input from all members of staff, chaired by the ED, was conducted to identify any new emerging risks related to transition to the new partnership</w:t>
      </w:r>
      <w:r w:rsidRPr="00F05339">
        <w:rPr>
          <w:rFonts w:ascii="Arial" w:hAnsi="Arial" w:cs="Arial"/>
        </w:rPr>
        <w:t>.</w:t>
      </w:r>
    </w:p>
    <w:p w14:paraId="2150863B" w14:textId="77777777" w:rsidR="006C336C" w:rsidRPr="00F05339" w:rsidRDefault="006C336C" w:rsidP="006C336C">
      <w:pPr>
        <w:ind w:left="10" w:right="18"/>
        <w:jc w:val="both"/>
        <w:rPr>
          <w:rFonts w:ascii="Arial" w:hAnsi="Arial" w:cs="Arial"/>
        </w:rPr>
      </w:pPr>
      <w:r w:rsidRPr="00F05339">
        <w:rPr>
          <w:rFonts w:ascii="Arial" w:hAnsi="Arial" w:cs="Arial"/>
        </w:rPr>
        <w:t>Based on the discussions, the risks were either removed (when considered no longer relevant) or modified, while the action plans were reviewed for adequacy and completeness.</w:t>
      </w:r>
    </w:p>
    <w:p w14:paraId="293A420D" w14:textId="77777777" w:rsidR="006C336C" w:rsidRPr="00F05339" w:rsidRDefault="006C336C" w:rsidP="006C336C">
      <w:pPr>
        <w:ind w:left="10" w:right="18"/>
        <w:rPr>
          <w:rFonts w:ascii="Arial" w:hAnsi="Arial" w:cs="Arial"/>
        </w:rPr>
      </w:pPr>
      <w:r w:rsidRPr="00F05339">
        <w:rPr>
          <w:rFonts w:ascii="Arial" w:hAnsi="Arial" w:cs="Arial"/>
        </w:rPr>
        <w:t xml:space="preserve">The table below provides a summary of the outcome of the exercise on risks and fulfilment of the action plans, as </w:t>
      </w:r>
      <w:proofErr w:type="gramStart"/>
      <w:r w:rsidRPr="00F05339">
        <w:rPr>
          <w:rFonts w:ascii="Arial" w:hAnsi="Arial" w:cs="Arial"/>
        </w:rPr>
        <w:t>at</w:t>
      </w:r>
      <w:proofErr w:type="gramEnd"/>
      <w:r w:rsidRPr="00F05339">
        <w:rPr>
          <w:rFonts w:ascii="Arial" w:hAnsi="Arial" w:cs="Arial"/>
        </w:rPr>
        <w:t xml:space="preserve"> 31 December 2021:</w:t>
      </w:r>
    </w:p>
    <w:p w14:paraId="480926F0" w14:textId="77777777" w:rsidR="006C336C" w:rsidRPr="00F05339" w:rsidRDefault="006C336C" w:rsidP="006C336C">
      <w:pPr>
        <w:spacing w:line="259" w:lineRule="auto"/>
        <w:ind w:left="2"/>
        <w:rPr>
          <w:rFonts w:ascii="Arial" w:hAnsi="Arial" w:cs="Arial"/>
          <w:b/>
        </w:rPr>
      </w:pPr>
      <w:r w:rsidRPr="00F05339">
        <w:rPr>
          <w:rFonts w:ascii="Arial" w:hAnsi="Arial" w:cs="Arial"/>
          <w:b/>
          <w:color w:val="034EA2"/>
        </w:rPr>
        <w:t>TABLE 1.1.5: Fulfilment of the action plans</w:t>
      </w:r>
    </w:p>
    <w:tbl>
      <w:tblPr>
        <w:tblStyle w:val="TableGrid"/>
        <w:tblW w:w="9493" w:type="dxa"/>
        <w:tblLook w:val="04A0" w:firstRow="1" w:lastRow="0" w:firstColumn="1" w:lastColumn="0" w:noHBand="0" w:noVBand="1"/>
      </w:tblPr>
      <w:tblGrid>
        <w:gridCol w:w="739"/>
        <w:gridCol w:w="2658"/>
        <w:gridCol w:w="2835"/>
        <w:gridCol w:w="3261"/>
      </w:tblGrid>
      <w:tr w:rsidR="006C336C" w:rsidRPr="00F05339" w14:paraId="79D8E871" w14:textId="77777777" w:rsidTr="00DF2591">
        <w:trPr>
          <w:trHeight w:val="525"/>
        </w:trPr>
        <w:tc>
          <w:tcPr>
            <w:tcW w:w="739" w:type="dxa"/>
            <w:noWrap/>
            <w:hideMark/>
          </w:tcPr>
          <w:p w14:paraId="2227A34D" w14:textId="77777777" w:rsidR="006C336C" w:rsidRPr="00F05339" w:rsidRDefault="006C336C" w:rsidP="00DF2591">
            <w:pPr>
              <w:ind w:left="-5" w:right="-13"/>
              <w:rPr>
                <w:rFonts w:ascii="Arial" w:hAnsi="Arial" w:cs="Arial"/>
              </w:rPr>
            </w:pPr>
            <w:r w:rsidRPr="00F05339">
              <w:rPr>
                <w:rFonts w:ascii="Arial" w:hAnsi="Arial" w:cs="Arial"/>
              </w:rPr>
              <w:t> </w:t>
            </w:r>
          </w:p>
        </w:tc>
        <w:tc>
          <w:tcPr>
            <w:tcW w:w="2658" w:type="dxa"/>
            <w:hideMark/>
          </w:tcPr>
          <w:p w14:paraId="65B079D7" w14:textId="77777777" w:rsidR="006C336C" w:rsidRPr="00F05339" w:rsidRDefault="006C336C" w:rsidP="00DF2591">
            <w:pPr>
              <w:ind w:left="-5" w:right="-13"/>
              <w:jc w:val="center"/>
              <w:rPr>
                <w:rFonts w:ascii="Arial" w:hAnsi="Arial" w:cs="Arial"/>
                <w:b/>
                <w:bCs/>
              </w:rPr>
            </w:pPr>
            <w:r w:rsidRPr="00F05339">
              <w:rPr>
                <w:rFonts w:ascii="Arial" w:hAnsi="Arial" w:cs="Arial"/>
                <w:b/>
                <w:bCs/>
              </w:rPr>
              <w:t>Risk Identified</w:t>
            </w:r>
            <w:r w:rsidRPr="00F05339">
              <w:rPr>
                <w:rFonts w:ascii="Arial" w:hAnsi="Arial" w:cs="Arial"/>
                <w:b/>
                <w:bCs/>
              </w:rPr>
              <w:br/>
              <w:t>(AWP 2021)</w:t>
            </w:r>
          </w:p>
        </w:tc>
        <w:tc>
          <w:tcPr>
            <w:tcW w:w="2835" w:type="dxa"/>
            <w:hideMark/>
          </w:tcPr>
          <w:p w14:paraId="3E3F2823" w14:textId="77777777" w:rsidR="006C336C" w:rsidRPr="00F05339" w:rsidRDefault="006C336C" w:rsidP="00DF2591">
            <w:pPr>
              <w:ind w:left="-5" w:right="-13"/>
              <w:jc w:val="center"/>
              <w:rPr>
                <w:rFonts w:ascii="Arial" w:hAnsi="Arial" w:cs="Arial"/>
                <w:b/>
                <w:bCs/>
              </w:rPr>
            </w:pPr>
            <w:r w:rsidRPr="00F05339">
              <w:rPr>
                <w:rFonts w:ascii="Arial" w:hAnsi="Arial" w:cs="Arial"/>
                <w:b/>
                <w:bCs/>
              </w:rPr>
              <w:t>Action Plan</w:t>
            </w:r>
            <w:r w:rsidRPr="00F05339">
              <w:rPr>
                <w:rFonts w:ascii="Arial" w:hAnsi="Arial" w:cs="Arial"/>
                <w:b/>
                <w:bCs/>
              </w:rPr>
              <w:br/>
              <w:t>(AWP 2021)</w:t>
            </w:r>
          </w:p>
        </w:tc>
        <w:tc>
          <w:tcPr>
            <w:tcW w:w="3261" w:type="dxa"/>
            <w:hideMark/>
          </w:tcPr>
          <w:p w14:paraId="17F3AA4C" w14:textId="77777777" w:rsidR="006C336C" w:rsidRPr="00F05339" w:rsidRDefault="006C336C" w:rsidP="00DF2591">
            <w:pPr>
              <w:ind w:left="-5" w:right="-13"/>
              <w:jc w:val="center"/>
              <w:rPr>
                <w:rFonts w:ascii="Arial" w:hAnsi="Arial" w:cs="Arial"/>
                <w:b/>
                <w:bCs/>
              </w:rPr>
            </w:pPr>
            <w:r w:rsidRPr="00F05339">
              <w:rPr>
                <w:rFonts w:ascii="Arial" w:hAnsi="Arial" w:cs="Arial"/>
                <w:b/>
                <w:bCs/>
              </w:rPr>
              <w:t xml:space="preserve">Action Plan – status as </w:t>
            </w:r>
            <w:proofErr w:type="gramStart"/>
            <w:r w:rsidRPr="00F05339">
              <w:rPr>
                <w:rFonts w:ascii="Arial" w:hAnsi="Arial" w:cs="Arial"/>
                <w:b/>
                <w:bCs/>
              </w:rPr>
              <w:t>at</w:t>
            </w:r>
            <w:proofErr w:type="gramEnd"/>
            <w:r w:rsidRPr="00F05339">
              <w:rPr>
                <w:rFonts w:ascii="Arial" w:hAnsi="Arial" w:cs="Arial"/>
                <w:b/>
                <w:bCs/>
              </w:rPr>
              <w:t xml:space="preserve"> 31 December 2021</w:t>
            </w:r>
          </w:p>
        </w:tc>
      </w:tr>
      <w:tr w:rsidR="006C336C" w:rsidRPr="00F05339" w14:paraId="7A1065A4" w14:textId="77777777" w:rsidTr="00DF2591">
        <w:trPr>
          <w:trHeight w:val="3330"/>
        </w:trPr>
        <w:tc>
          <w:tcPr>
            <w:tcW w:w="739" w:type="dxa"/>
            <w:noWrap/>
            <w:textDirection w:val="tbLrV"/>
            <w:hideMark/>
          </w:tcPr>
          <w:p w14:paraId="115A3828" w14:textId="77777777" w:rsidR="006C336C" w:rsidRPr="00F05339" w:rsidRDefault="006C336C" w:rsidP="00DF2591">
            <w:pPr>
              <w:ind w:left="-5" w:right="-13"/>
              <w:rPr>
                <w:rFonts w:ascii="Arial" w:hAnsi="Arial" w:cs="Arial"/>
              </w:rPr>
            </w:pPr>
            <w:r w:rsidRPr="00F05339">
              <w:rPr>
                <w:rFonts w:ascii="Arial" w:hAnsi="Arial" w:cs="Arial"/>
              </w:rPr>
              <w:t>MEDIUM</w:t>
            </w:r>
          </w:p>
        </w:tc>
        <w:tc>
          <w:tcPr>
            <w:tcW w:w="2658" w:type="dxa"/>
          </w:tcPr>
          <w:p w14:paraId="4D2908CF" w14:textId="77777777" w:rsidR="006C336C" w:rsidRPr="00F05339" w:rsidRDefault="006C336C" w:rsidP="00DF2591">
            <w:pPr>
              <w:ind w:left="-5" w:right="-13"/>
              <w:rPr>
                <w:rFonts w:ascii="Arial" w:hAnsi="Arial" w:cs="Arial"/>
              </w:rPr>
            </w:pPr>
            <w:r w:rsidRPr="00F05339">
              <w:rPr>
                <w:rFonts w:ascii="Arial" w:hAnsi="Arial" w:cs="Arial"/>
              </w:rPr>
              <w:t xml:space="preserve">Due to limitation of H2020 ex-ante controls (trust-based approach with minimum amount of default checks), representative error rate for FCH 2 JU may increase. </w:t>
            </w:r>
          </w:p>
          <w:p w14:paraId="3A43C278" w14:textId="77777777" w:rsidR="006C336C" w:rsidRPr="00F05339" w:rsidRDefault="006C336C" w:rsidP="00DF2591">
            <w:pPr>
              <w:ind w:left="-5" w:right="-13"/>
              <w:rPr>
                <w:rFonts w:ascii="Arial" w:hAnsi="Arial" w:cs="Arial"/>
              </w:rPr>
            </w:pPr>
            <w:r w:rsidRPr="00F05339">
              <w:rPr>
                <w:rFonts w:ascii="Arial" w:hAnsi="Arial" w:cs="Arial"/>
              </w:rPr>
              <w:t xml:space="preserve">Consequently, there is a risk of obtaining a qualified opinion and of not getting the discharge from the European Parliament due to fact that the Court of Auditors’ threshold for a residual representative error rate stays at the level of 2%. </w:t>
            </w:r>
          </w:p>
          <w:p w14:paraId="54884431" w14:textId="77777777" w:rsidR="006C336C" w:rsidRPr="00F05339" w:rsidRDefault="006C336C" w:rsidP="00DF2591">
            <w:pPr>
              <w:ind w:left="-5" w:right="-13"/>
              <w:rPr>
                <w:rFonts w:ascii="Arial" w:hAnsi="Arial" w:cs="Arial"/>
              </w:rPr>
            </w:pPr>
            <w:r w:rsidRPr="00F05339">
              <w:rPr>
                <w:rFonts w:ascii="Arial" w:hAnsi="Arial" w:cs="Arial"/>
              </w:rPr>
              <w:t>(NB: H2020 ex-ante control strategy envisaged level of the residual error rate in the range between 2-5%)</w:t>
            </w:r>
          </w:p>
        </w:tc>
        <w:tc>
          <w:tcPr>
            <w:tcW w:w="2835" w:type="dxa"/>
          </w:tcPr>
          <w:p w14:paraId="0AACFA66" w14:textId="77777777" w:rsidR="006C336C" w:rsidRPr="00F05339" w:rsidRDefault="006C336C" w:rsidP="00DF2591">
            <w:pPr>
              <w:ind w:left="-5" w:right="-13"/>
              <w:rPr>
                <w:rFonts w:ascii="Arial" w:hAnsi="Arial" w:cs="Arial"/>
              </w:rPr>
            </w:pPr>
            <w:r w:rsidRPr="00F05339">
              <w:rPr>
                <w:rFonts w:ascii="Arial" w:hAnsi="Arial" w:cs="Arial"/>
              </w:rPr>
              <w:t xml:space="preserve">Annual analytical risk – assessment at the beneficiary level and subsequent introduction of the targeted ex-ante controls for the projects / beneficiaries with higher identified inherent risk. </w:t>
            </w:r>
          </w:p>
          <w:p w14:paraId="290ED26E" w14:textId="77777777" w:rsidR="006C336C" w:rsidRPr="00F05339" w:rsidRDefault="006C336C" w:rsidP="00DF2591">
            <w:pPr>
              <w:ind w:left="-5" w:right="-13"/>
              <w:rPr>
                <w:rFonts w:ascii="Arial" w:hAnsi="Arial" w:cs="Arial"/>
              </w:rPr>
            </w:pPr>
            <w:r w:rsidRPr="00F05339">
              <w:rPr>
                <w:rFonts w:ascii="Arial" w:hAnsi="Arial" w:cs="Arial"/>
              </w:rPr>
              <w:t xml:space="preserve">Application of the feedback from ex-post audits and lessons learnt on ex-ante controls, </w:t>
            </w:r>
            <w:proofErr w:type="gramStart"/>
            <w:r w:rsidRPr="00F05339">
              <w:rPr>
                <w:rFonts w:ascii="Arial" w:hAnsi="Arial" w:cs="Arial"/>
              </w:rPr>
              <w:t>e.g.</w:t>
            </w:r>
            <w:proofErr w:type="gramEnd"/>
            <w:r w:rsidRPr="00F05339">
              <w:rPr>
                <w:rFonts w:ascii="Arial" w:hAnsi="Arial" w:cs="Arial"/>
              </w:rPr>
              <w:t xml:space="preserve"> from accompanying auditors in the missions for FCH audits. </w:t>
            </w:r>
          </w:p>
          <w:p w14:paraId="38AB825B" w14:textId="77777777" w:rsidR="006C336C" w:rsidRPr="00F05339" w:rsidRDefault="006C336C" w:rsidP="00DF2591">
            <w:pPr>
              <w:ind w:left="-5" w:right="-13"/>
              <w:rPr>
                <w:rFonts w:ascii="Arial" w:hAnsi="Arial" w:cs="Arial"/>
              </w:rPr>
            </w:pPr>
            <w:r w:rsidRPr="00F05339">
              <w:rPr>
                <w:rFonts w:ascii="Arial" w:hAnsi="Arial" w:cs="Arial"/>
              </w:rPr>
              <w:t xml:space="preserve">Continuation of interactive financial webinars for complex projects or where there are numerous newcomers in the consortia in the first 12 months of the project duration. </w:t>
            </w:r>
          </w:p>
          <w:p w14:paraId="26B49FF9" w14:textId="40E0204D" w:rsidR="006C336C" w:rsidRPr="00F05339" w:rsidRDefault="006C336C" w:rsidP="00DF2591">
            <w:pPr>
              <w:ind w:left="-5" w:right="-13"/>
              <w:rPr>
                <w:rFonts w:ascii="Arial" w:hAnsi="Arial" w:cs="Arial"/>
              </w:rPr>
            </w:pPr>
            <w:r w:rsidRPr="00F05339">
              <w:rPr>
                <w:rFonts w:ascii="Arial" w:hAnsi="Arial" w:cs="Arial"/>
              </w:rPr>
              <w:t xml:space="preserve">Additional review of potential financial risks within FCH 2 JU top beneficiaries, followed up by bilateral </w:t>
            </w:r>
            <w:r w:rsidR="000906C4" w:rsidRPr="00F05339">
              <w:rPr>
                <w:rFonts w:ascii="Arial" w:hAnsi="Arial" w:cs="Arial"/>
              </w:rPr>
              <w:t>telcos</w:t>
            </w:r>
            <w:r w:rsidRPr="00F05339">
              <w:rPr>
                <w:rFonts w:ascii="Arial" w:hAnsi="Arial" w:cs="Arial"/>
              </w:rPr>
              <w:t>.</w:t>
            </w:r>
          </w:p>
        </w:tc>
        <w:tc>
          <w:tcPr>
            <w:tcW w:w="3261" w:type="dxa"/>
          </w:tcPr>
          <w:p w14:paraId="7A69CECC" w14:textId="54F8182D" w:rsidR="006C336C" w:rsidRPr="00F05339" w:rsidRDefault="006C336C" w:rsidP="00DF2591">
            <w:pPr>
              <w:ind w:left="-5" w:right="-13"/>
              <w:rPr>
                <w:rFonts w:ascii="Arial" w:hAnsi="Arial" w:cs="Arial"/>
              </w:rPr>
            </w:pPr>
            <w:r w:rsidRPr="00F05339">
              <w:rPr>
                <w:rFonts w:ascii="Arial" w:hAnsi="Arial" w:cs="Arial"/>
              </w:rPr>
              <w:t xml:space="preserve">In 2021, we executed the action plan accordingly and results were positive. High risk beneficiaries were identified based </w:t>
            </w:r>
            <w:r w:rsidR="000906C4">
              <w:rPr>
                <w:rFonts w:ascii="Arial" w:hAnsi="Arial" w:cs="Arial"/>
              </w:rPr>
              <w:t xml:space="preserve">on </w:t>
            </w:r>
            <w:r w:rsidRPr="00F05339">
              <w:rPr>
                <w:rFonts w:ascii="Arial" w:hAnsi="Arial" w:cs="Arial"/>
              </w:rPr>
              <w:t xml:space="preserve">the lessons learnt. </w:t>
            </w:r>
          </w:p>
          <w:p w14:paraId="482F62EB" w14:textId="77777777" w:rsidR="006C336C" w:rsidRPr="00F05339" w:rsidRDefault="006C336C" w:rsidP="00DF2591">
            <w:pPr>
              <w:ind w:left="-5" w:right="-13"/>
              <w:rPr>
                <w:rFonts w:ascii="Arial" w:hAnsi="Arial" w:cs="Arial"/>
              </w:rPr>
            </w:pPr>
            <w:r w:rsidRPr="00F05339">
              <w:rPr>
                <w:rFonts w:ascii="Arial" w:hAnsi="Arial" w:cs="Arial"/>
              </w:rPr>
              <w:t xml:space="preserve">Individual bilateral financial webinars were set up to prevent and detect early any potential financial errors. </w:t>
            </w:r>
          </w:p>
          <w:p w14:paraId="5CF2A01F" w14:textId="19329EB4" w:rsidR="006C336C" w:rsidRPr="00F05339" w:rsidRDefault="006C336C" w:rsidP="00DF2591">
            <w:pPr>
              <w:ind w:left="-5" w:right="-13"/>
              <w:rPr>
                <w:rFonts w:ascii="Arial" w:hAnsi="Arial" w:cs="Arial"/>
              </w:rPr>
            </w:pPr>
            <w:r w:rsidRPr="00F05339">
              <w:rPr>
                <w:rFonts w:ascii="Arial" w:hAnsi="Arial" w:cs="Arial"/>
              </w:rPr>
              <w:t xml:space="preserve">Impact analysis showed that several possible misstatements were corrected at ex-ante level and that the error rate, especially in the </w:t>
            </w:r>
            <w:r w:rsidR="000906C4" w:rsidRPr="00F05339">
              <w:rPr>
                <w:rFonts w:ascii="Arial" w:hAnsi="Arial" w:cs="Arial"/>
              </w:rPr>
              <w:t>riskiest</w:t>
            </w:r>
            <w:r w:rsidRPr="00F05339">
              <w:rPr>
                <w:rFonts w:ascii="Arial" w:hAnsi="Arial" w:cs="Arial"/>
              </w:rPr>
              <w:t xml:space="preserve"> categories of the beneficiaries (SMEs &amp; newcomers) has progressively decreased.</w:t>
            </w:r>
          </w:p>
          <w:p w14:paraId="62F59B6D" w14:textId="77777777" w:rsidR="006C336C" w:rsidRPr="00F05339" w:rsidRDefault="006C336C" w:rsidP="00DF2591">
            <w:pPr>
              <w:ind w:left="-5" w:right="-13"/>
              <w:rPr>
                <w:rFonts w:ascii="Arial" w:hAnsi="Arial" w:cs="Arial"/>
              </w:rPr>
            </w:pPr>
            <w:r w:rsidRPr="00F05339">
              <w:rPr>
                <w:rFonts w:ascii="Arial" w:hAnsi="Arial" w:cs="Arial"/>
              </w:rPr>
              <w:t xml:space="preserve">Ex-ante control strategy for Horizon Europe further supports a risk-based oriented ex-ante approach. Many newcomers and new beneficiaries are entering our programme. </w:t>
            </w:r>
          </w:p>
          <w:p w14:paraId="0358A075" w14:textId="47AC0F98" w:rsidR="006C336C" w:rsidRPr="00F05339" w:rsidRDefault="006C336C" w:rsidP="00DF2591">
            <w:pPr>
              <w:ind w:left="-5" w:right="-13"/>
              <w:rPr>
                <w:rFonts w:ascii="Arial" w:hAnsi="Arial" w:cs="Arial"/>
              </w:rPr>
            </w:pPr>
            <w:r w:rsidRPr="00F05339">
              <w:rPr>
                <w:rFonts w:ascii="Arial" w:hAnsi="Arial" w:cs="Arial"/>
              </w:rPr>
              <w:t>For H2020, the screening will focus on the projects from Call 2020 which will only report their costs in 2022 for the first time.</w:t>
            </w:r>
          </w:p>
        </w:tc>
      </w:tr>
      <w:tr w:rsidR="006C336C" w:rsidRPr="00F05339" w14:paraId="40FE08CC" w14:textId="77777777" w:rsidTr="00DF2591">
        <w:trPr>
          <w:trHeight w:val="5115"/>
        </w:trPr>
        <w:tc>
          <w:tcPr>
            <w:tcW w:w="739" w:type="dxa"/>
            <w:noWrap/>
            <w:textDirection w:val="tbLrV"/>
            <w:hideMark/>
          </w:tcPr>
          <w:p w14:paraId="62184D2C" w14:textId="77777777" w:rsidR="006C336C" w:rsidRPr="00F05339" w:rsidRDefault="006C336C" w:rsidP="00DF2591">
            <w:pPr>
              <w:ind w:left="-5" w:right="-13"/>
              <w:rPr>
                <w:rFonts w:ascii="Arial" w:hAnsi="Arial" w:cs="Arial"/>
              </w:rPr>
            </w:pPr>
            <w:r w:rsidRPr="00F05339">
              <w:rPr>
                <w:rFonts w:ascii="Arial" w:hAnsi="Arial" w:cs="Arial"/>
              </w:rPr>
              <w:lastRenderedPageBreak/>
              <w:t>MEDIUM</w:t>
            </w:r>
          </w:p>
        </w:tc>
        <w:tc>
          <w:tcPr>
            <w:tcW w:w="2658" w:type="dxa"/>
          </w:tcPr>
          <w:p w14:paraId="59556FEB" w14:textId="77777777" w:rsidR="006C336C" w:rsidRPr="00F05339" w:rsidRDefault="006C336C" w:rsidP="00DF2591">
            <w:pPr>
              <w:ind w:left="-5" w:right="-13"/>
              <w:rPr>
                <w:rFonts w:ascii="Arial" w:hAnsi="Arial" w:cs="Arial"/>
              </w:rPr>
            </w:pPr>
            <w:r w:rsidRPr="00F05339">
              <w:rPr>
                <w:rFonts w:ascii="Arial" w:hAnsi="Arial" w:cs="Arial"/>
              </w:rPr>
              <w:t>Due to COVID-19, to ensure business continuity, FCH 2 JU is highly dependent on safe and proper functioning of the IT tools and network connection, which become increasingly vulnerable to potential cyberattacks, performance inefficiencies and connection failures due to increased traffic, different level of security connection and increased levels of pirate attacks and phishing.</w:t>
            </w:r>
          </w:p>
          <w:p w14:paraId="3DB36988" w14:textId="77777777" w:rsidR="006C336C" w:rsidRPr="00F05339" w:rsidRDefault="006C336C" w:rsidP="00DF2591">
            <w:pPr>
              <w:ind w:left="-5" w:right="-13"/>
              <w:rPr>
                <w:rFonts w:ascii="Arial" w:hAnsi="Arial" w:cs="Arial"/>
              </w:rPr>
            </w:pPr>
            <w:r w:rsidRPr="00F05339">
              <w:rPr>
                <w:rFonts w:ascii="Arial" w:hAnsi="Arial" w:cs="Arial"/>
              </w:rPr>
              <w:t xml:space="preserve">Unknown weaknesses in the systems may pose higher risks of failures of the operations, and </w:t>
            </w:r>
            <w:proofErr w:type="gramStart"/>
            <w:r w:rsidRPr="00F05339">
              <w:rPr>
                <w:rFonts w:ascii="Arial" w:hAnsi="Arial" w:cs="Arial"/>
              </w:rPr>
              <w:t>also</w:t>
            </w:r>
            <w:proofErr w:type="gramEnd"/>
            <w:r w:rsidRPr="00F05339">
              <w:rPr>
                <w:rFonts w:ascii="Arial" w:hAnsi="Arial" w:cs="Arial"/>
              </w:rPr>
              <w:t xml:space="preserve"> they may create opportunities for fraudulent behaviour.</w:t>
            </w:r>
          </w:p>
        </w:tc>
        <w:tc>
          <w:tcPr>
            <w:tcW w:w="2835" w:type="dxa"/>
          </w:tcPr>
          <w:p w14:paraId="26E4541C" w14:textId="77777777" w:rsidR="006C336C" w:rsidRPr="00F05339" w:rsidRDefault="006C336C" w:rsidP="00DF2591">
            <w:pPr>
              <w:ind w:left="-5" w:right="-13"/>
              <w:rPr>
                <w:rFonts w:ascii="Arial" w:hAnsi="Arial" w:cs="Arial"/>
              </w:rPr>
            </w:pPr>
            <w:r w:rsidRPr="00F05339">
              <w:rPr>
                <w:rFonts w:ascii="Arial" w:hAnsi="Arial" w:cs="Arial"/>
              </w:rPr>
              <w:t xml:space="preserve">Mitigating actions include raising awareness of staff and mechanisms to prevent attacks including the following: </w:t>
            </w:r>
          </w:p>
          <w:p w14:paraId="207B7783" w14:textId="77777777" w:rsidR="006C336C" w:rsidRPr="00F05339" w:rsidRDefault="006C336C" w:rsidP="00DF2591">
            <w:pPr>
              <w:ind w:left="-5" w:right="-13"/>
              <w:rPr>
                <w:rFonts w:ascii="Arial" w:hAnsi="Arial" w:cs="Arial"/>
              </w:rPr>
            </w:pPr>
            <w:r w:rsidRPr="00F05339">
              <w:rPr>
                <w:rFonts w:ascii="Arial" w:hAnsi="Arial" w:cs="Arial"/>
              </w:rPr>
              <w:t xml:space="preserve">- Improved ex-ante and ex-post security systems </w:t>
            </w:r>
            <w:proofErr w:type="gramStart"/>
            <w:r w:rsidRPr="00F05339">
              <w:rPr>
                <w:rFonts w:ascii="Arial" w:hAnsi="Arial" w:cs="Arial"/>
              </w:rPr>
              <w:t>controls</w:t>
            </w:r>
            <w:proofErr w:type="gramEnd"/>
            <w:r w:rsidRPr="00F05339">
              <w:rPr>
                <w:rFonts w:ascii="Arial" w:hAnsi="Arial" w:cs="Arial"/>
              </w:rPr>
              <w:t xml:space="preserve"> for automated attacks; </w:t>
            </w:r>
          </w:p>
          <w:p w14:paraId="3BA49F0D" w14:textId="77777777" w:rsidR="006C336C" w:rsidRPr="00F05339" w:rsidRDefault="006C336C" w:rsidP="00DF2591">
            <w:pPr>
              <w:ind w:left="-5" w:right="-13"/>
              <w:rPr>
                <w:rFonts w:ascii="Arial" w:hAnsi="Arial" w:cs="Arial"/>
              </w:rPr>
            </w:pPr>
            <w:r w:rsidRPr="00F05339">
              <w:rPr>
                <w:rFonts w:ascii="Arial" w:hAnsi="Arial" w:cs="Arial"/>
              </w:rPr>
              <w:t>- Increased the level of controls were implemented with CERT-</w:t>
            </w:r>
            <w:proofErr w:type="gramStart"/>
            <w:r w:rsidRPr="00F05339">
              <w:rPr>
                <w:rFonts w:ascii="Arial" w:hAnsi="Arial" w:cs="Arial"/>
              </w:rPr>
              <w:t>EU;</w:t>
            </w:r>
            <w:proofErr w:type="gramEnd"/>
          </w:p>
          <w:p w14:paraId="357693FC" w14:textId="77777777" w:rsidR="006C336C" w:rsidRPr="00F05339" w:rsidRDefault="006C336C" w:rsidP="00DF2591">
            <w:pPr>
              <w:ind w:left="-5" w:right="-13"/>
              <w:rPr>
                <w:rFonts w:ascii="Arial" w:hAnsi="Arial" w:cs="Arial"/>
              </w:rPr>
            </w:pPr>
            <w:r w:rsidRPr="00F05339">
              <w:rPr>
                <w:rFonts w:ascii="Arial" w:hAnsi="Arial" w:cs="Arial"/>
              </w:rPr>
              <w:t>- Increased level of security and advanced protection were adopted.</w:t>
            </w:r>
          </w:p>
          <w:p w14:paraId="2117F15B" w14:textId="77777777" w:rsidR="006C336C" w:rsidRPr="00F05339" w:rsidRDefault="006C336C" w:rsidP="00DF2591">
            <w:pPr>
              <w:ind w:left="-5" w:right="-13"/>
              <w:rPr>
                <w:rFonts w:ascii="Arial" w:hAnsi="Arial" w:cs="Arial"/>
              </w:rPr>
            </w:pPr>
            <w:r w:rsidRPr="00F05339">
              <w:rPr>
                <w:rFonts w:ascii="Arial" w:hAnsi="Arial" w:cs="Arial"/>
              </w:rPr>
              <w:t>Training and awareness sessions for increased security measures should be put in place further.</w:t>
            </w:r>
          </w:p>
        </w:tc>
        <w:tc>
          <w:tcPr>
            <w:tcW w:w="3261" w:type="dxa"/>
          </w:tcPr>
          <w:p w14:paraId="2E92FC7D" w14:textId="77777777" w:rsidR="006C336C" w:rsidRPr="00F05339" w:rsidRDefault="006C336C" w:rsidP="00DF2591">
            <w:pPr>
              <w:ind w:left="-5" w:right="-13"/>
              <w:rPr>
                <w:rFonts w:ascii="Arial" w:hAnsi="Arial" w:cs="Arial"/>
              </w:rPr>
            </w:pPr>
            <w:r w:rsidRPr="00F05339">
              <w:rPr>
                <w:rFonts w:ascii="Arial" w:hAnsi="Arial" w:cs="Arial"/>
              </w:rPr>
              <w:t xml:space="preserve">In 2021, we continued trainings and awareness sessions on cyber-security, phishing, etc. </w:t>
            </w:r>
          </w:p>
          <w:p w14:paraId="57ED0560" w14:textId="77777777" w:rsidR="006C336C" w:rsidRPr="00F05339" w:rsidRDefault="006C336C" w:rsidP="00DF2591">
            <w:pPr>
              <w:ind w:left="-5" w:right="-13"/>
              <w:rPr>
                <w:rFonts w:ascii="Arial" w:hAnsi="Arial" w:cs="Arial"/>
              </w:rPr>
            </w:pPr>
            <w:r w:rsidRPr="00F05339">
              <w:rPr>
                <w:rFonts w:ascii="Arial" w:hAnsi="Arial" w:cs="Arial"/>
              </w:rPr>
              <w:t>The IT systems have continuously been updated.</w:t>
            </w:r>
          </w:p>
          <w:p w14:paraId="3AF41608" w14:textId="77777777" w:rsidR="006C336C" w:rsidRPr="00F05339" w:rsidRDefault="006C336C" w:rsidP="00DF2591">
            <w:pPr>
              <w:ind w:left="-5" w:right="-13"/>
              <w:rPr>
                <w:rFonts w:ascii="Arial" w:hAnsi="Arial" w:cs="Arial"/>
              </w:rPr>
            </w:pPr>
            <w:r w:rsidRPr="00F05339">
              <w:rPr>
                <w:rFonts w:ascii="Arial" w:hAnsi="Arial" w:cs="Arial"/>
              </w:rPr>
              <w:t>Thanks to numerous actions adopted in 2021, we are in the position to reduce impact and likelihood, therefore reducing the residual level of the risk from medium to low.</w:t>
            </w:r>
          </w:p>
        </w:tc>
      </w:tr>
      <w:tr w:rsidR="006C336C" w:rsidRPr="00F05339" w14:paraId="74ED97B8" w14:textId="77777777" w:rsidTr="00DF2591">
        <w:trPr>
          <w:trHeight w:val="5370"/>
        </w:trPr>
        <w:tc>
          <w:tcPr>
            <w:tcW w:w="739" w:type="dxa"/>
            <w:noWrap/>
            <w:textDirection w:val="tbLrV"/>
            <w:hideMark/>
          </w:tcPr>
          <w:p w14:paraId="6CA4566B" w14:textId="77777777" w:rsidR="006C336C" w:rsidRPr="00F05339" w:rsidRDefault="006C336C" w:rsidP="00DF2591">
            <w:pPr>
              <w:ind w:left="-5" w:right="-13"/>
              <w:rPr>
                <w:rFonts w:ascii="Arial" w:hAnsi="Arial" w:cs="Arial"/>
              </w:rPr>
            </w:pPr>
            <w:r w:rsidRPr="00F05339">
              <w:rPr>
                <w:rFonts w:ascii="Arial" w:hAnsi="Arial" w:cs="Arial"/>
              </w:rPr>
              <w:t>MEDIUM</w:t>
            </w:r>
          </w:p>
        </w:tc>
        <w:tc>
          <w:tcPr>
            <w:tcW w:w="2658" w:type="dxa"/>
          </w:tcPr>
          <w:p w14:paraId="77943EAE" w14:textId="77777777" w:rsidR="006C336C" w:rsidRPr="00F05339" w:rsidRDefault="006C336C" w:rsidP="00DF2591">
            <w:pPr>
              <w:ind w:left="-5" w:right="-13"/>
              <w:rPr>
                <w:rFonts w:ascii="Arial" w:hAnsi="Arial" w:cs="Arial"/>
              </w:rPr>
            </w:pPr>
            <w:r w:rsidRPr="00F05339">
              <w:rPr>
                <w:rFonts w:ascii="Arial" w:hAnsi="Arial" w:cs="Arial"/>
              </w:rPr>
              <w:t>Risk that program objectives will not be achieved fully and timely due to delays in project execution attributed to COVID-19.</w:t>
            </w:r>
          </w:p>
        </w:tc>
        <w:tc>
          <w:tcPr>
            <w:tcW w:w="2835" w:type="dxa"/>
          </w:tcPr>
          <w:p w14:paraId="0D358423" w14:textId="77777777" w:rsidR="006C336C" w:rsidRPr="00F05339" w:rsidRDefault="006C336C" w:rsidP="00DF2591">
            <w:pPr>
              <w:ind w:left="-5" w:right="-13"/>
              <w:rPr>
                <w:rFonts w:ascii="Arial" w:hAnsi="Arial" w:cs="Arial"/>
              </w:rPr>
            </w:pPr>
            <w:r w:rsidRPr="00F05339">
              <w:rPr>
                <w:rFonts w:ascii="Arial" w:hAnsi="Arial" w:cs="Arial"/>
              </w:rPr>
              <w:t>Mitigating actions are in place for monitoring of any delays in the project, restructuring of the projects, if necessary, granting project extension in average of 6 months due to COVID19 via amendment process.</w:t>
            </w:r>
          </w:p>
        </w:tc>
        <w:tc>
          <w:tcPr>
            <w:tcW w:w="3261" w:type="dxa"/>
          </w:tcPr>
          <w:p w14:paraId="591AEDFB" w14:textId="77777777" w:rsidR="006C336C" w:rsidRPr="00F05339" w:rsidRDefault="006C336C" w:rsidP="00DF2591">
            <w:pPr>
              <w:ind w:left="-5" w:right="-13"/>
              <w:rPr>
                <w:rFonts w:ascii="Arial" w:hAnsi="Arial" w:cs="Arial"/>
              </w:rPr>
            </w:pPr>
            <w:r w:rsidRPr="00F05339">
              <w:rPr>
                <w:rFonts w:ascii="Arial" w:hAnsi="Arial" w:cs="Arial"/>
              </w:rPr>
              <w:t>In 2021 we had concrete examples from our projects – mainly demonstration projects reflect these issues (</w:t>
            </w:r>
            <w:proofErr w:type="gramStart"/>
            <w:r w:rsidRPr="00F05339">
              <w:rPr>
                <w:rFonts w:ascii="Arial" w:hAnsi="Arial" w:cs="Arial"/>
              </w:rPr>
              <w:t>e.g.</w:t>
            </w:r>
            <w:proofErr w:type="gramEnd"/>
            <w:r w:rsidRPr="00F05339">
              <w:rPr>
                <w:rFonts w:ascii="Arial" w:hAnsi="Arial" w:cs="Arial"/>
              </w:rPr>
              <w:t xml:space="preserve"> delays in component supplies, change of investment strategies, lack of skilled people and turnover and mobility of talents).</w:t>
            </w:r>
          </w:p>
          <w:p w14:paraId="7928AA05" w14:textId="77777777" w:rsidR="006C336C" w:rsidRPr="00F05339" w:rsidRDefault="006C336C" w:rsidP="00DF2591">
            <w:pPr>
              <w:ind w:left="-5" w:right="-13"/>
              <w:rPr>
                <w:rFonts w:ascii="Arial" w:hAnsi="Arial" w:cs="Arial"/>
              </w:rPr>
            </w:pPr>
            <w:r w:rsidRPr="00F05339">
              <w:rPr>
                <w:rFonts w:ascii="Arial" w:hAnsi="Arial" w:cs="Arial"/>
              </w:rPr>
              <w:t xml:space="preserve">Due to increased </w:t>
            </w:r>
            <w:proofErr w:type="gramStart"/>
            <w:r w:rsidRPr="00F05339">
              <w:rPr>
                <w:rFonts w:ascii="Arial" w:hAnsi="Arial" w:cs="Arial"/>
              </w:rPr>
              <w:t>amount</w:t>
            </w:r>
            <w:proofErr w:type="gramEnd"/>
            <w:r w:rsidRPr="00F05339">
              <w:rPr>
                <w:rFonts w:ascii="Arial" w:hAnsi="Arial" w:cs="Arial"/>
              </w:rPr>
              <w:t xml:space="preserve"> of activities in the sector, there is higher demand on experts and we may suffer from lack of their availability.</w:t>
            </w:r>
          </w:p>
          <w:p w14:paraId="280F7AFA" w14:textId="77777777" w:rsidR="006C336C" w:rsidRPr="00F05339" w:rsidRDefault="006C336C" w:rsidP="00DF2591">
            <w:pPr>
              <w:ind w:left="-5" w:right="-13"/>
              <w:rPr>
                <w:rFonts w:ascii="Arial" w:hAnsi="Arial" w:cs="Arial"/>
              </w:rPr>
            </w:pPr>
            <w:r w:rsidRPr="00F05339">
              <w:rPr>
                <w:rFonts w:ascii="Arial" w:hAnsi="Arial" w:cs="Arial"/>
              </w:rPr>
              <w:t>Rating of the risk: we keep at least one more year this risk as medium, and we re-evaluate next year.</w:t>
            </w:r>
          </w:p>
        </w:tc>
      </w:tr>
      <w:tr w:rsidR="006C336C" w:rsidRPr="00F05339" w14:paraId="5D300D7F" w14:textId="77777777" w:rsidTr="00DF2591">
        <w:trPr>
          <w:trHeight w:val="4605"/>
        </w:trPr>
        <w:tc>
          <w:tcPr>
            <w:tcW w:w="739" w:type="dxa"/>
            <w:noWrap/>
            <w:textDirection w:val="tbLrV"/>
            <w:hideMark/>
          </w:tcPr>
          <w:p w14:paraId="59E251F2" w14:textId="77777777" w:rsidR="006C336C" w:rsidRPr="00F05339" w:rsidRDefault="006C336C" w:rsidP="00DF2591">
            <w:pPr>
              <w:ind w:left="-5" w:right="-13"/>
              <w:rPr>
                <w:rFonts w:ascii="Arial" w:hAnsi="Arial" w:cs="Arial"/>
              </w:rPr>
            </w:pPr>
            <w:r w:rsidRPr="00F05339">
              <w:rPr>
                <w:rFonts w:ascii="Arial" w:hAnsi="Arial" w:cs="Arial"/>
              </w:rPr>
              <w:lastRenderedPageBreak/>
              <w:t>MEDIUM</w:t>
            </w:r>
          </w:p>
        </w:tc>
        <w:tc>
          <w:tcPr>
            <w:tcW w:w="2658" w:type="dxa"/>
          </w:tcPr>
          <w:p w14:paraId="5A6EA487" w14:textId="77777777" w:rsidR="006C336C" w:rsidRPr="00F05339" w:rsidRDefault="006C336C" w:rsidP="00DF2591">
            <w:pPr>
              <w:ind w:left="-5" w:right="-13"/>
              <w:rPr>
                <w:rFonts w:ascii="Arial" w:hAnsi="Arial" w:cs="Arial"/>
              </w:rPr>
            </w:pPr>
            <w:r w:rsidRPr="00F05339">
              <w:rPr>
                <w:rFonts w:ascii="Arial" w:hAnsi="Arial" w:cs="Arial"/>
              </w:rPr>
              <w:t>Risk of disruption of the operations in case substantial amount of people would be infected by COVID-19 virus, combined with a risk of staff disengaging from the culture of the organization.</w:t>
            </w:r>
          </w:p>
        </w:tc>
        <w:tc>
          <w:tcPr>
            <w:tcW w:w="2835" w:type="dxa"/>
          </w:tcPr>
          <w:p w14:paraId="61AAB34C" w14:textId="77777777" w:rsidR="006C336C" w:rsidRPr="00F05339" w:rsidRDefault="006C336C" w:rsidP="00DF2591">
            <w:pPr>
              <w:ind w:left="-5" w:right="-13"/>
              <w:rPr>
                <w:rFonts w:ascii="Arial" w:hAnsi="Arial" w:cs="Arial"/>
              </w:rPr>
            </w:pPr>
            <w:r w:rsidRPr="00F05339">
              <w:rPr>
                <w:rFonts w:ascii="Arial" w:hAnsi="Arial" w:cs="Arial"/>
              </w:rPr>
              <w:t>Adequate back-up systems are in place, coaching sessions and regular virtual team meetings are in place.</w:t>
            </w:r>
          </w:p>
        </w:tc>
        <w:tc>
          <w:tcPr>
            <w:tcW w:w="3261" w:type="dxa"/>
          </w:tcPr>
          <w:p w14:paraId="6CAD45CB" w14:textId="77777777" w:rsidR="006C336C" w:rsidRPr="00F05339" w:rsidRDefault="006C336C" w:rsidP="00DF2591">
            <w:pPr>
              <w:ind w:left="-5" w:right="-13"/>
              <w:rPr>
                <w:rFonts w:ascii="Arial" w:hAnsi="Arial" w:cs="Arial"/>
              </w:rPr>
            </w:pPr>
            <w:r w:rsidRPr="00F05339">
              <w:rPr>
                <w:rFonts w:ascii="Arial" w:hAnsi="Arial" w:cs="Arial"/>
              </w:rPr>
              <w:t>In 2021, mitigating measures were implemented, including: vaccinations, limits on the presence of the % of the people physically in the office, reinforced use of teleworking, adopting new ways of hybrid working, etc.</w:t>
            </w:r>
          </w:p>
          <w:p w14:paraId="4E5B7F1F" w14:textId="77777777" w:rsidR="006C336C" w:rsidRPr="00F05339" w:rsidRDefault="006C336C" w:rsidP="00DF2591">
            <w:pPr>
              <w:ind w:left="-5" w:right="-13"/>
              <w:rPr>
                <w:rFonts w:ascii="Arial" w:hAnsi="Arial" w:cs="Arial"/>
              </w:rPr>
            </w:pPr>
            <w:r w:rsidRPr="00F05339">
              <w:rPr>
                <w:rFonts w:ascii="Arial" w:hAnsi="Arial" w:cs="Arial"/>
              </w:rPr>
              <w:t>No distortions of the operations were observed, also due to virus becoming less strong.</w:t>
            </w:r>
          </w:p>
          <w:p w14:paraId="2728A433" w14:textId="77777777" w:rsidR="006C336C" w:rsidRPr="00F05339" w:rsidRDefault="006C336C" w:rsidP="00DF2591">
            <w:pPr>
              <w:ind w:left="-5" w:right="-13"/>
              <w:rPr>
                <w:rFonts w:ascii="Arial" w:hAnsi="Arial" w:cs="Arial"/>
                <w:highlight w:val="yellow"/>
              </w:rPr>
            </w:pPr>
            <w:r w:rsidRPr="00F05339">
              <w:rPr>
                <w:rFonts w:ascii="Arial" w:hAnsi="Arial" w:cs="Arial"/>
              </w:rPr>
              <w:t>Therefore, we are reducing the impact and likelihood of the risk, moving the residual level of the risk to low.</w:t>
            </w:r>
          </w:p>
        </w:tc>
      </w:tr>
    </w:tbl>
    <w:p w14:paraId="17829A3B" w14:textId="77777777" w:rsidR="006C336C" w:rsidRPr="00F05339" w:rsidRDefault="006C336C" w:rsidP="006C336C">
      <w:pPr>
        <w:ind w:left="-5" w:right="-13"/>
        <w:rPr>
          <w:rFonts w:ascii="Arial" w:hAnsi="Arial" w:cs="Arial"/>
        </w:rPr>
      </w:pPr>
    </w:p>
    <w:p w14:paraId="08637BCA" w14:textId="77777777" w:rsidR="006C336C" w:rsidRPr="00F05339" w:rsidRDefault="006C336C" w:rsidP="006C336C">
      <w:pPr>
        <w:spacing w:after="466"/>
        <w:ind w:left="10" w:right="18"/>
        <w:jc w:val="both"/>
        <w:rPr>
          <w:rFonts w:ascii="Arial" w:hAnsi="Arial" w:cs="Arial"/>
        </w:rPr>
      </w:pPr>
      <w:r w:rsidRPr="00F05339">
        <w:rPr>
          <w:rFonts w:ascii="Arial" w:hAnsi="Arial" w:cs="Arial"/>
          <w:b/>
        </w:rPr>
        <w:t>The outcome of the 2021 risk assessment workshop on new or continuing risks for 2022 are included in the AWP 2022</w:t>
      </w:r>
      <w:r w:rsidRPr="00F05339">
        <w:rPr>
          <w:rFonts w:ascii="Arial" w:hAnsi="Arial" w:cs="Arial"/>
        </w:rPr>
        <w:t>.</w:t>
      </w:r>
    </w:p>
    <w:p w14:paraId="43ECD464" w14:textId="77777777" w:rsidR="006C336C" w:rsidRPr="00F05339" w:rsidRDefault="006C336C" w:rsidP="00864737">
      <w:pPr>
        <w:ind w:firstLine="720"/>
        <w:jc w:val="both"/>
        <w:rPr>
          <w:rFonts w:ascii="Arial" w:hAnsi="Arial" w:cs="Arial"/>
          <w:color w:val="0070C0"/>
        </w:rPr>
      </w:pPr>
    </w:p>
    <w:p w14:paraId="6D96E1DA" w14:textId="6425363C" w:rsidR="00204068" w:rsidRPr="00F05339" w:rsidRDefault="00DF1916" w:rsidP="00243CE5">
      <w:pPr>
        <w:pStyle w:val="Heading3"/>
        <w:numPr>
          <w:ilvl w:val="1"/>
          <w:numId w:val="1"/>
        </w:numPr>
        <w:jc w:val="both"/>
        <w:rPr>
          <w:rFonts w:ascii="Arial" w:hAnsi="Arial" w:cs="Arial"/>
        </w:rPr>
      </w:pPr>
      <w:bookmarkStart w:id="13" w:name="_Toc98496325"/>
      <w:bookmarkStart w:id="14" w:name="_Toc101516048"/>
      <w:r w:rsidRPr="00F05339">
        <w:rPr>
          <w:rFonts w:ascii="Arial" w:hAnsi="Arial" w:cs="Arial"/>
        </w:rPr>
        <w:t xml:space="preserve">Research </w:t>
      </w:r>
      <w:r w:rsidR="009A0E8B" w:rsidRPr="00F05339">
        <w:rPr>
          <w:rFonts w:ascii="Arial" w:hAnsi="Arial" w:cs="Arial"/>
        </w:rPr>
        <w:t xml:space="preserve">&amp; Innovation </w:t>
      </w:r>
      <w:r w:rsidRPr="00F05339">
        <w:rPr>
          <w:rFonts w:ascii="Arial" w:hAnsi="Arial" w:cs="Arial"/>
        </w:rPr>
        <w:t>activities</w:t>
      </w:r>
      <w:bookmarkEnd w:id="13"/>
      <w:bookmarkEnd w:id="14"/>
    </w:p>
    <w:p w14:paraId="1A60BDED" w14:textId="7777B235" w:rsidR="00554B16" w:rsidRPr="00F05339" w:rsidRDefault="00554B16" w:rsidP="00243CE5">
      <w:pPr>
        <w:pStyle w:val="Heading3"/>
        <w:numPr>
          <w:ilvl w:val="2"/>
          <w:numId w:val="1"/>
        </w:numPr>
        <w:jc w:val="both"/>
        <w:rPr>
          <w:rFonts w:ascii="Arial" w:hAnsi="Arial" w:cs="Arial"/>
        </w:rPr>
      </w:pPr>
      <w:bookmarkStart w:id="15" w:name="_Ref63081885"/>
      <w:bookmarkStart w:id="16" w:name="_Toc98496326"/>
      <w:bookmarkStart w:id="17" w:name="_Toc101516049"/>
      <w:r w:rsidRPr="00F05339">
        <w:rPr>
          <w:rFonts w:ascii="Arial" w:hAnsi="Arial" w:cs="Arial"/>
        </w:rPr>
        <w:t>Scientific and technological achievements</w:t>
      </w:r>
      <w:bookmarkEnd w:id="15"/>
      <w:bookmarkEnd w:id="16"/>
      <w:bookmarkEnd w:id="17"/>
    </w:p>
    <w:p w14:paraId="0C62E9DE" w14:textId="56010180" w:rsidR="00554B16" w:rsidRDefault="00554B16" w:rsidP="00554B16">
      <w:pPr>
        <w:spacing w:after="0" w:line="240" w:lineRule="auto"/>
        <w:jc w:val="both"/>
        <w:rPr>
          <w:rFonts w:ascii="Arial" w:hAnsi="Arial" w:cs="Arial"/>
          <w:lang w:val="en-US"/>
        </w:rPr>
      </w:pPr>
      <w:r w:rsidRPr="00F05339">
        <w:rPr>
          <w:rFonts w:ascii="Arial" w:hAnsi="Arial" w:cs="Arial"/>
        </w:rPr>
        <w:t xml:space="preserve">The overall objective of the FCH 2 JU is to implement an optimal research and innovation (R&amp;I) programme at the EU level to develop a portfolio of clean and efficient solutions exploiting the properties of hydrogen as an energy carrier and fuel cells (FCs) as energy converters to the point of market readiness. </w:t>
      </w:r>
      <w:r w:rsidRPr="00F05339">
        <w:rPr>
          <w:rFonts w:ascii="Arial" w:hAnsi="Arial" w:cs="Arial"/>
          <w:lang w:val="en-US"/>
        </w:rPr>
        <w:t xml:space="preserve">Thanks to the partnership between leading research organizations and industrial companies, the activities of the JU cover all stages of product development from low TRL research up to large demonstration projects. </w:t>
      </w:r>
    </w:p>
    <w:p w14:paraId="02B0C0CD" w14:textId="77777777" w:rsidR="00334E0F" w:rsidRPr="00F05339" w:rsidRDefault="00334E0F" w:rsidP="00554B16">
      <w:pPr>
        <w:spacing w:after="0" w:line="240" w:lineRule="auto"/>
        <w:jc w:val="both"/>
        <w:rPr>
          <w:rFonts w:ascii="Arial" w:hAnsi="Arial" w:cs="Arial"/>
          <w:lang w:val="en-US"/>
        </w:rPr>
      </w:pPr>
    </w:p>
    <w:p w14:paraId="49B2A90A" w14:textId="7FA37479" w:rsidR="00554B16" w:rsidRPr="00F05339" w:rsidRDefault="00554B16" w:rsidP="00554B16">
      <w:pPr>
        <w:spacing w:line="240" w:lineRule="auto"/>
        <w:jc w:val="both"/>
        <w:rPr>
          <w:rFonts w:ascii="Arial" w:hAnsi="Arial" w:cs="Arial"/>
        </w:rPr>
      </w:pPr>
      <w:r w:rsidRPr="00F05339">
        <w:rPr>
          <w:rFonts w:ascii="Arial" w:hAnsi="Arial" w:cs="Arial"/>
        </w:rPr>
        <w:t xml:space="preserve">Section </w:t>
      </w:r>
      <w:r w:rsidRPr="00F05339">
        <w:rPr>
          <w:rFonts w:ascii="Arial" w:hAnsi="Arial" w:cs="Arial"/>
        </w:rPr>
        <w:fldChar w:fldCharType="begin"/>
      </w:r>
      <w:r w:rsidRPr="00F05339">
        <w:rPr>
          <w:rFonts w:ascii="Arial" w:hAnsi="Arial" w:cs="Arial"/>
        </w:rPr>
        <w:instrText xml:space="preserve"> REF _Ref63081885 \n \h  \* MERGEFORMAT </w:instrText>
      </w:r>
      <w:r w:rsidRPr="00F05339">
        <w:rPr>
          <w:rFonts w:ascii="Arial" w:hAnsi="Arial" w:cs="Arial"/>
        </w:rPr>
      </w:r>
      <w:r w:rsidRPr="00F05339">
        <w:rPr>
          <w:rFonts w:ascii="Arial" w:hAnsi="Arial" w:cs="Arial"/>
        </w:rPr>
        <w:fldChar w:fldCharType="separate"/>
      </w:r>
      <w:r w:rsidR="003068B5">
        <w:rPr>
          <w:rFonts w:ascii="Arial" w:hAnsi="Arial" w:cs="Arial"/>
        </w:rPr>
        <w:t>1.2.1</w:t>
      </w:r>
      <w:r w:rsidRPr="00F05339">
        <w:rPr>
          <w:rFonts w:ascii="Arial" w:hAnsi="Arial" w:cs="Arial"/>
        </w:rPr>
        <w:fldChar w:fldCharType="end"/>
      </w:r>
      <w:r w:rsidRPr="00F05339">
        <w:rPr>
          <w:rFonts w:ascii="Arial" w:hAnsi="Arial" w:cs="Arial"/>
        </w:rPr>
        <w:t xml:space="preserve"> presents the main achievements for all activities, as identified by the Programme Office with the </w:t>
      </w:r>
      <w:r w:rsidR="00CD689F">
        <w:rPr>
          <w:rFonts w:ascii="Arial" w:hAnsi="Arial" w:cs="Arial"/>
        </w:rPr>
        <w:t>support from</w:t>
      </w:r>
      <w:r w:rsidRPr="00F05339">
        <w:rPr>
          <w:rFonts w:ascii="Arial" w:hAnsi="Arial" w:cs="Arial"/>
        </w:rPr>
        <w:t xml:space="preserve"> the Joint Research Centre of the European Commission during the annual review 2021</w:t>
      </w:r>
      <w:r w:rsidR="00334E0F">
        <w:rPr>
          <w:rStyle w:val="FootnoteReference"/>
          <w:rFonts w:ascii="Arial" w:hAnsi="Arial" w:cs="Arial"/>
        </w:rPr>
        <w:footnoteReference w:id="14"/>
      </w:r>
      <w:r w:rsidRPr="00F05339">
        <w:rPr>
          <w:rFonts w:ascii="Arial" w:hAnsi="Arial" w:cs="Arial"/>
        </w:rPr>
        <w:t xml:space="preserve"> of the </w:t>
      </w:r>
      <w:r w:rsidR="00220D57">
        <w:rPr>
          <w:rFonts w:ascii="Arial" w:hAnsi="Arial" w:cs="Arial"/>
        </w:rPr>
        <w:t>P</w:t>
      </w:r>
      <w:r w:rsidRPr="00F05339">
        <w:rPr>
          <w:rFonts w:ascii="Arial" w:hAnsi="Arial" w:cs="Arial"/>
        </w:rPr>
        <w:t>rogramme</w:t>
      </w:r>
      <w:r w:rsidR="00334E0F">
        <w:rPr>
          <w:rStyle w:val="FootnoteReference"/>
          <w:rFonts w:ascii="Arial" w:hAnsi="Arial" w:cs="Arial"/>
        </w:rPr>
        <w:footnoteReference w:id="15"/>
      </w:r>
      <w:r w:rsidR="00220D57">
        <w:rPr>
          <w:rFonts w:ascii="Arial" w:hAnsi="Arial" w:cs="Arial"/>
        </w:rPr>
        <w:t>, with some additional recent data of 2021 – when available – that were presented in the Programme Review Days 2021</w:t>
      </w:r>
      <w:r w:rsidR="00220D57">
        <w:rPr>
          <w:rStyle w:val="FootnoteReference"/>
          <w:rFonts w:ascii="Arial" w:hAnsi="Arial" w:cs="Arial"/>
        </w:rPr>
        <w:footnoteReference w:id="16"/>
      </w:r>
      <w:r w:rsidRPr="00F05339">
        <w:rPr>
          <w:rFonts w:ascii="Arial" w:hAnsi="Arial" w:cs="Arial"/>
        </w:rPr>
        <w:t xml:space="preserve">. To facilitate the reading, these are split in the main pillars of transport and stationary applications, hydrogen production, hydrogen storage-distribution-purification and cross-cutting activities. </w:t>
      </w:r>
    </w:p>
    <w:p w14:paraId="660BB1BB" w14:textId="77777777" w:rsidR="00554B16" w:rsidRPr="00F05339" w:rsidRDefault="00554B16" w:rsidP="00243CE5">
      <w:pPr>
        <w:pStyle w:val="Heading3"/>
        <w:numPr>
          <w:ilvl w:val="3"/>
          <w:numId w:val="1"/>
        </w:numPr>
        <w:jc w:val="both"/>
        <w:rPr>
          <w:rFonts w:ascii="Arial" w:hAnsi="Arial" w:cs="Arial"/>
        </w:rPr>
      </w:pPr>
      <w:bookmarkStart w:id="18" w:name="_Toc98496327"/>
      <w:bookmarkStart w:id="19" w:name="_Toc101516050"/>
      <w:r w:rsidRPr="00F05339">
        <w:rPr>
          <w:rFonts w:ascii="Arial" w:hAnsi="Arial" w:cs="Arial"/>
        </w:rPr>
        <w:t>Transport applications</w:t>
      </w:r>
      <w:bookmarkEnd w:id="18"/>
      <w:bookmarkEnd w:id="19"/>
    </w:p>
    <w:p w14:paraId="69AE4F9D" w14:textId="77777777" w:rsidR="00554B16" w:rsidRPr="00F05339" w:rsidRDefault="00554B16" w:rsidP="00554B16">
      <w:pPr>
        <w:spacing w:after="0" w:line="240" w:lineRule="auto"/>
        <w:jc w:val="both"/>
        <w:rPr>
          <w:rFonts w:ascii="Arial" w:hAnsi="Arial" w:cs="Arial"/>
        </w:rPr>
      </w:pPr>
      <w:r w:rsidRPr="00F05339">
        <w:rPr>
          <w:rFonts w:ascii="Arial" w:hAnsi="Arial" w:cs="Arial"/>
        </w:rPr>
        <w:t xml:space="preserve">The demonstration actions in this field aim to prove technology readiness, reliability, robustness, fuel efficiency and sustainability. Historically, demonstration activities have </w:t>
      </w:r>
      <w:r w:rsidRPr="00F05339">
        <w:rPr>
          <w:rFonts w:ascii="Arial" w:hAnsi="Arial" w:cs="Arial"/>
        </w:rPr>
        <w:lastRenderedPageBreak/>
        <w:t xml:space="preserve">focused on road transport, based on cars and buses, but are now shifting towards heavy-duty road transport, rail and maritime </w:t>
      </w:r>
    </w:p>
    <w:p w14:paraId="5F311D77" w14:textId="77777777" w:rsidR="00554B16" w:rsidRPr="00F05339" w:rsidRDefault="00554B16" w:rsidP="00554B16">
      <w:pPr>
        <w:spacing w:after="0" w:line="240" w:lineRule="auto"/>
        <w:jc w:val="both"/>
        <w:rPr>
          <w:rFonts w:ascii="Arial" w:hAnsi="Arial" w:cs="Arial"/>
        </w:rPr>
      </w:pPr>
    </w:p>
    <w:p w14:paraId="7A44397D" w14:textId="77777777" w:rsidR="00554B16" w:rsidRPr="00F05339" w:rsidRDefault="00554B16" w:rsidP="00FF4AD3">
      <w:pPr>
        <w:rPr>
          <w:rFonts w:ascii="Arial" w:hAnsi="Arial" w:cs="Arial"/>
          <w:b/>
          <w:bCs/>
          <w:i/>
          <w:iCs/>
        </w:rPr>
      </w:pPr>
      <w:r w:rsidRPr="00F05339">
        <w:rPr>
          <w:rFonts w:ascii="Arial" w:hAnsi="Arial" w:cs="Arial"/>
          <w:b/>
          <w:bCs/>
          <w:i/>
          <w:iCs/>
        </w:rPr>
        <w:t>Light duty vehicles</w:t>
      </w:r>
    </w:p>
    <w:p w14:paraId="5A70D13A" w14:textId="6A553E5A" w:rsidR="005B6A7F" w:rsidRDefault="00554B16" w:rsidP="00554B16">
      <w:pPr>
        <w:spacing w:after="0" w:line="240" w:lineRule="auto"/>
        <w:jc w:val="both"/>
        <w:rPr>
          <w:rFonts w:ascii="Arial" w:hAnsi="Arial" w:cs="Arial"/>
        </w:rPr>
      </w:pPr>
      <w:r w:rsidRPr="00F05339">
        <w:rPr>
          <w:rFonts w:ascii="Arial" w:hAnsi="Arial" w:cs="Arial"/>
        </w:rPr>
        <w:t xml:space="preserve">The projects dedicated to fuel cell cars demonstration are H2ME, H2ME2, SWARM and ZEFER. H2ME and H2ME2 are the largest European deployment initiatives to date for hydrogen mobility, with plans to deploy more than 1 200 vehicles in 8 countries and 49 HRS in 5 countries. </w:t>
      </w:r>
      <w:r w:rsidR="005B6A7F">
        <w:rPr>
          <w:rFonts w:ascii="Arial" w:hAnsi="Arial" w:cs="Arial"/>
        </w:rPr>
        <w:t>T</w:t>
      </w:r>
      <w:r w:rsidR="005B6A7F" w:rsidRPr="005B6A7F">
        <w:rPr>
          <w:rFonts w:ascii="Arial" w:hAnsi="Arial" w:cs="Arial"/>
        </w:rPr>
        <w:t xml:space="preserve">he number fuel cell electric vehicles (FCEV) </w:t>
      </w:r>
      <w:r w:rsidR="00D85567">
        <w:rPr>
          <w:rFonts w:ascii="Arial" w:hAnsi="Arial" w:cs="Arial"/>
        </w:rPr>
        <w:t>demonstrated</w:t>
      </w:r>
      <w:r w:rsidR="005B6A7F" w:rsidRPr="005B6A7F">
        <w:rPr>
          <w:rFonts w:ascii="Arial" w:hAnsi="Arial" w:cs="Arial"/>
        </w:rPr>
        <w:t xml:space="preserve"> since the beginning of the </w:t>
      </w:r>
      <w:r w:rsidR="005B6A7F">
        <w:rPr>
          <w:rFonts w:ascii="Arial" w:hAnsi="Arial" w:cs="Arial"/>
        </w:rPr>
        <w:t>P</w:t>
      </w:r>
      <w:r w:rsidR="005B6A7F" w:rsidRPr="005B6A7F">
        <w:rPr>
          <w:rFonts w:ascii="Arial" w:hAnsi="Arial" w:cs="Arial"/>
        </w:rPr>
        <w:t>rogramme has reached 1064 (10% increase compared to 2020. A users’ survey reported most fleet operators and drivers having positive overall experiences with FCEVs, based on the vehicle performance and refuelling time, which are meeting the operational needs.</w:t>
      </w:r>
    </w:p>
    <w:p w14:paraId="1171B902" w14:textId="77777777" w:rsidR="00554B16" w:rsidRPr="00F05339" w:rsidRDefault="00554B16" w:rsidP="00554B16">
      <w:pPr>
        <w:spacing w:after="0" w:line="240" w:lineRule="auto"/>
        <w:jc w:val="both"/>
        <w:rPr>
          <w:rFonts w:ascii="Arial" w:hAnsi="Arial" w:cs="Arial"/>
        </w:rPr>
      </w:pPr>
    </w:p>
    <w:p w14:paraId="52D337AD" w14:textId="77777777" w:rsidR="00554B16" w:rsidRPr="00F05339" w:rsidRDefault="00554B16" w:rsidP="00554B16">
      <w:pPr>
        <w:pStyle w:val="Caption"/>
        <w:keepNext/>
        <w:jc w:val="both"/>
        <w:rPr>
          <w:rFonts w:ascii="Arial" w:hAnsi="Arial" w:cs="Arial"/>
        </w:rPr>
      </w:pPr>
      <w:r w:rsidRPr="00F05339">
        <w:rPr>
          <w:rFonts w:ascii="Arial" w:hAnsi="Arial" w:cs="Arial"/>
          <w:noProof/>
          <w:lang w:eastAsia="en-GB"/>
        </w:rPr>
        <w:drawing>
          <wp:inline distT="0" distB="0" distL="0" distR="0" wp14:anchorId="60A79558" wp14:editId="181938BF">
            <wp:extent cx="5731510" cy="3413125"/>
            <wp:effectExtent l="19050" t="19050" r="21590" b="15875"/>
            <wp:docPr id="14" name="Picture 1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10;&#10;Description automatically generated"/>
                    <pic:cNvPicPr/>
                  </pic:nvPicPr>
                  <pic:blipFill>
                    <a:blip r:embed="rId15"/>
                    <a:stretch>
                      <a:fillRect/>
                    </a:stretch>
                  </pic:blipFill>
                  <pic:spPr>
                    <a:xfrm>
                      <a:off x="0" y="0"/>
                      <a:ext cx="5731510" cy="3413125"/>
                    </a:xfrm>
                    <a:prstGeom prst="rect">
                      <a:avLst/>
                    </a:prstGeom>
                    <a:ln>
                      <a:solidFill>
                        <a:schemeClr val="tx1"/>
                      </a:solidFill>
                    </a:ln>
                  </pic:spPr>
                </pic:pic>
              </a:graphicData>
            </a:graphic>
          </wp:inline>
        </w:drawing>
      </w:r>
    </w:p>
    <w:p w14:paraId="0C0BB94C" w14:textId="3B98E7EE" w:rsidR="00554B16" w:rsidRPr="00F05339" w:rsidRDefault="00554B16" w:rsidP="00554B16">
      <w:pPr>
        <w:pStyle w:val="Caption"/>
        <w:jc w:val="both"/>
        <w:rPr>
          <w:rFonts w:ascii="Arial" w:hAnsi="Arial" w:cs="Arial"/>
        </w:rPr>
      </w:pPr>
      <w:r w:rsidRPr="00F05339">
        <w:rPr>
          <w:rFonts w:ascii="Arial" w:hAnsi="Arial" w:cs="Arial"/>
        </w:rPr>
        <w:t xml:space="preserve">Figure </w:t>
      </w:r>
      <w:r w:rsidR="00B46C9D" w:rsidRPr="00F05339">
        <w:rPr>
          <w:rFonts w:ascii="Arial" w:hAnsi="Arial" w:cs="Arial"/>
        </w:rPr>
        <w:fldChar w:fldCharType="begin"/>
      </w:r>
      <w:r w:rsidR="00B46C9D" w:rsidRPr="00F05339">
        <w:rPr>
          <w:rFonts w:ascii="Arial" w:hAnsi="Arial" w:cs="Arial"/>
        </w:rPr>
        <w:instrText xml:space="preserve"> SEQ Figure \* ARABIC </w:instrText>
      </w:r>
      <w:r w:rsidR="00B46C9D" w:rsidRPr="00F05339">
        <w:rPr>
          <w:rFonts w:ascii="Arial" w:hAnsi="Arial" w:cs="Arial"/>
        </w:rPr>
        <w:fldChar w:fldCharType="separate"/>
      </w:r>
      <w:r w:rsidR="003068B5">
        <w:rPr>
          <w:rFonts w:ascii="Arial" w:hAnsi="Arial" w:cs="Arial"/>
          <w:noProof/>
        </w:rPr>
        <w:t>1</w:t>
      </w:r>
      <w:r w:rsidR="00B46C9D" w:rsidRPr="00F05339">
        <w:rPr>
          <w:rFonts w:ascii="Arial" w:hAnsi="Arial" w:cs="Arial"/>
          <w:noProof/>
        </w:rPr>
        <w:fldChar w:fldCharType="end"/>
      </w:r>
      <w:r w:rsidRPr="00F05339">
        <w:rPr>
          <w:rFonts w:ascii="Arial" w:hAnsi="Arial" w:cs="Arial"/>
        </w:rPr>
        <w:t>: Overview of H2ME initiative, January 2021. Source https://h2me.eu/</w:t>
      </w:r>
    </w:p>
    <w:p w14:paraId="38D05D18" w14:textId="1CFDF0FA" w:rsidR="00554B16" w:rsidRDefault="005B6A7F" w:rsidP="005B6A7F">
      <w:pPr>
        <w:spacing w:after="0" w:line="240" w:lineRule="auto"/>
        <w:jc w:val="both"/>
        <w:rPr>
          <w:rFonts w:ascii="Arial" w:hAnsi="Arial" w:cs="Arial"/>
        </w:rPr>
      </w:pPr>
      <w:bookmarkStart w:id="20" w:name="_Ref63068236"/>
      <w:r w:rsidRPr="00F05339">
        <w:rPr>
          <w:rFonts w:ascii="Arial" w:hAnsi="Arial" w:cs="Arial"/>
        </w:rPr>
        <w:t>H2ME finished in 2020 and H2ME2 will go on until 2022, having already deployed</w:t>
      </w:r>
      <w:r>
        <w:rPr>
          <w:rFonts w:ascii="Arial" w:hAnsi="Arial" w:cs="Arial"/>
        </w:rPr>
        <w:t xml:space="preserve"> by 2020</w:t>
      </w:r>
      <w:r w:rsidRPr="00F05339">
        <w:rPr>
          <w:rFonts w:ascii="Arial" w:hAnsi="Arial" w:cs="Arial"/>
        </w:rPr>
        <w:t xml:space="preserve"> </w:t>
      </w:r>
      <w:r>
        <w:rPr>
          <w:rFonts w:ascii="Arial" w:hAnsi="Arial" w:cs="Arial"/>
        </w:rPr>
        <w:t xml:space="preserve">together </w:t>
      </w:r>
      <w:r w:rsidRPr="00F05339">
        <w:rPr>
          <w:rFonts w:ascii="Arial" w:hAnsi="Arial" w:cs="Arial"/>
        </w:rPr>
        <w:t>687 vehicles and 38 HRS in total.</w:t>
      </w:r>
      <w:r>
        <w:rPr>
          <w:rFonts w:ascii="Arial" w:hAnsi="Arial" w:cs="Arial"/>
        </w:rPr>
        <w:t xml:space="preserve"> </w:t>
      </w:r>
      <w:r w:rsidR="00554B16" w:rsidRPr="00F05339">
        <w:rPr>
          <w:rFonts w:ascii="Arial" w:hAnsi="Arial" w:cs="Arial"/>
        </w:rPr>
        <w:t xml:space="preserve">Project H2ME has deployed 311 vehicles and 29 new </w:t>
      </w:r>
      <w:r w:rsidR="002C14A7" w:rsidRPr="00F05339">
        <w:rPr>
          <w:rFonts w:ascii="Arial" w:hAnsi="Arial" w:cs="Arial"/>
        </w:rPr>
        <w:t>hydrogen refuelling stations (</w:t>
      </w:r>
      <w:r w:rsidR="00554B16" w:rsidRPr="00F05339">
        <w:rPr>
          <w:rFonts w:ascii="Arial" w:hAnsi="Arial" w:cs="Arial"/>
        </w:rPr>
        <w:t>HRSs</w:t>
      </w:r>
      <w:r w:rsidR="002C14A7" w:rsidRPr="002C14A7">
        <w:rPr>
          <w:rFonts w:ascii="Arial" w:hAnsi="Arial" w:cs="Arial"/>
        </w:rPr>
        <w:t>)</w:t>
      </w:r>
      <w:r w:rsidR="00554B16" w:rsidRPr="00F05339">
        <w:rPr>
          <w:rFonts w:ascii="Arial" w:hAnsi="Arial" w:cs="Arial"/>
        </w:rPr>
        <w:t xml:space="preserve"> in Germany, Scandinavia, </w:t>
      </w:r>
      <w:proofErr w:type="gramStart"/>
      <w:r w:rsidR="00554B16" w:rsidRPr="00F05339">
        <w:rPr>
          <w:rFonts w:ascii="Arial" w:hAnsi="Arial" w:cs="Arial"/>
        </w:rPr>
        <w:t>France</w:t>
      </w:r>
      <w:proofErr w:type="gramEnd"/>
      <w:r w:rsidR="00554B16" w:rsidRPr="00F05339">
        <w:rPr>
          <w:rFonts w:ascii="Arial" w:hAnsi="Arial" w:cs="Arial"/>
        </w:rPr>
        <w:t xml:space="preserve"> and the United Kingdom. H2ME2 has already deployed 376 FC electric vehicles from 5 original equipment manufacturers and 9 HRS</w:t>
      </w:r>
      <w:r w:rsidR="002C14A7">
        <w:rPr>
          <w:rFonts w:ascii="Arial" w:hAnsi="Arial" w:cs="Arial"/>
          <w:lang w:val="en-US"/>
        </w:rPr>
        <w:t>s</w:t>
      </w:r>
      <w:r w:rsidR="00554B16" w:rsidRPr="00F05339">
        <w:rPr>
          <w:rFonts w:ascii="Arial" w:hAnsi="Arial" w:cs="Arial"/>
        </w:rPr>
        <w:t xml:space="preserve">. </w:t>
      </w:r>
    </w:p>
    <w:p w14:paraId="5512696E" w14:textId="77777777" w:rsidR="005B6A7F" w:rsidRPr="00F05339" w:rsidRDefault="005B6A7F" w:rsidP="005B6A7F">
      <w:pPr>
        <w:spacing w:after="0" w:line="240" w:lineRule="auto"/>
        <w:jc w:val="both"/>
        <w:rPr>
          <w:rFonts w:ascii="Arial" w:hAnsi="Arial" w:cs="Arial"/>
        </w:rPr>
      </w:pPr>
    </w:p>
    <w:p w14:paraId="2C903C4F" w14:textId="5C37576D" w:rsidR="00554B16" w:rsidRPr="00F05339" w:rsidRDefault="00554B16" w:rsidP="00554B16">
      <w:pPr>
        <w:spacing w:line="240" w:lineRule="auto"/>
        <w:jc w:val="both"/>
        <w:rPr>
          <w:rFonts w:ascii="Arial" w:hAnsi="Arial" w:cs="Arial"/>
        </w:rPr>
      </w:pPr>
      <w:r w:rsidRPr="00F05339">
        <w:rPr>
          <w:rFonts w:ascii="Arial" w:hAnsi="Arial" w:cs="Arial"/>
        </w:rPr>
        <w:t xml:space="preserve">Project ZEFER started in 2017 with the aim of demonstrating viable business cases for captive fleets of </w:t>
      </w:r>
      <w:r w:rsidR="002C14A7">
        <w:rPr>
          <w:rFonts w:ascii="Arial" w:hAnsi="Arial" w:cs="Arial"/>
        </w:rPr>
        <w:t>fuel cell electric vehicles (</w:t>
      </w:r>
      <w:r w:rsidRPr="00F05339">
        <w:rPr>
          <w:rFonts w:ascii="Arial" w:hAnsi="Arial" w:cs="Arial"/>
        </w:rPr>
        <w:t>FCEVs</w:t>
      </w:r>
      <w:r w:rsidR="002C14A7">
        <w:rPr>
          <w:rFonts w:ascii="Arial" w:hAnsi="Arial" w:cs="Arial"/>
        </w:rPr>
        <w:t>)</w:t>
      </w:r>
      <w:r w:rsidRPr="00F05339">
        <w:rPr>
          <w:rFonts w:ascii="Arial" w:hAnsi="Arial" w:cs="Arial"/>
        </w:rPr>
        <w:t xml:space="preserve"> (taxi, private </w:t>
      </w:r>
      <w:proofErr w:type="gramStart"/>
      <w:r w:rsidRPr="00F05339">
        <w:rPr>
          <w:rFonts w:ascii="Arial" w:hAnsi="Arial" w:cs="Arial"/>
        </w:rPr>
        <w:t>hire</w:t>
      </w:r>
      <w:proofErr w:type="gramEnd"/>
      <w:r w:rsidRPr="00F05339">
        <w:rPr>
          <w:rFonts w:ascii="Arial" w:hAnsi="Arial" w:cs="Arial"/>
        </w:rPr>
        <w:t xml:space="preserve"> and police services) and will continue until 2022. Of the 180 FCEVs planned, 117 are already in operation (57 in Paris and 60 in London). </w:t>
      </w:r>
    </w:p>
    <w:p w14:paraId="34666D54" w14:textId="624A9ED2" w:rsidR="00554B16" w:rsidRPr="00F05339" w:rsidRDefault="00B07806" w:rsidP="00B07806">
      <w:pPr>
        <w:spacing w:line="240" w:lineRule="auto"/>
        <w:jc w:val="both"/>
        <w:rPr>
          <w:rFonts w:ascii="Arial" w:hAnsi="Arial" w:cs="Arial"/>
        </w:rPr>
      </w:pPr>
      <w:r w:rsidRPr="00B07806">
        <w:rPr>
          <w:rFonts w:ascii="Arial" w:hAnsi="Arial" w:cs="Arial"/>
        </w:rPr>
        <w:t>In 2020, in total 607 cars were reported in TRUST</w:t>
      </w:r>
      <w:r w:rsidR="00C024D6">
        <w:rPr>
          <w:rStyle w:val="FootnoteReference"/>
          <w:rFonts w:ascii="Arial" w:hAnsi="Arial" w:cs="Arial"/>
        </w:rPr>
        <w:footnoteReference w:id="17"/>
      </w:r>
      <w:r w:rsidRPr="00B07806">
        <w:rPr>
          <w:rFonts w:ascii="Arial" w:hAnsi="Arial" w:cs="Arial"/>
        </w:rPr>
        <w:t>, close to the 597 cars reported in 2019. In 2020,</w:t>
      </w:r>
      <w:r>
        <w:rPr>
          <w:rFonts w:ascii="Arial" w:hAnsi="Arial" w:cs="Arial"/>
        </w:rPr>
        <w:t xml:space="preserve"> </w:t>
      </w:r>
      <w:r w:rsidRPr="00B07806">
        <w:rPr>
          <w:rFonts w:ascii="Arial" w:hAnsi="Arial" w:cs="Arial"/>
        </w:rPr>
        <w:t xml:space="preserve">they drove slightly more than 4.9 million kilometres (km) and consumed 52.7 tonnes of </w:t>
      </w:r>
      <w:r w:rsidRPr="00B07806">
        <w:rPr>
          <w:rFonts w:ascii="Arial" w:hAnsi="Arial" w:cs="Arial"/>
        </w:rPr>
        <w:lastRenderedPageBreak/>
        <w:t>hydrogen,</w:t>
      </w:r>
      <w:r>
        <w:rPr>
          <w:rFonts w:ascii="Arial" w:hAnsi="Arial" w:cs="Arial"/>
        </w:rPr>
        <w:t xml:space="preserve"> </w:t>
      </w:r>
      <w:r w:rsidRPr="00B07806">
        <w:rPr>
          <w:rFonts w:ascii="Arial" w:hAnsi="Arial" w:cs="Arial"/>
        </w:rPr>
        <w:t>which is around half of that reported in 2019, with 8.9 million km driven and 91.5 tonnes of hydrogen</w:t>
      </w:r>
      <w:r>
        <w:rPr>
          <w:rFonts w:ascii="Arial" w:hAnsi="Arial" w:cs="Arial"/>
        </w:rPr>
        <w:t xml:space="preserve"> </w:t>
      </w:r>
      <w:r w:rsidRPr="00B07806">
        <w:rPr>
          <w:rFonts w:ascii="Arial" w:hAnsi="Arial" w:cs="Arial"/>
        </w:rPr>
        <w:t>consumed. These differences can be explained partly by the COVID-19 pandemic, which had a direct</w:t>
      </w:r>
      <w:r>
        <w:rPr>
          <w:rFonts w:ascii="Arial" w:hAnsi="Arial" w:cs="Arial"/>
        </w:rPr>
        <w:t xml:space="preserve"> </w:t>
      </w:r>
      <w:r w:rsidRPr="00B07806">
        <w:rPr>
          <w:rFonts w:ascii="Arial" w:hAnsi="Arial" w:cs="Arial"/>
        </w:rPr>
        <w:t>impact on the operation of the taxi fleets (in practice, operating only from January to March 2020)</w:t>
      </w:r>
      <w:r w:rsidR="00802674">
        <w:rPr>
          <w:rFonts w:ascii="Arial" w:hAnsi="Arial" w:cs="Arial"/>
        </w:rPr>
        <w:t xml:space="preserve">, responsible for half the difference above (taxis drove 0.7 million km </w:t>
      </w:r>
      <w:r w:rsidR="00A75383">
        <w:rPr>
          <w:rFonts w:ascii="Arial" w:hAnsi="Arial" w:cs="Arial"/>
        </w:rPr>
        <w:t xml:space="preserve">in 2020 </w:t>
      </w:r>
      <w:r w:rsidR="00802674">
        <w:rPr>
          <w:rFonts w:ascii="Arial" w:hAnsi="Arial" w:cs="Arial"/>
        </w:rPr>
        <w:t>instead of 2.8 million in 2019)</w:t>
      </w:r>
      <w:r w:rsidRPr="00B07806">
        <w:rPr>
          <w:rFonts w:ascii="Arial" w:hAnsi="Arial" w:cs="Arial"/>
        </w:rPr>
        <w:t>.</w:t>
      </w:r>
      <w:r>
        <w:rPr>
          <w:rFonts w:ascii="Arial" w:hAnsi="Arial" w:cs="Arial"/>
        </w:rPr>
        <w:t xml:space="preserve"> </w:t>
      </w:r>
      <w:r w:rsidR="003E5A9A">
        <w:rPr>
          <w:rFonts w:ascii="Arial" w:hAnsi="Arial" w:cs="Arial"/>
        </w:rPr>
        <w:t>The</w:t>
      </w:r>
      <w:r w:rsidRPr="00B07806">
        <w:rPr>
          <w:rFonts w:ascii="Arial" w:hAnsi="Arial" w:cs="Arial"/>
        </w:rPr>
        <w:t xml:space="preserve"> </w:t>
      </w:r>
      <w:r w:rsidR="003E5A9A">
        <w:rPr>
          <w:rFonts w:ascii="Arial" w:hAnsi="Arial" w:cs="Arial"/>
        </w:rPr>
        <w:t xml:space="preserve">other half is mainly due to </w:t>
      </w:r>
      <w:r w:rsidRPr="00B07806">
        <w:rPr>
          <w:rFonts w:ascii="Arial" w:hAnsi="Arial" w:cs="Arial"/>
        </w:rPr>
        <w:t xml:space="preserve">structural changes in the fleets, whereby </w:t>
      </w:r>
      <w:proofErr w:type="gramStart"/>
      <w:r w:rsidRPr="00B07806">
        <w:rPr>
          <w:rFonts w:ascii="Arial" w:hAnsi="Arial" w:cs="Arial"/>
        </w:rPr>
        <w:t>a number of</w:t>
      </w:r>
      <w:proofErr w:type="gramEnd"/>
      <w:r w:rsidRPr="00B07806">
        <w:rPr>
          <w:rFonts w:ascii="Arial" w:hAnsi="Arial" w:cs="Arial"/>
        </w:rPr>
        <w:t xml:space="preserve"> cars </w:t>
      </w:r>
      <w:r w:rsidR="00A75383">
        <w:rPr>
          <w:rFonts w:ascii="Arial" w:hAnsi="Arial" w:cs="Arial"/>
        </w:rPr>
        <w:t xml:space="preserve">with significant driven km in 2019 (2.5 million km) </w:t>
      </w:r>
      <w:r w:rsidRPr="00B07806">
        <w:rPr>
          <w:rFonts w:ascii="Arial" w:hAnsi="Arial" w:cs="Arial"/>
        </w:rPr>
        <w:t>were sold</w:t>
      </w:r>
      <w:r>
        <w:rPr>
          <w:rFonts w:ascii="Arial" w:hAnsi="Arial" w:cs="Arial"/>
        </w:rPr>
        <w:t xml:space="preserve"> </w:t>
      </w:r>
      <w:r w:rsidRPr="00B07806">
        <w:rPr>
          <w:rFonts w:ascii="Arial" w:hAnsi="Arial" w:cs="Arial"/>
        </w:rPr>
        <w:t xml:space="preserve">in the first half of 2020 and thus </w:t>
      </w:r>
      <w:r w:rsidR="003E5A9A">
        <w:rPr>
          <w:rFonts w:ascii="Arial" w:hAnsi="Arial" w:cs="Arial"/>
        </w:rPr>
        <w:t>did not</w:t>
      </w:r>
      <w:r w:rsidR="003E5A9A" w:rsidRPr="00B07806">
        <w:rPr>
          <w:rFonts w:ascii="Arial" w:hAnsi="Arial" w:cs="Arial"/>
        </w:rPr>
        <w:t xml:space="preserve"> </w:t>
      </w:r>
      <w:r w:rsidRPr="00B07806">
        <w:rPr>
          <w:rFonts w:ascii="Arial" w:hAnsi="Arial" w:cs="Arial"/>
        </w:rPr>
        <w:t>report in TRUST.</w:t>
      </w:r>
      <w:r>
        <w:rPr>
          <w:rFonts w:ascii="Arial" w:hAnsi="Arial" w:cs="Arial"/>
        </w:rPr>
        <w:t xml:space="preserve"> </w:t>
      </w:r>
      <w:r w:rsidR="00554B16" w:rsidRPr="00F05339">
        <w:rPr>
          <w:rFonts w:ascii="Arial" w:hAnsi="Arial" w:cs="Arial"/>
        </w:rPr>
        <w:t>The cumulative distance driven is shown in</w:t>
      </w:r>
      <w:r w:rsidR="001D52D8">
        <w:rPr>
          <w:rFonts w:ascii="Arial" w:hAnsi="Arial" w:cs="Arial"/>
        </w:rPr>
        <w:t xml:space="preserve"> </w:t>
      </w:r>
      <w:r w:rsidR="001D52D8">
        <w:rPr>
          <w:rFonts w:ascii="Arial" w:hAnsi="Arial" w:cs="Arial"/>
        </w:rPr>
        <w:fldChar w:fldCharType="begin"/>
      </w:r>
      <w:r w:rsidR="001D52D8">
        <w:rPr>
          <w:rFonts w:ascii="Arial" w:hAnsi="Arial" w:cs="Arial"/>
        </w:rPr>
        <w:instrText xml:space="preserve"> REF _Ref98252251 \h  \* MERGEFORMAT </w:instrText>
      </w:r>
      <w:r w:rsidR="001D52D8">
        <w:rPr>
          <w:rFonts w:ascii="Arial" w:hAnsi="Arial" w:cs="Arial"/>
        </w:rPr>
      </w:r>
      <w:r w:rsidR="001D52D8">
        <w:rPr>
          <w:rFonts w:ascii="Arial" w:hAnsi="Arial" w:cs="Arial"/>
        </w:rPr>
        <w:fldChar w:fldCharType="separate"/>
      </w:r>
      <w:r w:rsidR="003068B5" w:rsidRPr="000A1D52">
        <w:rPr>
          <w:rFonts w:ascii="Arial" w:hAnsi="Arial" w:cs="Arial"/>
        </w:rPr>
        <w:t>Figure 2</w:t>
      </w:r>
      <w:r w:rsidR="001D52D8">
        <w:rPr>
          <w:rFonts w:ascii="Arial" w:hAnsi="Arial" w:cs="Arial"/>
        </w:rPr>
        <w:fldChar w:fldCharType="end"/>
      </w:r>
      <w:r w:rsidR="00554B16" w:rsidRPr="00F05339">
        <w:rPr>
          <w:rFonts w:ascii="Arial" w:hAnsi="Arial" w:cs="Arial"/>
        </w:rPr>
        <w:t>.</w:t>
      </w:r>
    </w:p>
    <w:p w14:paraId="587D060E" w14:textId="1A61604E" w:rsidR="00554B16" w:rsidRDefault="00554B16" w:rsidP="00554B16">
      <w:pPr>
        <w:spacing w:line="240" w:lineRule="auto"/>
        <w:jc w:val="both"/>
        <w:rPr>
          <w:rFonts w:ascii="Arial" w:hAnsi="Arial" w:cs="Arial"/>
        </w:rPr>
      </w:pPr>
    </w:p>
    <w:p w14:paraId="30E58919" w14:textId="77777777" w:rsidR="001D52D8" w:rsidRDefault="001D52D8" w:rsidP="001D52D8">
      <w:pPr>
        <w:keepNext/>
        <w:spacing w:line="240" w:lineRule="auto"/>
        <w:jc w:val="both"/>
      </w:pPr>
      <w:r>
        <w:rPr>
          <w:rFonts w:ascii="Arial" w:hAnsi="Arial" w:cs="Arial"/>
          <w:noProof/>
          <w:lang w:eastAsia="en-GB"/>
        </w:rPr>
        <w:drawing>
          <wp:inline distT="0" distB="0" distL="0" distR="0" wp14:anchorId="0FD9E90C" wp14:editId="7235D6B9">
            <wp:extent cx="5962650" cy="295656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62650" cy="2956560"/>
                    </a:xfrm>
                    <a:prstGeom prst="rect">
                      <a:avLst/>
                    </a:prstGeom>
                    <a:noFill/>
                  </pic:spPr>
                </pic:pic>
              </a:graphicData>
            </a:graphic>
          </wp:inline>
        </w:drawing>
      </w:r>
    </w:p>
    <w:p w14:paraId="3B124B9A" w14:textId="7E7368A7" w:rsidR="001D52D8" w:rsidRPr="00F05339" w:rsidRDefault="001D52D8" w:rsidP="001D52D8">
      <w:pPr>
        <w:pStyle w:val="Caption"/>
        <w:jc w:val="both"/>
        <w:rPr>
          <w:rFonts w:ascii="Arial" w:hAnsi="Arial" w:cs="Arial"/>
        </w:rPr>
      </w:pPr>
      <w:bookmarkStart w:id="21" w:name="_Ref98252251"/>
      <w:r>
        <w:t xml:space="preserve">Figure </w:t>
      </w:r>
      <w:fldSimple w:instr=" SEQ Figure \* ARABIC ">
        <w:r w:rsidR="003068B5">
          <w:rPr>
            <w:noProof/>
          </w:rPr>
          <w:t>2</w:t>
        </w:r>
      </w:fldSimple>
      <w:bookmarkEnd w:id="21"/>
      <w:r>
        <w:t xml:space="preserve">: </w:t>
      </w:r>
      <w:r w:rsidRPr="007C2BBD">
        <w:t>D</w:t>
      </w:r>
      <w:r>
        <w:t>istribution of FCEV Deployed of FCEV Deployed by FCH 2 JU Demonstration Projects</w:t>
      </w:r>
      <w:r w:rsidR="00B07806">
        <w:t xml:space="preserve"> (the 2021 figure is an estimate)</w:t>
      </w:r>
    </w:p>
    <w:bookmarkEnd w:id="20"/>
    <w:p w14:paraId="6DB3E122" w14:textId="77777777" w:rsidR="00554B16" w:rsidRPr="00F05339" w:rsidRDefault="00554B16" w:rsidP="00FF4AD3">
      <w:pPr>
        <w:rPr>
          <w:rFonts w:ascii="Arial" w:hAnsi="Arial" w:cs="Arial"/>
          <w:b/>
          <w:bCs/>
          <w:i/>
          <w:iCs/>
        </w:rPr>
      </w:pPr>
      <w:r w:rsidRPr="00F05339">
        <w:rPr>
          <w:rFonts w:ascii="Arial" w:hAnsi="Arial" w:cs="Arial"/>
          <w:b/>
          <w:bCs/>
          <w:i/>
          <w:iCs/>
        </w:rPr>
        <w:t>Fuel cell bus demonstration projects</w:t>
      </w:r>
    </w:p>
    <w:p w14:paraId="28D0B975" w14:textId="24B6A023" w:rsidR="00554B16" w:rsidRPr="00F05339" w:rsidRDefault="00554B16" w:rsidP="00554B16">
      <w:pPr>
        <w:spacing w:after="0" w:line="240" w:lineRule="auto"/>
        <w:jc w:val="both"/>
        <w:rPr>
          <w:rFonts w:ascii="Arial" w:hAnsi="Arial" w:cs="Arial"/>
        </w:rPr>
      </w:pPr>
      <w:r w:rsidRPr="00F05339">
        <w:rPr>
          <w:rFonts w:ascii="Arial" w:hAnsi="Arial" w:cs="Arial"/>
        </w:rPr>
        <w:t xml:space="preserve">European </w:t>
      </w:r>
      <w:r w:rsidR="00D85567">
        <w:rPr>
          <w:rFonts w:ascii="Arial" w:hAnsi="Arial" w:cs="Arial"/>
        </w:rPr>
        <w:t>demonstration</w:t>
      </w:r>
      <w:r w:rsidR="00D85567" w:rsidRPr="00F05339">
        <w:rPr>
          <w:rFonts w:ascii="Arial" w:hAnsi="Arial" w:cs="Arial"/>
        </w:rPr>
        <w:t xml:space="preserve"> </w:t>
      </w:r>
      <w:r w:rsidRPr="00F05339">
        <w:rPr>
          <w:rFonts w:ascii="Arial" w:hAnsi="Arial" w:cs="Arial"/>
        </w:rPr>
        <w:t xml:space="preserve">activities have grown considerably from earlier projects to the most recent, as shown in </w:t>
      </w:r>
      <w:r w:rsidRPr="00F05339">
        <w:rPr>
          <w:rFonts w:ascii="Arial" w:hAnsi="Arial" w:cs="Arial"/>
        </w:rPr>
        <w:fldChar w:fldCharType="begin"/>
      </w:r>
      <w:r w:rsidRPr="00F05339">
        <w:rPr>
          <w:rFonts w:ascii="Arial" w:hAnsi="Arial" w:cs="Arial"/>
        </w:rPr>
        <w:instrText xml:space="preserve"> REF _Ref75183363 \h  \* MERGEFORMAT </w:instrText>
      </w:r>
      <w:r w:rsidRPr="00F05339">
        <w:rPr>
          <w:rFonts w:ascii="Arial" w:hAnsi="Arial" w:cs="Arial"/>
        </w:rPr>
      </w:r>
      <w:r w:rsidRPr="00F05339">
        <w:rPr>
          <w:rFonts w:ascii="Arial" w:hAnsi="Arial" w:cs="Arial"/>
        </w:rPr>
        <w:fldChar w:fldCharType="separate"/>
      </w:r>
      <w:r w:rsidR="003068B5" w:rsidRPr="00F05339">
        <w:rPr>
          <w:rFonts w:ascii="Arial" w:hAnsi="Arial" w:cs="Arial"/>
        </w:rPr>
        <w:t xml:space="preserve">Figure </w:t>
      </w:r>
      <w:r w:rsidR="003068B5">
        <w:rPr>
          <w:rFonts w:ascii="Arial" w:hAnsi="Arial" w:cs="Arial"/>
          <w:noProof/>
        </w:rPr>
        <w:t>3</w:t>
      </w:r>
      <w:r w:rsidRPr="00F05339">
        <w:rPr>
          <w:rFonts w:ascii="Arial" w:hAnsi="Arial" w:cs="Arial"/>
        </w:rPr>
        <w:fldChar w:fldCharType="end"/>
      </w:r>
      <w:r w:rsidRPr="00F05339">
        <w:rPr>
          <w:rFonts w:ascii="Arial" w:hAnsi="Arial" w:cs="Arial"/>
        </w:rPr>
        <w:t xml:space="preserve">. In 2019 and 2020, JU bus demonstration activities concerned the projects High </w:t>
      </w:r>
      <w:proofErr w:type="gramStart"/>
      <w:r w:rsidRPr="00F05339">
        <w:rPr>
          <w:rFonts w:ascii="Arial" w:hAnsi="Arial" w:cs="Arial"/>
        </w:rPr>
        <w:t>V.LO</w:t>
      </w:r>
      <w:proofErr w:type="gramEnd"/>
      <w:r w:rsidRPr="00F05339">
        <w:rPr>
          <w:rFonts w:ascii="Arial" w:hAnsi="Arial" w:cs="Arial"/>
        </w:rPr>
        <w:t xml:space="preserve">-City, HyTransit, 3EMOTION, JIVE and JIVE 2. </w:t>
      </w:r>
    </w:p>
    <w:p w14:paraId="6A678AC1" w14:textId="77777777" w:rsidR="00554B16" w:rsidRPr="00F05339" w:rsidRDefault="00554B16" w:rsidP="00554B16">
      <w:pPr>
        <w:spacing w:after="0" w:line="240" w:lineRule="auto"/>
        <w:jc w:val="both"/>
        <w:rPr>
          <w:rFonts w:ascii="Arial" w:hAnsi="Arial" w:cs="Arial"/>
        </w:rPr>
      </w:pPr>
    </w:p>
    <w:p w14:paraId="2142F25F" w14:textId="77777777" w:rsidR="00554B16" w:rsidRPr="00F05339" w:rsidRDefault="00554B16" w:rsidP="00554B16">
      <w:pPr>
        <w:spacing w:after="0" w:line="240" w:lineRule="auto"/>
        <w:jc w:val="both"/>
        <w:rPr>
          <w:rFonts w:ascii="Arial" w:hAnsi="Arial" w:cs="Arial"/>
        </w:rPr>
      </w:pPr>
      <w:r w:rsidRPr="00F05339">
        <w:rPr>
          <w:rFonts w:ascii="Arial" w:hAnsi="Arial" w:cs="Arial"/>
          <w:noProof/>
          <w:lang w:eastAsia="en-GB"/>
        </w:rPr>
        <w:drawing>
          <wp:inline distT="0" distB="0" distL="0" distR="0" wp14:anchorId="5A2C0F5B" wp14:editId="6756057A">
            <wp:extent cx="5116195" cy="1564640"/>
            <wp:effectExtent l="19050" t="19050" r="27305" b="16510"/>
            <wp:docPr id="84" name="Picture 84" descr="A picture containing text, iP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A picture containing text, iPod&#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16195" cy="1564640"/>
                    </a:xfrm>
                    <a:prstGeom prst="rect">
                      <a:avLst/>
                    </a:prstGeom>
                    <a:noFill/>
                    <a:ln>
                      <a:solidFill>
                        <a:schemeClr val="tx1"/>
                      </a:solidFill>
                    </a:ln>
                  </pic:spPr>
                </pic:pic>
              </a:graphicData>
            </a:graphic>
          </wp:inline>
        </w:drawing>
      </w:r>
    </w:p>
    <w:p w14:paraId="2058DB57" w14:textId="085BDE00" w:rsidR="00554B16" w:rsidRPr="00F05339" w:rsidRDefault="00554B16" w:rsidP="00554B16">
      <w:pPr>
        <w:pStyle w:val="Caption"/>
        <w:jc w:val="both"/>
        <w:rPr>
          <w:rFonts w:ascii="Arial" w:hAnsi="Arial" w:cs="Arial"/>
        </w:rPr>
      </w:pPr>
      <w:bookmarkStart w:id="22" w:name="_Ref75183363"/>
      <w:r w:rsidRPr="00F05339">
        <w:rPr>
          <w:rFonts w:ascii="Arial" w:hAnsi="Arial" w:cs="Arial"/>
        </w:rPr>
        <w:t xml:space="preserve">Figure </w:t>
      </w:r>
      <w:r w:rsidRPr="00F05339">
        <w:rPr>
          <w:rFonts w:ascii="Arial" w:hAnsi="Arial" w:cs="Arial"/>
        </w:rPr>
        <w:fldChar w:fldCharType="begin"/>
      </w:r>
      <w:r w:rsidRPr="00F05339">
        <w:rPr>
          <w:rFonts w:ascii="Arial" w:hAnsi="Arial" w:cs="Arial"/>
        </w:rPr>
        <w:instrText xml:space="preserve"> SEQ Figure \* ARABIC </w:instrText>
      </w:r>
      <w:r w:rsidRPr="00F05339">
        <w:rPr>
          <w:rFonts w:ascii="Arial" w:hAnsi="Arial" w:cs="Arial"/>
        </w:rPr>
        <w:fldChar w:fldCharType="separate"/>
      </w:r>
      <w:r w:rsidR="003068B5">
        <w:rPr>
          <w:rFonts w:ascii="Arial" w:hAnsi="Arial" w:cs="Arial"/>
          <w:noProof/>
        </w:rPr>
        <w:t>3</w:t>
      </w:r>
      <w:r w:rsidRPr="00F05339">
        <w:rPr>
          <w:rFonts w:ascii="Arial" w:hAnsi="Arial" w:cs="Arial"/>
        </w:rPr>
        <w:fldChar w:fldCharType="end"/>
      </w:r>
      <w:bookmarkEnd w:id="22"/>
      <w:r w:rsidRPr="00F05339">
        <w:rPr>
          <w:rFonts w:ascii="Arial" w:hAnsi="Arial" w:cs="Arial"/>
        </w:rPr>
        <w:t>: Evolution of FCB in operation in the EU</w:t>
      </w:r>
      <w:r w:rsidR="00B07806">
        <w:rPr>
          <w:rFonts w:ascii="Arial" w:hAnsi="Arial" w:cs="Arial"/>
        </w:rPr>
        <w:t xml:space="preserve"> </w:t>
      </w:r>
      <w:r w:rsidR="00B07806">
        <w:t>(the 2021 figure is an estimate).</w:t>
      </w:r>
    </w:p>
    <w:p w14:paraId="0BE34E42" w14:textId="39EB9F67" w:rsidR="00554B16" w:rsidRPr="00F05339" w:rsidRDefault="00554B16" w:rsidP="00554B16">
      <w:pPr>
        <w:spacing w:line="240" w:lineRule="auto"/>
        <w:jc w:val="both"/>
        <w:rPr>
          <w:rFonts w:ascii="Arial" w:hAnsi="Arial" w:cs="Arial"/>
        </w:rPr>
      </w:pPr>
      <w:r w:rsidRPr="00F05339">
        <w:rPr>
          <w:rFonts w:ascii="Arial" w:hAnsi="Arial" w:cs="Arial"/>
        </w:rPr>
        <w:t xml:space="preserve">Bus demonstrations </w:t>
      </w:r>
      <w:r w:rsidR="007758B9">
        <w:rPr>
          <w:rFonts w:ascii="Arial" w:hAnsi="Arial" w:cs="Arial"/>
        </w:rPr>
        <w:t>supported by</w:t>
      </w:r>
      <w:r w:rsidRPr="00F05339">
        <w:rPr>
          <w:rFonts w:ascii="Arial" w:hAnsi="Arial" w:cs="Arial"/>
        </w:rPr>
        <w:t xml:space="preserve"> JU grants involve 350</w:t>
      </w:r>
      <w:r w:rsidRPr="00F05339" w:rsidDel="00E81E66">
        <w:rPr>
          <w:rFonts w:ascii="Arial" w:hAnsi="Arial" w:cs="Arial"/>
        </w:rPr>
        <w:t xml:space="preserve"> </w:t>
      </w:r>
      <w:r w:rsidRPr="00F05339">
        <w:rPr>
          <w:rFonts w:ascii="Arial" w:hAnsi="Arial" w:cs="Arial"/>
        </w:rPr>
        <w:t xml:space="preserve">vehicles in 11 countries. 3EMOTION, JIVE and JIVE 2 are ongoing and progressing. </w:t>
      </w:r>
      <w:r w:rsidR="009957DD" w:rsidRPr="00CB13E2">
        <w:rPr>
          <w:rFonts w:ascii="Arial" w:hAnsi="Arial" w:cs="Arial"/>
        </w:rPr>
        <w:t xml:space="preserve">The European flagship projects JIVE and JIVE2 </w:t>
      </w:r>
      <w:r w:rsidR="009957DD" w:rsidRPr="00CB13E2">
        <w:rPr>
          <w:rFonts w:ascii="Arial" w:hAnsi="Arial" w:cs="Arial"/>
        </w:rPr>
        <w:lastRenderedPageBreak/>
        <w:t xml:space="preserve">alone have ordered 274 buses out of the 310 planned </w:t>
      </w:r>
      <w:r w:rsidR="009957DD">
        <w:rPr>
          <w:rFonts w:ascii="Arial" w:hAnsi="Arial" w:cs="Arial"/>
        </w:rPr>
        <w:t xml:space="preserve">for </w:t>
      </w:r>
      <w:r w:rsidRPr="00F05339">
        <w:rPr>
          <w:rFonts w:ascii="Arial" w:hAnsi="Arial" w:cs="Arial"/>
        </w:rPr>
        <w:t>22 cities across Europe (</w:t>
      </w:r>
      <w:r w:rsidRPr="00F05339">
        <w:rPr>
          <w:rFonts w:ascii="Arial" w:hAnsi="Arial" w:cs="Arial"/>
        </w:rPr>
        <w:fldChar w:fldCharType="begin"/>
      </w:r>
      <w:r w:rsidRPr="00F05339">
        <w:rPr>
          <w:rFonts w:ascii="Arial" w:hAnsi="Arial" w:cs="Arial"/>
        </w:rPr>
        <w:instrText xml:space="preserve"> REF _Ref75183419 \h  \* MERGEFORMAT </w:instrText>
      </w:r>
      <w:r w:rsidRPr="00F05339">
        <w:rPr>
          <w:rFonts w:ascii="Arial" w:hAnsi="Arial" w:cs="Arial"/>
        </w:rPr>
      </w:r>
      <w:r w:rsidRPr="00F05339">
        <w:rPr>
          <w:rFonts w:ascii="Arial" w:hAnsi="Arial" w:cs="Arial"/>
        </w:rPr>
        <w:fldChar w:fldCharType="separate"/>
      </w:r>
      <w:r w:rsidR="003068B5" w:rsidRPr="00F05339">
        <w:rPr>
          <w:rFonts w:ascii="Arial" w:hAnsi="Arial" w:cs="Arial"/>
        </w:rPr>
        <w:t xml:space="preserve">Figure </w:t>
      </w:r>
      <w:r w:rsidR="003068B5">
        <w:rPr>
          <w:rFonts w:ascii="Arial" w:hAnsi="Arial" w:cs="Arial"/>
        </w:rPr>
        <w:t>4</w:t>
      </w:r>
      <w:r w:rsidRPr="00F05339">
        <w:rPr>
          <w:rFonts w:ascii="Arial" w:hAnsi="Arial" w:cs="Arial"/>
        </w:rPr>
        <w:fldChar w:fldCharType="end"/>
      </w:r>
      <w:r w:rsidRPr="00F05339">
        <w:rPr>
          <w:rFonts w:ascii="Arial" w:hAnsi="Arial" w:cs="Arial"/>
        </w:rPr>
        <w:t>)</w:t>
      </w:r>
      <w:r w:rsidR="009957DD">
        <w:rPr>
          <w:rFonts w:ascii="Arial" w:hAnsi="Arial" w:cs="Arial"/>
        </w:rPr>
        <w:t>, with</w:t>
      </w:r>
      <w:r w:rsidR="009957DD" w:rsidRPr="00CB13E2">
        <w:rPr>
          <w:rFonts w:ascii="Arial" w:hAnsi="Arial" w:cs="Arial"/>
        </w:rPr>
        <w:t xml:space="preserve"> 80% in operation </w:t>
      </w:r>
      <w:r w:rsidR="009957DD">
        <w:rPr>
          <w:rFonts w:ascii="Arial" w:hAnsi="Arial" w:cs="Arial"/>
        </w:rPr>
        <w:t>in</w:t>
      </w:r>
      <w:r w:rsidR="009957DD" w:rsidRPr="00CB13E2">
        <w:rPr>
          <w:rFonts w:ascii="Arial" w:hAnsi="Arial" w:cs="Arial"/>
        </w:rPr>
        <w:t xml:space="preserve"> the end of 2021</w:t>
      </w:r>
      <w:r w:rsidRPr="00F05339">
        <w:rPr>
          <w:rFonts w:ascii="Arial" w:hAnsi="Arial" w:cs="Arial"/>
        </w:rPr>
        <w:t xml:space="preserve">. The local fleets range from 5 to 50 FCBs, typically 10 to 20. </w:t>
      </w:r>
    </w:p>
    <w:p w14:paraId="2A3DEF8D" w14:textId="77777777" w:rsidR="00554B16" w:rsidRPr="00F05339" w:rsidRDefault="00554B16" w:rsidP="00554B16">
      <w:pPr>
        <w:spacing w:line="240" w:lineRule="auto"/>
        <w:jc w:val="both"/>
        <w:rPr>
          <w:rFonts w:ascii="Arial" w:hAnsi="Arial" w:cs="Arial"/>
        </w:rPr>
      </w:pPr>
      <w:r w:rsidRPr="00F05339">
        <w:rPr>
          <w:rFonts w:ascii="Arial" w:hAnsi="Arial" w:cs="Arial"/>
          <w:noProof/>
          <w:lang w:eastAsia="en-GB"/>
        </w:rPr>
        <w:drawing>
          <wp:anchor distT="0" distB="0" distL="114300" distR="114300" simplePos="0" relativeHeight="251662336" behindDoc="0" locked="0" layoutInCell="1" allowOverlap="1" wp14:anchorId="6A1CF6FA" wp14:editId="743BD6F8">
            <wp:simplePos x="0" y="0"/>
            <wp:positionH relativeFrom="column">
              <wp:posOffset>422844</wp:posOffset>
            </wp:positionH>
            <wp:positionV relativeFrom="paragraph">
              <wp:posOffset>173766</wp:posOffset>
            </wp:positionV>
            <wp:extent cx="1183640" cy="236220"/>
            <wp:effectExtent l="0" t="0" r="0" b="0"/>
            <wp:wrapNone/>
            <wp:docPr id="85" name="Picture 85"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Graphical user interface, application&#10;&#10;Description automatically generated with medium confidenc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183640" cy="236220"/>
                    </a:xfrm>
                    <a:prstGeom prst="rect">
                      <a:avLst/>
                    </a:prstGeom>
                  </pic:spPr>
                </pic:pic>
              </a:graphicData>
            </a:graphic>
          </wp:anchor>
        </w:drawing>
      </w:r>
      <w:r w:rsidRPr="00F05339">
        <w:rPr>
          <w:rFonts w:ascii="Arial" w:hAnsi="Arial" w:cs="Arial"/>
          <w:noProof/>
          <w:lang w:eastAsia="en-GB"/>
        </w:rPr>
        <w:drawing>
          <wp:inline distT="0" distB="0" distL="0" distR="0" wp14:anchorId="36B2D57D" wp14:editId="05B4FDBF">
            <wp:extent cx="3628261" cy="4057352"/>
            <wp:effectExtent l="0" t="0" r="0" b="635"/>
            <wp:docPr id="86" name="Picture 8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Map&#10;&#10;Description automatically generated"/>
                    <pic:cNvPicPr/>
                  </pic:nvPicPr>
                  <pic:blipFill>
                    <a:blip r:embed="rId19"/>
                    <a:stretch>
                      <a:fillRect/>
                    </a:stretch>
                  </pic:blipFill>
                  <pic:spPr>
                    <a:xfrm>
                      <a:off x="0" y="0"/>
                      <a:ext cx="3634812" cy="4064678"/>
                    </a:xfrm>
                    <a:prstGeom prst="rect">
                      <a:avLst/>
                    </a:prstGeom>
                  </pic:spPr>
                </pic:pic>
              </a:graphicData>
            </a:graphic>
          </wp:inline>
        </w:drawing>
      </w:r>
    </w:p>
    <w:p w14:paraId="251BC931" w14:textId="3FA2E39F" w:rsidR="00554B16" w:rsidRPr="00F05339" w:rsidRDefault="00554B16" w:rsidP="00554B16">
      <w:pPr>
        <w:pStyle w:val="Caption"/>
        <w:jc w:val="both"/>
        <w:rPr>
          <w:rFonts w:ascii="Arial" w:hAnsi="Arial" w:cs="Arial"/>
        </w:rPr>
      </w:pPr>
      <w:bookmarkStart w:id="23" w:name="_Ref75183419"/>
      <w:r w:rsidRPr="00F05339">
        <w:rPr>
          <w:rFonts w:ascii="Arial" w:hAnsi="Arial" w:cs="Arial"/>
        </w:rPr>
        <w:t xml:space="preserve">Figure </w:t>
      </w:r>
      <w:r w:rsidRPr="00F05339">
        <w:rPr>
          <w:rFonts w:ascii="Arial" w:hAnsi="Arial" w:cs="Arial"/>
        </w:rPr>
        <w:fldChar w:fldCharType="begin"/>
      </w:r>
      <w:r w:rsidRPr="00F05339">
        <w:rPr>
          <w:rFonts w:ascii="Arial" w:hAnsi="Arial" w:cs="Arial"/>
        </w:rPr>
        <w:instrText xml:space="preserve"> SEQ Figure \* ARABIC </w:instrText>
      </w:r>
      <w:r w:rsidRPr="00F05339">
        <w:rPr>
          <w:rFonts w:ascii="Arial" w:hAnsi="Arial" w:cs="Arial"/>
        </w:rPr>
        <w:fldChar w:fldCharType="separate"/>
      </w:r>
      <w:r w:rsidR="003068B5">
        <w:rPr>
          <w:rFonts w:ascii="Arial" w:hAnsi="Arial" w:cs="Arial"/>
          <w:noProof/>
        </w:rPr>
        <w:t>4</w:t>
      </w:r>
      <w:r w:rsidRPr="00F05339">
        <w:rPr>
          <w:rFonts w:ascii="Arial" w:hAnsi="Arial" w:cs="Arial"/>
        </w:rPr>
        <w:fldChar w:fldCharType="end"/>
      </w:r>
      <w:bookmarkEnd w:id="23"/>
      <w:r w:rsidRPr="00F05339">
        <w:rPr>
          <w:rFonts w:ascii="Arial" w:hAnsi="Arial" w:cs="Arial"/>
        </w:rPr>
        <w:t xml:space="preserve">: FCB demonstration in Europe (source </w:t>
      </w:r>
      <w:hyperlink r:id="rId20" w:history="1">
        <w:r w:rsidRPr="00F05339">
          <w:rPr>
            <w:rFonts w:ascii="Arial" w:hAnsi="Arial" w:cs="Arial"/>
          </w:rPr>
          <w:t>https://www.fuelcellbuses.eu/</w:t>
        </w:r>
      </w:hyperlink>
      <w:r w:rsidRPr="00F05339">
        <w:rPr>
          <w:rFonts w:ascii="Arial" w:hAnsi="Arial" w:cs="Arial"/>
        </w:rPr>
        <w:t xml:space="preserve">) including national initiatives and Interreg-funded demos. </w:t>
      </w:r>
    </w:p>
    <w:p w14:paraId="360235E4" w14:textId="33A4F388" w:rsidR="00554B16" w:rsidRPr="00F05339" w:rsidRDefault="00554B16" w:rsidP="00554B16">
      <w:pPr>
        <w:spacing w:line="240" w:lineRule="auto"/>
        <w:jc w:val="both"/>
        <w:rPr>
          <w:rFonts w:ascii="Arial" w:hAnsi="Arial" w:cs="Arial"/>
        </w:rPr>
      </w:pPr>
      <w:r w:rsidRPr="00F05339">
        <w:rPr>
          <w:rFonts w:ascii="Arial" w:hAnsi="Arial" w:cs="Arial"/>
        </w:rPr>
        <w:t>In 2019-2020, 119 buses were in operation in 7 cities. From the bus demonstration projects that were reporting in TRUST between 2016 and 2020, a total distance of over 8.9 million km was accumulated, with almost 1 million km accumulated in 2020 alone. Over the last 4 years, over 602 tonnes of hydrogen have been consumed. In 2020, the average fuel consumption was 10.42 kg H</w:t>
      </w:r>
      <w:r w:rsidRPr="00F05339">
        <w:rPr>
          <w:rFonts w:ascii="Arial" w:hAnsi="Arial" w:cs="Arial"/>
          <w:vertAlign w:val="subscript"/>
        </w:rPr>
        <w:t>2</w:t>
      </w:r>
      <w:r w:rsidRPr="00F05339">
        <w:rPr>
          <w:rFonts w:ascii="Arial" w:hAnsi="Arial" w:cs="Arial"/>
        </w:rPr>
        <w:t>/100 km, while the minimum reported was 8 kg H</w:t>
      </w:r>
      <w:r w:rsidRPr="00F05339">
        <w:rPr>
          <w:rFonts w:ascii="Arial" w:hAnsi="Arial" w:cs="Arial"/>
          <w:vertAlign w:val="subscript"/>
        </w:rPr>
        <w:t>2</w:t>
      </w:r>
      <w:r w:rsidRPr="00F05339">
        <w:rPr>
          <w:rFonts w:ascii="Arial" w:hAnsi="Arial" w:cs="Arial"/>
        </w:rPr>
        <w:t>/100 km, meeting the 2020 MAWP target (8 to 10.2 kg H</w:t>
      </w:r>
      <w:r w:rsidRPr="00F05339">
        <w:rPr>
          <w:rFonts w:ascii="Arial" w:hAnsi="Arial" w:cs="Arial"/>
          <w:vertAlign w:val="subscript"/>
        </w:rPr>
        <w:t>2</w:t>
      </w:r>
      <w:r w:rsidRPr="00F05339">
        <w:rPr>
          <w:rFonts w:ascii="Arial" w:hAnsi="Arial" w:cs="Arial"/>
        </w:rPr>
        <w:t xml:space="preserve">/100 km). The 2020 MAWP targets for FC system cost and vehicle cost which had already been achieved in 2018, were also met in 2020. </w:t>
      </w:r>
    </w:p>
    <w:p w14:paraId="70FFABA8" w14:textId="70B31BA3" w:rsidR="002D45EB" w:rsidRDefault="00554B16" w:rsidP="00FF4AD3">
      <w:pPr>
        <w:rPr>
          <w:rFonts w:ascii="Arial" w:hAnsi="Arial" w:cs="Arial"/>
          <w:b/>
          <w:bCs/>
          <w:i/>
          <w:iCs/>
        </w:rPr>
      </w:pPr>
      <w:r w:rsidRPr="00F05339">
        <w:rPr>
          <w:rFonts w:ascii="Arial" w:hAnsi="Arial" w:cs="Arial"/>
        </w:rPr>
        <w:t>In 2020, the average</w:t>
      </w:r>
      <w:r w:rsidR="005D4540">
        <w:rPr>
          <w:rFonts w:ascii="Arial" w:hAnsi="Arial" w:cs="Arial"/>
        </w:rPr>
        <w:t xml:space="preserve"> fuel cell bus</w:t>
      </w:r>
      <w:r w:rsidRPr="00F05339">
        <w:rPr>
          <w:rFonts w:ascii="Arial" w:hAnsi="Arial" w:cs="Arial"/>
        </w:rPr>
        <w:t xml:space="preserve"> </w:t>
      </w:r>
      <w:r w:rsidR="005D4540">
        <w:rPr>
          <w:rFonts w:ascii="Arial" w:hAnsi="Arial" w:cs="Arial"/>
        </w:rPr>
        <w:t>(</w:t>
      </w:r>
      <w:r w:rsidRPr="00F05339">
        <w:rPr>
          <w:rFonts w:ascii="Arial" w:hAnsi="Arial" w:cs="Arial"/>
        </w:rPr>
        <w:t>FCB</w:t>
      </w:r>
      <w:r w:rsidR="005D4540">
        <w:rPr>
          <w:rFonts w:ascii="Arial" w:hAnsi="Arial" w:cs="Arial"/>
        </w:rPr>
        <w:t>)</w:t>
      </w:r>
      <w:r w:rsidRPr="00F05339">
        <w:rPr>
          <w:rFonts w:ascii="Arial" w:hAnsi="Arial" w:cs="Arial"/>
        </w:rPr>
        <w:t xml:space="preserve"> availability was 82%, </w:t>
      </w:r>
      <w:r w:rsidR="009957DD">
        <w:rPr>
          <w:rFonts w:ascii="Arial" w:hAnsi="Arial" w:cs="Arial"/>
        </w:rPr>
        <w:t xml:space="preserve">with a number of buses greatly exceeding this </w:t>
      </w:r>
      <w:proofErr w:type="gramStart"/>
      <w:r w:rsidR="009957DD">
        <w:rPr>
          <w:rFonts w:ascii="Arial" w:hAnsi="Arial" w:cs="Arial"/>
        </w:rPr>
        <w:t>percentage(</w:t>
      </w:r>
      <w:r w:rsidRPr="00F05339">
        <w:rPr>
          <w:rFonts w:ascii="Arial" w:hAnsi="Arial" w:cs="Arial"/>
        </w:rPr>
        <w:t xml:space="preserve"> maximum</w:t>
      </w:r>
      <w:proofErr w:type="gramEnd"/>
      <w:r w:rsidRPr="00F05339">
        <w:rPr>
          <w:rFonts w:ascii="Arial" w:hAnsi="Arial" w:cs="Arial"/>
        </w:rPr>
        <w:t xml:space="preserve"> availability </w:t>
      </w:r>
      <w:r w:rsidR="00DD108B">
        <w:rPr>
          <w:rFonts w:ascii="Arial" w:hAnsi="Arial" w:cs="Arial"/>
        </w:rPr>
        <w:t xml:space="preserve">reported was at </w:t>
      </w:r>
      <w:r w:rsidRPr="00F05339">
        <w:rPr>
          <w:rFonts w:ascii="Arial" w:hAnsi="Arial" w:cs="Arial"/>
        </w:rPr>
        <w:t>96.1%</w:t>
      </w:r>
      <w:r w:rsidR="009957DD">
        <w:rPr>
          <w:rFonts w:ascii="Arial" w:hAnsi="Arial" w:cs="Arial"/>
        </w:rPr>
        <w:t>)</w:t>
      </w:r>
      <w:r w:rsidRPr="00F05339">
        <w:rPr>
          <w:rFonts w:ascii="Arial" w:hAnsi="Arial" w:cs="Arial"/>
        </w:rPr>
        <w:t>. Th</w:t>
      </w:r>
      <w:r w:rsidR="00DD108B">
        <w:rPr>
          <w:rFonts w:ascii="Arial" w:hAnsi="Arial" w:cs="Arial"/>
        </w:rPr>
        <w:t>e</w:t>
      </w:r>
      <w:r w:rsidRPr="00F05339">
        <w:rPr>
          <w:rFonts w:ascii="Arial" w:hAnsi="Arial" w:cs="Arial"/>
        </w:rPr>
        <w:t xml:space="preserve"> </w:t>
      </w:r>
      <w:r w:rsidR="00DD108B">
        <w:rPr>
          <w:rFonts w:ascii="Arial" w:hAnsi="Arial" w:cs="Arial"/>
        </w:rPr>
        <w:t xml:space="preserve">low average availability value is explained by </w:t>
      </w:r>
      <w:r w:rsidRPr="00F05339">
        <w:rPr>
          <w:rFonts w:ascii="Arial" w:hAnsi="Arial" w:cs="Arial"/>
        </w:rPr>
        <w:t>the long</w:t>
      </w:r>
      <w:r w:rsidR="00DD108B">
        <w:rPr>
          <w:rFonts w:ascii="Arial" w:hAnsi="Arial" w:cs="Arial"/>
        </w:rPr>
        <w:t>er</w:t>
      </w:r>
      <w:r w:rsidRPr="00F05339">
        <w:rPr>
          <w:rFonts w:ascii="Arial" w:hAnsi="Arial" w:cs="Arial"/>
        </w:rPr>
        <w:t xml:space="preserve"> period </w:t>
      </w:r>
      <w:r w:rsidR="00DD108B">
        <w:rPr>
          <w:rFonts w:ascii="Arial" w:hAnsi="Arial" w:cs="Arial"/>
        </w:rPr>
        <w:t xml:space="preserve">observed for receiving </w:t>
      </w:r>
      <w:r w:rsidRPr="00F05339">
        <w:rPr>
          <w:rFonts w:ascii="Arial" w:hAnsi="Arial" w:cs="Arial"/>
        </w:rPr>
        <w:t>replacement parts from international suppliers due to the pandemic</w:t>
      </w:r>
      <w:r w:rsidR="00DD108B" w:rsidRPr="00DD108B">
        <w:rPr>
          <w:rFonts w:ascii="Arial" w:hAnsi="Arial" w:cs="Arial"/>
        </w:rPr>
        <w:t xml:space="preserve"> </w:t>
      </w:r>
      <w:r w:rsidR="00DD108B">
        <w:rPr>
          <w:rFonts w:ascii="Arial" w:hAnsi="Arial" w:cs="Arial"/>
        </w:rPr>
        <w:t xml:space="preserve">for the gradually </w:t>
      </w:r>
      <w:r w:rsidR="00DD108B" w:rsidRPr="00F05339">
        <w:rPr>
          <w:rFonts w:ascii="Arial" w:hAnsi="Arial" w:cs="Arial"/>
        </w:rPr>
        <w:t xml:space="preserve">ageing </w:t>
      </w:r>
      <w:r w:rsidR="00DD108B">
        <w:rPr>
          <w:rFonts w:ascii="Arial" w:hAnsi="Arial" w:cs="Arial"/>
        </w:rPr>
        <w:t xml:space="preserve">FCB </w:t>
      </w:r>
      <w:r w:rsidR="00DD108B" w:rsidRPr="00F05339">
        <w:rPr>
          <w:rFonts w:ascii="Arial" w:hAnsi="Arial" w:cs="Arial"/>
        </w:rPr>
        <w:t>fleets</w:t>
      </w:r>
      <w:r w:rsidRPr="00F05339">
        <w:rPr>
          <w:rFonts w:ascii="Arial" w:hAnsi="Arial" w:cs="Arial"/>
        </w:rPr>
        <w:t xml:space="preserve">. In addition, a teething period of a few months is usually observed at the start of FCB operation on sites previously unfamiliar with FCB, which adversely affects their availability. </w:t>
      </w:r>
    </w:p>
    <w:p w14:paraId="71025DC4" w14:textId="508A9EEC" w:rsidR="00554B16" w:rsidRPr="00F05339" w:rsidRDefault="00554B16" w:rsidP="00FF4AD3">
      <w:pPr>
        <w:rPr>
          <w:rFonts w:ascii="Arial" w:hAnsi="Arial" w:cs="Arial"/>
          <w:b/>
          <w:bCs/>
          <w:i/>
          <w:iCs/>
        </w:rPr>
      </w:pPr>
      <w:r w:rsidRPr="00F05339">
        <w:rPr>
          <w:rFonts w:ascii="Arial" w:hAnsi="Arial" w:cs="Arial"/>
          <w:b/>
          <w:bCs/>
          <w:i/>
          <w:iCs/>
        </w:rPr>
        <w:t>Truck demonstration projects</w:t>
      </w:r>
    </w:p>
    <w:p w14:paraId="02D41CB8" w14:textId="2238209F" w:rsidR="00554B16" w:rsidRPr="00F05339" w:rsidRDefault="00554B16" w:rsidP="00554B16">
      <w:pPr>
        <w:spacing w:line="240" w:lineRule="auto"/>
        <w:jc w:val="both"/>
        <w:rPr>
          <w:rFonts w:ascii="Arial" w:hAnsi="Arial" w:cs="Arial"/>
        </w:rPr>
      </w:pPr>
      <w:r w:rsidRPr="00F05339">
        <w:rPr>
          <w:rFonts w:ascii="Arial" w:hAnsi="Arial" w:cs="Arial"/>
        </w:rPr>
        <w:t xml:space="preserve">JU demonstration activities on heavy-duty trucks started in 2018 with the REVIVE project which aims to demonstrate 15 heavy-duty refuse trucks in 8 sites across Europe. It was enlarged in 2019 with the addition of the H2Haul project. REVIVE will set the basis and state of the art reference for future HDV refuse truck demonstration projects. Its activities include the life cycle </w:t>
      </w:r>
      <w:r w:rsidRPr="00F05339">
        <w:rPr>
          <w:rFonts w:ascii="Arial" w:hAnsi="Arial" w:cs="Arial"/>
        </w:rPr>
        <w:lastRenderedPageBreak/>
        <w:t xml:space="preserve">analysis of the project performance in terms of CO2 emissions, air pollution and noise reductions. </w:t>
      </w:r>
    </w:p>
    <w:p w14:paraId="2AEF6776" w14:textId="13FA8CB7" w:rsidR="00554B16" w:rsidRPr="00F05339" w:rsidRDefault="00554B16" w:rsidP="00554B16">
      <w:pPr>
        <w:spacing w:line="240" w:lineRule="auto"/>
        <w:jc w:val="both"/>
        <w:rPr>
          <w:rFonts w:ascii="Arial" w:hAnsi="Arial" w:cs="Arial"/>
        </w:rPr>
      </w:pPr>
      <w:r w:rsidRPr="00F05339">
        <w:rPr>
          <w:rFonts w:ascii="Arial" w:hAnsi="Arial" w:cs="Arial"/>
        </w:rPr>
        <w:t xml:space="preserve">H2Haul, ‘Hydrogen fuel cell trucks for heavy-duty, zero emission logistics’, will lead to the </w:t>
      </w:r>
      <w:r w:rsidR="00093A84">
        <w:rPr>
          <w:rFonts w:ascii="Arial" w:hAnsi="Arial" w:cs="Arial"/>
        </w:rPr>
        <w:t>demonstration</w:t>
      </w:r>
      <w:r w:rsidR="00093A84" w:rsidRPr="00F05339">
        <w:rPr>
          <w:rFonts w:ascii="Arial" w:hAnsi="Arial" w:cs="Arial"/>
        </w:rPr>
        <w:t xml:space="preserve"> </w:t>
      </w:r>
      <w:r w:rsidRPr="00F05339">
        <w:rPr>
          <w:rFonts w:ascii="Arial" w:hAnsi="Arial" w:cs="Arial"/>
        </w:rPr>
        <w:t xml:space="preserve">of 16 trucks, in 4 European countries. In addition, three new HRS for truck refuelling will be deployed in Belgium, </w:t>
      </w:r>
      <w:proofErr w:type="gramStart"/>
      <w:r w:rsidRPr="00F05339">
        <w:rPr>
          <w:rFonts w:ascii="Arial" w:hAnsi="Arial" w:cs="Arial"/>
        </w:rPr>
        <w:t>France</w:t>
      </w:r>
      <w:proofErr w:type="gramEnd"/>
      <w:r w:rsidRPr="00F05339">
        <w:rPr>
          <w:rFonts w:ascii="Arial" w:hAnsi="Arial" w:cs="Arial"/>
        </w:rPr>
        <w:t xml:space="preserve"> and Switzerland. The project is currently in the planning and pre-deployment phase. The design of three new types of FC trucks (including rigid and articulated vehicles up to 44 tonnes) is ongoing and specifications are being prepared as per specific customer requirements and mission profiles. These two projects will establish policy recommendations to foster the deployment of FCH trucks. The HRS that will support the truck fleet are also being </w:t>
      </w:r>
      <w:r w:rsidR="00093A84">
        <w:rPr>
          <w:rFonts w:ascii="Arial" w:hAnsi="Arial" w:cs="Arial"/>
        </w:rPr>
        <w:t>demonstrated</w:t>
      </w:r>
      <w:r w:rsidR="00093A84" w:rsidRPr="00F05339">
        <w:rPr>
          <w:rFonts w:ascii="Arial" w:hAnsi="Arial" w:cs="Arial"/>
        </w:rPr>
        <w:t xml:space="preserve"> </w:t>
      </w:r>
      <w:r w:rsidRPr="00F05339">
        <w:rPr>
          <w:rFonts w:ascii="Arial" w:hAnsi="Arial" w:cs="Arial"/>
        </w:rPr>
        <w:t>or upgraded.</w:t>
      </w:r>
    </w:p>
    <w:p w14:paraId="3D60E6E5" w14:textId="77777777" w:rsidR="00554B16" w:rsidRPr="00F05339" w:rsidRDefault="00554B16" w:rsidP="00FF4AD3">
      <w:pPr>
        <w:rPr>
          <w:rFonts w:ascii="Arial" w:hAnsi="Arial" w:cs="Arial"/>
          <w:b/>
          <w:bCs/>
          <w:i/>
          <w:iCs/>
        </w:rPr>
      </w:pPr>
      <w:r w:rsidRPr="00F05339">
        <w:rPr>
          <w:rFonts w:ascii="Arial" w:hAnsi="Arial" w:cs="Arial"/>
          <w:b/>
          <w:bCs/>
          <w:i/>
          <w:iCs/>
        </w:rPr>
        <w:t xml:space="preserve">Hydrogen refuelling infrastructure for cars and buses </w:t>
      </w:r>
    </w:p>
    <w:p w14:paraId="4986AE8A" w14:textId="4BF80BD5" w:rsidR="00554B16" w:rsidRPr="00F05339" w:rsidRDefault="00554B16" w:rsidP="00554B16">
      <w:pPr>
        <w:spacing w:line="240" w:lineRule="auto"/>
        <w:jc w:val="both"/>
        <w:rPr>
          <w:rFonts w:ascii="Arial" w:hAnsi="Arial" w:cs="Arial"/>
        </w:rPr>
      </w:pPr>
      <w:r w:rsidRPr="00F05339">
        <w:rPr>
          <w:rFonts w:ascii="Arial" w:hAnsi="Arial" w:cs="Arial"/>
        </w:rPr>
        <w:t xml:space="preserve">The geographical coverage of hydrogen refuelling infrastructure continues to expand, supporting the increasing number of FCEVs being </w:t>
      </w:r>
      <w:r w:rsidR="00D3451F">
        <w:rPr>
          <w:rFonts w:ascii="Arial" w:hAnsi="Arial" w:cs="Arial"/>
        </w:rPr>
        <w:t>demonstrated</w:t>
      </w:r>
      <w:r w:rsidR="00D3451F" w:rsidRPr="00F05339">
        <w:rPr>
          <w:rFonts w:ascii="Arial" w:hAnsi="Arial" w:cs="Arial"/>
        </w:rPr>
        <w:t xml:space="preserve"> </w:t>
      </w:r>
      <w:r w:rsidRPr="00F05339">
        <w:rPr>
          <w:rFonts w:ascii="Arial" w:hAnsi="Arial" w:cs="Arial"/>
        </w:rPr>
        <w:t xml:space="preserve">(see </w:t>
      </w:r>
      <w:r w:rsidRPr="00F05339">
        <w:rPr>
          <w:rFonts w:ascii="Arial" w:hAnsi="Arial" w:cs="Arial"/>
        </w:rPr>
        <w:fldChar w:fldCharType="begin"/>
      </w:r>
      <w:r w:rsidRPr="00F05339">
        <w:rPr>
          <w:rFonts w:ascii="Arial" w:hAnsi="Arial" w:cs="Arial"/>
        </w:rPr>
        <w:instrText xml:space="preserve"> REF  _Ref75184076 \h  \* MERGEFORMAT </w:instrText>
      </w:r>
      <w:r w:rsidRPr="00F05339">
        <w:rPr>
          <w:rFonts w:ascii="Arial" w:hAnsi="Arial" w:cs="Arial"/>
        </w:rPr>
      </w:r>
      <w:r w:rsidRPr="00F05339">
        <w:rPr>
          <w:rFonts w:ascii="Arial" w:hAnsi="Arial" w:cs="Arial"/>
        </w:rPr>
        <w:fldChar w:fldCharType="separate"/>
      </w:r>
      <w:r w:rsidR="003068B5" w:rsidRPr="00F05339">
        <w:rPr>
          <w:rFonts w:ascii="Arial" w:hAnsi="Arial" w:cs="Arial"/>
        </w:rPr>
        <w:t xml:space="preserve">Figure </w:t>
      </w:r>
      <w:r w:rsidR="003068B5">
        <w:rPr>
          <w:rFonts w:ascii="Arial" w:hAnsi="Arial" w:cs="Arial"/>
          <w:noProof/>
        </w:rPr>
        <w:t>5</w:t>
      </w:r>
      <w:r w:rsidRPr="00F05339">
        <w:rPr>
          <w:rFonts w:ascii="Arial" w:hAnsi="Arial" w:cs="Arial"/>
        </w:rPr>
        <w:fldChar w:fldCharType="end"/>
      </w:r>
      <w:r w:rsidRPr="00F05339">
        <w:rPr>
          <w:rFonts w:ascii="Arial" w:hAnsi="Arial" w:cs="Arial"/>
        </w:rPr>
        <w:t xml:space="preserve">). The total number of HRS funded under the transport </w:t>
      </w:r>
      <w:r w:rsidR="00D15599">
        <w:rPr>
          <w:rFonts w:ascii="Arial" w:hAnsi="Arial" w:cs="Arial"/>
        </w:rPr>
        <w:t>pillar</w:t>
      </w:r>
      <w:r w:rsidRPr="00F05339">
        <w:rPr>
          <w:rFonts w:ascii="Arial" w:hAnsi="Arial" w:cs="Arial"/>
        </w:rPr>
        <w:t xml:space="preserve"> is 113</w:t>
      </w:r>
      <w:r w:rsidRPr="00F05339">
        <w:rPr>
          <w:rStyle w:val="FootnoteReference"/>
          <w:rFonts w:ascii="Arial" w:hAnsi="Arial" w:cs="Arial"/>
        </w:rPr>
        <w:footnoteReference w:id="18"/>
      </w:r>
      <w:r w:rsidRPr="00F05339">
        <w:rPr>
          <w:rFonts w:ascii="Arial" w:hAnsi="Arial" w:cs="Arial"/>
        </w:rPr>
        <w:t xml:space="preserve">, of which 64 (53 for cars and 11 for buses) have already been </w:t>
      </w:r>
      <w:r w:rsidR="00D15599">
        <w:rPr>
          <w:rFonts w:ascii="Arial" w:hAnsi="Arial" w:cs="Arial"/>
        </w:rPr>
        <w:t>deployed,</w:t>
      </w:r>
      <w:r w:rsidRPr="00F05339">
        <w:rPr>
          <w:rFonts w:ascii="Arial" w:hAnsi="Arial" w:cs="Arial"/>
        </w:rPr>
        <w:t xml:space="preserve"> dispensing hydrogen at 700 bars, and have been integrated into petrol forecourts; 13 also have a 350 bars dispenser. The European HRS availability system (</w:t>
      </w:r>
      <w:hyperlink r:id="rId21">
        <w:r w:rsidRPr="00F05339">
          <w:rPr>
            <w:rStyle w:val="Hyperlink"/>
            <w:rFonts w:ascii="Arial" w:hAnsi="Arial" w:cs="Arial"/>
          </w:rPr>
          <w:t>https://h2-map.eu/</w:t>
        </w:r>
      </w:hyperlink>
      <w:r w:rsidRPr="00F05339">
        <w:rPr>
          <w:rFonts w:ascii="Arial" w:hAnsi="Arial" w:cs="Arial"/>
        </w:rPr>
        <w:t xml:space="preserve">), an initiative </w:t>
      </w:r>
      <w:r w:rsidR="00F956C1">
        <w:rPr>
          <w:rFonts w:ascii="Arial" w:hAnsi="Arial" w:cs="Arial"/>
        </w:rPr>
        <w:t>funded</w:t>
      </w:r>
      <w:r w:rsidR="00F956C1" w:rsidRPr="00F05339">
        <w:rPr>
          <w:rFonts w:ascii="Arial" w:hAnsi="Arial" w:cs="Arial"/>
        </w:rPr>
        <w:t xml:space="preserve"> </w:t>
      </w:r>
      <w:r w:rsidRPr="00F05339">
        <w:rPr>
          <w:rFonts w:ascii="Arial" w:hAnsi="Arial" w:cs="Arial"/>
        </w:rPr>
        <w:t xml:space="preserve">by the JU, provides a portal giving information on the live status of each HRS in Europe, and available on any mobile application or tool for the convenience of FCEV users. Currently, </w:t>
      </w:r>
      <w:r w:rsidR="00D15599" w:rsidRPr="00F05339">
        <w:rPr>
          <w:rFonts w:ascii="Arial" w:hAnsi="Arial" w:cs="Arial"/>
        </w:rPr>
        <w:t>1</w:t>
      </w:r>
      <w:r w:rsidR="00D15599">
        <w:rPr>
          <w:rFonts w:ascii="Arial" w:hAnsi="Arial" w:cs="Arial"/>
        </w:rPr>
        <w:t>79</w:t>
      </w:r>
      <w:r w:rsidR="00D15599" w:rsidRPr="00F05339">
        <w:rPr>
          <w:rFonts w:ascii="Arial" w:hAnsi="Arial" w:cs="Arial"/>
        </w:rPr>
        <w:t xml:space="preserve"> </w:t>
      </w:r>
      <w:r w:rsidRPr="00F05339">
        <w:rPr>
          <w:rFonts w:ascii="Arial" w:hAnsi="Arial" w:cs="Arial"/>
        </w:rPr>
        <w:t>fuelling stations (some not funded by the JU) are both connecting and sending live data.</w:t>
      </w:r>
    </w:p>
    <w:p w14:paraId="4EE2CBAF" w14:textId="77777777" w:rsidR="00554B16" w:rsidRPr="00F05339" w:rsidRDefault="00554B16" w:rsidP="00554B16">
      <w:pPr>
        <w:spacing w:line="240" w:lineRule="auto"/>
        <w:jc w:val="both"/>
        <w:rPr>
          <w:rFonts w:ascii="Arial" w:hAnsi="Arial" w:cs="Arial"/>
        </w:rPr>
      </w:pPr>
      <w:r w:rsidRPr="00F05339">
        <w:rPr>
          <w:rFonts w:ascii="Arial" w:hAnsi="Arial" w:cs="Arial"/>
        </w:rPr>
        <w:t xml:space="preserve"> </w:t>
      </w:r>
      <w:r w:rsidRPr="00F05339">
        <w:rPr>
          <w:rFonts w:ascii="Arial" w:hAnsi="Arial" w:cs="Arial"/>
          <w:noProof/>
          <w:lang w:eastAsia="en-GB"/>
        </w:rPr>
        <w:drawing>
          <wp:inline distT="0" distB="0" distL="0" distR="0" wp14:anchorId="13A75F21" wp14:editId="16F939DA">
            <wp:extent cx="4908499" cy="3814449"/>
            <wp:effectExtent l="0" t="0" r="6985" b="0"/>
            <wp:docPr id="9282" name="Picture 928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2" name="Picture 9282" descr="Map&#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919545" cy="3823033"/>
                    </a:xfrm>
                    <a:prstGeom prst="rect">
                      <a:avLst/>
                    </a:prstGeom>
                  </pic:spPr>
                </pic:pic>
              </a:graphicData>
            </a:graphic>
          </wp:inline>
        </w:drawing>
      </w:r>
    </w:p>
    <w:p w14:paraId="6DACD376" w14:textId="5999C167" w:rsidR="00554B16" w:rsidRPr="00F05339" w:rsidRDefault="00554B16" w:rsidP="00554B16">
      <w:pPr>
        <w:pStyle w:val="Caption"/>
        <w:jc w:val="both"/>
        <w:rPr>
          <w:rFonts w:ascii="Arial" w:hAnsi="Arial" w:cs="Arial"/>
        </w:rPr>
      </w:pPr>
      <w:bookmarkStart w:id="24" w:name="_Ref75184076"/>
      <w:r w:rsidRPr="00F05339">
        <w:rPr>
          <w:rFonts w:ascii="Arial" w:hAnsi="Arial" w:cs="Arial"/>
        </w:rPr>
        <w:t xml:space="preserve">Figure </w:t>
      </w:r>
      <w:r w:rsidRPr="00F05339">
        <w:rPr>
          <w:rFonts w:ascii="Arial" w:hAnsi="Arial" w:cs="Arial"/>
        </w:rPr>
        <w:fldChar w:fldCharType="begin"/>
      </w:r>
      <w:r w:rsidRPr="00F05339">
        <w:rPr>
          <w:rFonts w:ascii="Arial" w:hAnsi="Arial" w:cs="Arial"/>
        </w:rPr>
        <w:instrText xml:space="preserve"> SEQ Figure \* ARABIC </w:instrText>
      </w:r>
      <w:r w:rsidRPr="00F05339">
        <w:rPr>
          <w:rFonts w:ascii="Arial" w:hAnsi="Arial" w:cs="Arial"/>
        </w:rPr>
        <w:fldChar w:fldCharType="separate"/>
      </w:r>
      <w:r w:rsidR="003068B5">
        <w:rPr>
          <w:rFonts w:ascii="Arial" w:hAnsi="Arial" w:cs="Arial"/>
          <w:noProof/>
        </w:rPr>
        <w:t>5</w:t>
      </w:r>
      <w:r w:rsidRPr="00F05339">
        <w:rPr>
          <w:rFonts w:ascii="Arial" w:hAnsi="Arial" w:cs="Arial"/>
        </w:rPr>
        <w:fldChar w:fldCharType="end"/>
      </w:r>
      <w:bookmarkEnd w:id="24"/>
      <w:r w:rsidRPr="00F05339">
        <w:rPr>
          <w:rFonts w:ascii="Arial" w:hAnsi="Arial" w:cs="Arial"/>
        </w:rPr>
        <w:t>: Distribution of hydrogen refuelling stations co-funded by JU.</w:t>
      </w:r>
    </w:p>
    <w:p w14:paraId="1A393C5F" w14:textId="05402E71" w:rsidR="00554B16" w:rsidRPr="00F05339" w:rsidRDefault="00554B16" w:rsidP="00554B16">
      <w:pPr>
        <w:pStyle w:val="CommentText"/>
        <w:jc w:val="both"/>
        <w:rPr>
          <w:rFonts w:ascii="Arial" w:hAnsi="Arial" w:cs="Arial"/>
          <w:sz w:val="22"/>
          <w:szCs w:val="22"/>
        </w:rPr>
      </w:pPr>
      <w:r w:rsidRPr="00F05339">
        <w:rPr>
          <w:rFonts w:ascii="Arial" w:hAnsi="Arial" w:cs="Arial"/>
          <w:sz w:val="22"/>
          <w:szCs w:val="22"/>
        </w:rPr>
        <w:t xml:space="preserve">To date, the JU-funded HRS network for cars covers 8 countries and, in 2020, delivered 58.8 tonnes of hydrogen in 25 060 refuelling operations. This amount represents 40 % of the total amount of hydrogen refuelled since 2016. The average HRS availability for cars in 2020 was </w:t>
      </w:r>
      <w:r w:rsidRPr="00F05339">
        <w:rPr>
          <w:rFonts w:ascii="Arial" w:hAnsi="Arial" w:cs="Arial"/>
          <w:sz w:val="22"/>
          <w:szCs w:val="22"/>
        </w:rPr>
        <w:lastRenderedPageBreak/>
        <w:t>90%. The major causes of station downtime are the compressor and the scheduled maintenance/upgrades</w:t>
      </w:r>
      <w:r w:rsidR="00256D71">
        <w:rPr>
          <w:rFonts w:ascii="Arial" w:hAnsi="Arial" w:cs="Arial"/>
          <w:sz w:val="22"/>
          <w:szCs w:val="22"/>
        </w:rPr>
        <w:t>, which highlights the need for R&amp;D in this area, such as the projects COSMHYC and COSMHYC XL (described below)</w:t>
      </w:r>
      <w:r w:rsidRPr="00F05339">
        <w:rPr>
          <w:rFonts w:ascii="Arial" w:hAnsi="Arial" w:cs="Arial"/>
          <w:sz w:val="22"/>
          <w:szCs w:val="22"/>
        </w:rPr>
        <w:t xml:space="preserve">. H2ME reported that with the increasing number of HRS, chiller cooling hydrogen to the level required by SAE J2601 is also becoming a reason for downtime. </w:t>
      </w:r>
    </w:p>
    <w:p w14:paraId="20CDCE92" w14:textId="75EE7B15" w:rsidR="00554B16" w:rsidRPr="00F05339" w:rsidRDefault="00554B16" w:rsidP="00554B16">
      <w:pPr>
        <w:spacing w:line="240" w:lineRule="auto"/>
        <w:jc w:val="both"/>
        <w:rPr>
          <w:rFonts w:ascii="Arial" w:hAnsi="Arial" w:cs="Arial"/>
        </w:rPr>
      </w:pPr>
      <w:r w:rsidRPr="00F05339">
        <w:rPr>
          <w:rFonts w:ascii="Arial" w:hAnsi="Arial" w:cs="Arial"/>
        </w:rPr>
        <w:t>Car demonstration projects have reported that 66 % of dispensed hydrogen was certified as low carbon</w:t>
      </w:r>
      <w:r w:rsidR="00873843" w:rsidRPr="00873843">
        <w:rPr>
          <w:rFonts w:ascii="Arial" w:hAnsi="Arial" w:cs="Arial"/>
        </w:rPr>
        <w:t xml:space="preserve"> </w:t>
      </w:r>
      <w:r w:rsidR="00873843">
        <w:rPr>
          <w:rFonts w:ascii="Arial" w:hAnsi="Arial" w:cs="Arial"/>
        </w:rPr>
        <w:t xml:space="preserve">from Guarantee of Origin (GO) schemes for </w:t>
      </w:r>
      <w:r w:rsidR="00873843" w:rsidRPr="00F05339">
        <w:rPr>
          <w:rFonts w:ascii="Arial" w:hAnsi="Arial" w:cs="Arial"/>
        </w:rPr>
        <w:t xml:space="preserve">Green and Low-Carbon Hydrogen, </w:t>
      </w:r>
      <w:r w:rsidR="00873843">
        <w:rPr>
          <w:rFonts w:ascii="Arial" w:hAnsi="Arial" w:cs="Arial"/>
        </w:rPr>
        <w:t xml:space="preserve">such as CertifHy (see Section </w:t>
      </w:r>
      <w:r w:rsidR="00873843">
        <w:rPr>
          <w:rFonts w:ascii="Arial" w:hAnsi="Arial" w:cs="Arial"/>
        </w:rPr>
        <w:fldChar w:fldCharType="begin"/>
      </w:r>
      <w:r w:rsidR="00873843">
        <w:rPr>
          <w:rFonts w:ascii="Arial" w:hAnsi="Arial" w:cs="Arial"/>
        </w:rPr>
        <w:instrText xml:space="preserve"> REF _Ref100780929 \r \h </w:instrText>
      </w:r>
      <w:r w:rsidR="00873843">
        <w:rPr>
          <w:rFonts w:ascii="Arial" w:hAnsi="Arial" w:cs="Arial"/>
        </w:rPr>
      </w:r>
      <w:r w:rsidR="00873843">
        <w:rPr>
          <w:rFonts w:ascii="Arial" w:hAnsi="Arial" w:cs="Arial"/>
        </w:rPr>
        <w:fldChar w:fldCharType="separate"/>
      </w:r>
      <w:r w:rsidR="003068B5">
        <w:rPr>
          <w:rFonts w:ascii="Arial" w:hAnsi="Arial" w:cs="Arial"/>
        </w:rPr>
        <w:t>1.2.6</w:t>
      </w:r>
      <w:r w:rsidR="00873843">
        <w:rPr>
          <w:rFonts w:ascii="Arial" w:hAnsi="Arial" w:cs="Arial"/>
        </w:rPr>
        <w:fldChar w:fldCharType="end"/>
      </w:r>
      <w:r w:rsidR="00873843">
        <w:rPr>
          <w:rFonts w:ascii="Arial" w:hAnsi="Arial" w:cs="Arial"/>
        </w:rPr>
        <w:t>)</w:t>
      </w:r>
      <w:r w:rsidRPr="00F05339">
        <w:rPr>
          <w:rFonts w:ascii="Arial" w:hAnsi="Arial" w:cs="Arial"/>
        </w:rPr>
        <w:t>. Of this, renewable hydrogen accounted for 57 %. The average</w:t>
      </w:r>
      <w:r w:rsidR="00873843">
        <w:rPr>
          <w:rFonts w:ascii="Arial" w:hAnsi="Arial" w:cs="Arial"/>
        </w:rPr>
        <w:t xml:space="preserve"> reported</w:t>
      </w:r>
      <w:r w:rsidRPr="00F05339">
        <w:rPr>
          <w:rFonts w:ascii="Arial" w:hAnsi="Arial" w:cs="Arial"/>
        </w:rPr>
        <w:t xml:space="preserve"> cost of renewable hydrogen </w:t>
      </w:r>
      <w:r w:rsidR="00873843">
        <w:rPr>
          <w:rFonts w:ascii="Arial" w:hAnsi="Arial" w:cs="Arial"/>
        </w:rPr>
        <w:t>was</w:t>
      </w:r>
      <w:r w:rsidR="00873843" w:rsidRPr="00F05339">
        <w:rPr>
          <w:rFonts w:ascii="Arial" w:hAnsi="Arial" w:cs="Arial"/>
        </w:rPr>
        <w:t xml:space="preserve"> </w:t>
      </w:r>
      <w:r w:rsidRPr="00F05339">
        <w:rPr>
          <w:rFonts w:ascii="Arial" w:hAnsi="Arial" w:cs="Arial"/>
        </w:rPr>
        <w:t xml:space="preserve">11.31 €/kg H2, which means the related MAWP 2020 target of 11 €/kg H2 </w:t>
      </w:r>
      <w:r w:rsidR="00873843">
        <w:rPr>
          <w:rFonts w:ascii="Arial" w:hAnsi="Arial" w:cs="Arial"/>
        </w:rPr>
        <w:t xml:space="preserve">was almost </w:t>
      </w:r>
      <w:r w:rsidRPr="00F05339">
        <w:rPr>
          <w:rFonts w:ascii="Arial" w:hAnsi="Arial" w:cs="Arial"/>
        </w:rPr>
        <w:t xml:space="preserve">achieved. </w:t>
      </w:r>
      <w:r w:rsidR="00B844BA">
        <w:rPr>
          <w:rFonts w:ascii="Arial" w:hAnsi="Arial" w:cs="Arial"/>
        </w:rPr>
        <w:t>More research is needed though the coming years in reducing t</w:t>
      </w:r>
      <w:r w:rsidRPr="00F05339">
        <w:rPr>
          <w:rFonts w:ascii="Arial" w:hAnsi="Arial" w:cs="Arial"/>
        </w:rPr>
        <w:t xml:space="preserve">he average capital expenditure (CAPEX) for hydrogen stations, which is still </w:t>
      </w:r>
      <w:r w:rsidR="00B844BA">
        <w:rPr>
          <w:rFonts w:ascii="Arial" w:hAnsi="Arial" w:cs="Arial"/>
        </w:rPr>
        <w:t xml:space="preserve">more than 50% </w:t>
      </w:r>
      <w:r w:rsidRPr="00F05339">
        <w:rPr>
          <w:rFonts w:ascii="Arial" w:hAnsi="Arial" w:cs="Arial"/>
        </w:rPr>
        <w:t xml:space="preserve">higher than the expected MAWP 2020 targets. </w:t>
      </w:r>
    </w:p>
    <w:p w14:paraId="57654789" w14:textId="58F4CAB7" w:rsidR="00256D71" w:rsidRDefault="00554B16" w:rsidP="00256D71">
      <w:pPr>
        <w:spacing w:line="240" w:lineRule="auto"/>
        <w:jc w:val="both"/>
        <w:rPr>
          <w:rFonts w:ascii="Arial" w:hAnsi="Arial" w:cs="Arial"/>
        </w:rPr>
      </w:pPr>
      <w:r w:rsidRPr="00F05339">
        <w:rPr>
          <w:rFonts w:ascii="Arial" w:hAnsi="Arial" w:cs="Arial"/>
        </w:rPr>
        <w:t xml:space="preserve">JU has also funded the installation of 23 refuelling stations for buses in 10 European cities, 16 of which have been </w:t>
      </w:r>
      <w:r w:rsidR="000D6342">
        <w:rPr>
          <w:rFonts w:ascii="Arial" w:hAnsi="Arial" w:cs="Arial"/>
        </w:rPr>
        <w:t>demonstrated</w:t>
      </w:r>
      <w:r w:rsidRPr="00F05339">
        <w:rPr>
          <w:rFonts w:ascii="Arial" w:hAnsi="Arial" w:cs="Arial"/>
        </w:rPr>
        <w:t>. The amount of hydrogen dispensed between 2016 and 2020 was almost 529.8 tonnes, 16 % of which was consumed in 2020 in 5 917 refuelling operations. Of this dispensed amount, 63 % is certified as renewable hydrogen</w:t>
      </w:r>
      <w:r w:rsidR="00256D71">
        <w:rPr>
          <w:rFonts w:ascii="Arial" w:hAnsi="Arial" w:cs="Arial"/>
        </w:rPr>
        <w:t xml:space="preserve"> </w:t>
      </w:r>
    </w:p>
    <w:p w14:paraId="02208468" w14:textId="11CCAAC9" w:rsidR="00554B16" w:rsidRPr="00F05339" w:rsidRDefault="00554B16" w:rsidP="00554B16">
      <w:pPr>
        <w:spacing w:line="240" w:lineRule="auto"/>
        <w:jc w:val="both"/>
        <w:rPr>
          <w:rFonts w:ascii="Arial" w:hAnsi="Arial" w:cs="Arial"/>
        </w:rPr>
      </w:pPr>
      <w:r w:rsidRPr="00F05339">
        <w:rPr>
          <w:rFonts w:ascii="Arial" w:hAnsi="Arial" w:cs="Arial"/>
        </w:rPr>
        <w:t xml:space="preserve">Demonstration projects are </w:t>
      </w:r>
      <w:r w:rsidR="000D6342">
        <w:rPr>
          <w:rFonts w:ascii="Arial" w:hAnsi="Arial" w:cs="Arial"/>
        </w:rPr>
        <w:t>still</w:t>
      </w:r>
      <w:r w:rsidR="000D6342" w:rsidRPr="00F05339">
        <w:rPr>
          <w:rFonts w:ascii="Arial" w:hAnsi="Arial" w:cs="Arial"/>
        </w:rPr>
        <w:t xml:space="preserve"> </w:t>
      </w:r>
      <w:r w:rsidRPr="00F05339">
        <w:rPr>
          <w:rFonts w:ascii="Arial" w:hAnsi="Arial" w:cs="Arial"/>
        </w:rPr>
        <w:t xml:space="preserve">suffering from a lack of experience among local authorities and the absence of standardised processes for reviewing and approving HRS permit authorisation. However, </w:t>
      </w:r>
      <w:r w:rsidR="000D6342">
        <w:rPr>
          <w:rFonts w:ascii="Arial" w:hAnsi="Arial" w:cs="Arial"/>
        </w:rPr>
        <w:t xml:space="preserve">with the help of such projects (and related awareness), </w:t>
      </w:r>
      <w:r w:rsidRPr="00F05339">
        <w:rPr>
          <w:rFonts w:ascii="Arial" w:hAnsi="Arial" w:cs="Arial"/>
        </w:rPr>
        <w:t xml:space="preserve">difficulties encountered when requesting permits for HRS are declining, with the lead time for commissioning an HRS in Germany falling from 24 to 12 months. </w:t>
      </w:r>
    </w:p>
    <w:p w14:paraId="348441D4" w14:textId="77777777" w:rsidR="00554B16" w:rsidRPr="00F05339" w:rsidRDefault="00554B16" w:rsidP="00FF4AD3">
      <w:pPr>
        <w:rPr>
          <w:rFonts w:ascii="Arial" w:hAnsi="Arial" w:cs="Arial"/>
          <w:b/>
          <w:bCs/>
          <w:i/>
          <w:iCs/>
        </w:rPr>
      </w:pPr>
      <w:r w:rsidRPr="00F05339">
        <w:rPr>
          <w:rFonts w:ascii="Arial" w:hAnsi="Arial" w:cs="Arial"/>
          <w:b/>
          <w:bCs/>
          <w:i/>
          <w:iCs/>
        </w:rPr>
        <w:t xml:space="preserve">New developments in compression for hydrogen refuelling stations </w:t>
      </w:r>
    </w:p>
    <w:p w14:paraId="50DE36C3" w14:textId="77777777" w:rsidR="00554B16" w:rsidRPr="00F05339" w:rsidRDefault="00554B16" w:rsidP="00554B16">
      <w:pPr>
        <w:spacing w:line="240" w:lineRule="auto"/>
        <w:jc w:val="both"/>
        <w:rPr>
          <w:rFonts w:ascii="Arial" w:hAnsi="Arial" w:cs="Arial"/>
        </w:rPr>
      </w:pPr>
      <w:r w:rsidRPr="00F05339">
        <w:rPr>
          <w:rFonts w:ascii="Arial" w:hAnsi="Arial" w:cs="Arial"/>
        </w:rPr>
        <w:t xml:space="preserve">COSMHYC and COSMHYC XL are developing a hybrid compression solution (1-1 000 bar) by combining a metal hydride compressor and a mechanical diaphragm compressor. This new design allows for a reduction in CAPEX and the operating expense (OPEX), less noise, greater </w:t>
      </w:r>
      <w:proofErr w:type="gramStart"/>
      <w:r w:rsidRPr="00F05339">
        <w:rPr>
          <w:rFonts w:ascii="Arial" w:hAnsi="Arial" w:cs="Arial"/>
        </w:rPr>
        <w:t>availability</w:t>
      </w:r>
      <w:proofErr w:type="gramEnd"/>
      <w:r w:rsidRPr="00F05339">
        <w:rPr>
          <w:rFonts w:ascii="Arial" w:hAnsi="Arial" w:cs="Arial"/>
        </w:rPr>
        <w:t xml:space="preserve"> and therefore better hydrogen delivery efficiency in HRS (COSMHYC) and extra-large HRSs able to serve heavy duty vehicles (COSMHYC XL). H2REF developed and tested a novel hydraulic-based compression and buffering system, using of a bladder accumulator technology. Both have high potential for improving techno-economic parameters for hydrogen compression at refuelling stations.</w:t>
      </w:r>
    </w:p>
    <w:p w14:paraId="77E7B206" w14:textId="77777777" w:rsidR="00554B16" w:rsidRPr="00F05339" w:rsidRDefault="00554B16" w:rsidP="00FF4AD3">
      <w:pPr>
        <w:rPr>
          <w:rFonts w:ascii="Arial" w:hAnsi="Arial" w:cs="Arial"/>
          <w:b/>
          <w:bCs/>
          <w:i/>
          <w:iCs/>
        </w:rPr>
      </w:pPr>
      <w:r w:rsidRPr="00F05339">
        <w:rPr>
          <w:rFonts w:ascii="Arial" w:hAnsi="Arial" w:cs="Arial"/>
          <w:b/>
          <w:bCs/>
          <w:i/>
          <w:iCs/>
        </w:rPr>
        <w:t>Hydrogen storage/tanks – innovative technologies for on-board storage</w:t>
      </w:r>
    </w:p>
    <w:p w14:paraId="328342A6" w14:textId="63A827AC" w:rsidR="00554B16" w:rsidRPr="00F05339" w:rsidRDefault="00554B16" w:rsidP="00792B39">
      <w:pPr>
        <w:rPr>
          <w:rFonts w:ascii="Arial" w:hAnsi="Arial" w:cs="Arial"/>
        </w:rPr>
      </w:pPr>
      <w:r w:rsidRPr="00F05339">
        <w:rPr>
          <w:rFonts w:ascii="Arial" w:hAnsi="Arial" w:cs="Arial"/>
        </w:rPr>
        <w:t>The objective of this topic is to improve the gravimetric and volumetric capacity of hydrogen storage tanks on board vehicles by using new materials and innovative manufacturing techniques. The projects TAHYA and THOR are addressing these goals, they are in the early development phase, with a TRL range of 4 to 6.</w:t>
      </w:r>
    </w:p>
    <w:p w14:paraId="3ACEBE46" w14:textId="4506E480" w:rsidR="00E651BD" w:rsidRDefault="00554B16" w:rsidP="00554B16">
      <w:pPr>
        <w:spacing w:line="240" w:lineRule="auto"/>
        <w:jc w:val="both"/>
        <w:rPr>
          <w:rFonts w:ascii="Arial" w:hAnsi="Arial" w:cs="Arial"/>
        </w:rPr>
      </w:pPr>
      <w:r w:rsidRPr="00F05339">
        <w:rPr>
          <w:rFonts w:ascii="Arial" w:hAnsi="Arial" w:cs="Arial"/>
        </w:rPr>
        <w:t xml:space="preserve">TAHYA </w:t>
      </w:r>
      <w:r w:rsidR="00E651BD" w:rsidRPr="00F05339">
        <w:rPr>
          <w:rFonts w:ascii="Arial" w:hAnsi="Arial" w:cs="Arial"/>
        </w:rPr>
        <w:t xml:space="preserve">aims to develop a complete, </w:t>
      </w:r>
      <w:proofErr w:type="gramStart"/>
      <w:r w:rsidR="00E651BD" w:rsidRPr="00F05339">
        <w:rPr>
          <w:rFonts w:ascii="Arial" w:hAnsi="Arial" w:cs="Arial"/>
        </w:rPr>
        <w:t>competitive</w:t>
      </w:r>
      <w:proofErr w:type="gramEnd"/>
      <w:r w:rsidR="00E651BD" w:rsidRPr="00F05339">
        <w:rPr>
          <w:rFonts w:ascii="Arial" w:hAnsi="Arial" w:cs="Arial"/>
        </w:rPr>
        <w:t xml:space="preserve"> and innovative European hydrogen storage system</w:t>
      </w:r>
      <w:r w:rsidR="00E651BD">
        <w:rPr>
          <w:rFonts w:ascii="Arial" w:hAnsi="Arial" w:cs="Arial"/>
        </w:rPr>
        <w:t>. T</w:t>
      </w:r>
      <w:r w:rsidRPr="00F05339">
        <w:rPr>
          <w:rFonts w:ascii="Arial" w:hAnsi="Arial" w:cs="Arial"/>
        </w:rPr>
        <w:t xml:space="preserve">he tank is developed and is ongoing design qualification tests. Fire tests need completion as well as the integration of structural health monitoring and the optimisation of the filling nozzle. </w:t>
      </w:r>
    </w:p>
    <w:p w14:paraId="70A0B365" w14:textId="0D98F569" w:rsidR="00554B16" w:rsidRPr="00F05339" w:rsidRDefault="00554B16" w:rsidP="00554B16">
      <w:pPr>
        <w:spacing w:line="240" w:lineRule="auto"/>
        <w:jc w:val="both"/>
        <w:rPr>
          <w:rFonts w:ascii="Arial" w:hAnsi="Arial" w:cs="Arial"/>
        </w:rPr>
      </w:pPr>
      <w:r w:rsidRPr="00F05339">
        <w:rPr>
          <w:rFonts w:ascii="Arial" w:hAnsi="Arial" w:cs="Arial"/>
        </w:rPr>
        <w:t>THOR develops high-pressure thermoplastic composite hydrogen tanks (moving from TRL</w:t>
      </w:r>
      <w:r w:rsidR="00E651BD">
        <w:rPr>
          <w:rFonts w:ascii="Arial" w:hAnsi="Arial" w:cs="Arial"/>
        </w:rPr>
        <w:t xml:space="preserve"> </w:t>
      </w:r>
      <w:r w:rsidRPr="00F05339">
        <w:rPr>
          <w:rFonts w:ascii="Arial" w:hAnsi="Arial" w:cs="Arial"/>
        </w:rPr>
        <w:t>4 to TRL</w:t>
      </w:r>
      <w:r w:rsidR="00E651BD">
        <w:rPr>
          <w:rFonts w:ascii="Arial" w:hAnsi="Arial" w:cs="Arial"/>
        </w:rPr>
        <w:t xml:space="preserve"> </w:t>
      </w:r>
      <w:r w:rsidRPr="00F05339">
        <w:rPr>
          <w:rFonts w:ascii="Arial" w:hAnsi="Arial" w:cs="Arial"/>
        </w:rPr>
        <w:t>6) based on thermo-plastic resins. The tank based on a new design is requiring prototype testing</w:t>
      </w:r>
      <w:r w:rsidR="0030410A">
        <w:rPr>
          <w:rFonts w:ascii="Arial" w:hAnsi="Arial" w:cs="Arial"/>
        </w:rPr>
        <w:t>.</w:t>
      </w:r>
      <w:r w:rsidRPr="00F05339">
        <w:rPr>
          <w:rFonts w:ascii="Arial" w:hAnsi="Arial" w:cs="Arial"/>
        </w:rPr>
        <w:t xml:space="preserve"> The final tank has the potential as a breakthrough technology for hydrogen storage, with reduced material use and costs.</w:t>
      </w:r>
    </w:p>
    <w:p w14:paraId="600F0DE8" w14:textId="77777777" w:rsidR="00554B16" w:rsidRPr="00F05339" w:rsidRDefault="00554B16" w:rsidP="00FF4AD3">
      <w:pPr>
        <w:rPr>
          <w:rFonts w:ascii="Arial" w:hAnsi="Arial" w:cs="Arial"/>
          <w:b/>
          <w:bCs/>
          <w:i/>
          <w:iCs/>
        </w:rPr>
      </w:pPr>
      <w:bookmarkStart w:id="25" w:name="_Toc534877336"/>
      <w:bookmarkStart w:id="26" w:name="_Toc534893955"/>
      <w:bookmarkStart w:id="27" w:name="_Toc535567921"/>
      <w:bookmarkStart w:id="28" w:name="_Toc535571412"/>
      <w:bookmarkStart w:id="29" w:name="_Toc535571688"/>
      <w:bookmarkStart w:id="30" w:name="_Toc535586457"/>
      <w:bookmarkStart w:id="31" w:name="_Toc193694"/>
      <w:bookmarkStart w:id="32" w:name="_Toc195872"/>
      <w:bookmarkStart w:id="33" w:name="_Toc366670"/>
      <w:bookmarkStart w:id="34" w:name="_Toc366885"/>
      <w:bookmarkStart w:id="35" w:name="_Toc874947"/>
      <w:bookmarkStart w:id="36" w:name="_Toc1127614"/>
      <w:bookmarkStart w:id="37" w:name="_Toc2174818"/>
      <w:bookmarkStart w:id="38" w:name="_Toc2177520"/>
      <w:bookmarkStart w:id="39" w:name="_Toc2178684"/>
      <w:bookmarkStart w:id="40" w:name="_Toc2179759"/>
      <w:bookmarkStart w:id="41" w:name="_Toc2180357"/>
      <w:bookmarkStart w:id="42" w:name="_Toc2242272"/>
      <w:bookmarkStart w:id="43" w:name="_Toc21700604"/>
      <w:bookmarkStart w:id="44" w:name="_Toc21708022"/>
      <w:bookmarkStart w:id="45" w:name="_Toc21708169"/>
      <w:bookmarkStart w:id="46" w:name="_Toc69730465"/>
      <w:bookmarkStart w:id="47" w:name="_Toc83906444"/>
      <w:r w:rsidRPr="00F05339">
        <w:rPr>
          <w:rFonts w:ascii="Arial" w:hAnsi="Arial" w:cs="Arial"/>
          <w:b/>
          <w:bCs/>
          <w:i/>
          <w:iCs/>
        </w:rPr>
        <w:t xml:space="preserve">Waterborne </w:t>
      </w:r>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r w:rsidRPr="00F05339">
        <w:rPr>
          <w:rFonts w:ascii="Arial" w:hAnsi="Arial" w:cs="Arial"/>
          <w:b/>
          <w:bCs/>
          <w:i/>
          <w:iCs/>
        </w:rPr>
        <w:t>applications</w:t>
      </w:r>
    </w:p>
    <w:p w14:paraId="3C956834" w14:textId="2187E66C" w:rsidR="00554B16" w:rsidRPr="00F05339" w:rsidRDefault="00554B16" w:rsidP="00554B16">
      <w:pPr>
        <w:spacing w:line="240" w:lineRule="auto"/>
        <w:jc w:val="both"/>
        <w:rPr>
          <w:rFonts w:ascii="Arial" w:hAnsi="Arial" w:cs="Arial"/>
        </w:rPr>
      </w:pPr>
      <w:r w:rsidRPr="00F05339">
        <w:rPr>
          <w:rFonts w:ascii="Arial" w:hAnsi="Arial" w:cs="Arial"/>
        </w:rPr>
        <w:lastRenderedPageBreak/>
        <w:t xml:space="preserve">Hydrogen in the maritime sector is nowadays a topic of great interest due to the expected changes in emissions regulation in the near term. Three projects </w:t>
      </w:r>
      <w:r w:rsidR="002C696A">
        <w:rPr>
          <w:rFonts w:ascii="Arial" w:hAnsi="Arial" w:cs="Arial"/>
        </w:rPr>
        <w:t>demonstrating</w:t>
      </w:r>
      <w:r w:rsidR="002C696A" w:rsidRPr="00F05339">
        <w:rPr>
          <w:rFonts w:ascii="Arial" w:hAnsi="Arial" w:cs="Arial"/>
        </w:rPr>
        <w:t xml:space="preserve"> </w:t>
      </w:r>
      <w:r w:rsidRPr="00F05339">
        <w:rPr>
          <w:rFonts w:ascii="Arial" w:hAnsi="Arial" w:cs="Arial"/>
        </w:rPr>
        <w:t xml:space="preserve">zero-emission FC ships and hydrogen in maritime ports started in 2019-2020, </w:t>
      </w:r>
      <w:r w:rsidR="002C696A">
        <w:rPr>
          <w:rFonts w:ascii="Arial" w:hAnsi="Arial" w:cs="Arial"/>
        </w:rPr>
        <w:t>all having</w:t>
      </w:r>
      <w:r w:rsidRPr="00F05339">
        <w:rPr>
          <w:rFonts w:ascii="Arial" w:hAnsi="Arial" w:cs="Arial"/>
        </w:rPr>
        <w:t xml:space="preserve"> common issues in hydrogen safety, permitting of ships and infrastructure, and standards</w:t>
      </w:r>
      <w:r w:rsidR="0030410A">
        <w:rPr>
          <w:rFonts w:ascii="Arial" w:hAnsi="Arial" w:cs="Arial"/>
        </w:rPr>
        <w:t xml:space="preserve"> (see </w:t>
      </w:r>
      <w:r w:rsidR="0030410A">
        <w:rPr>
          <w:rFonts w:ascii="Arial" w:hAnsi="Arial" w:cs="Arial"/>
        </w:rPr>
        <w:fldChar w:fldCharType="begin"/>
      </w:r>
      <w:r w:rsidR="0030410A">
        <w:rPr>
          <w:rFonts w:ascii="Arial" w:hAnsi="Arial" w:cs="Arial"/>
        </w:rPr>
        <w:instrText xml:space="preserve"> REF _Ref100780133 \h </w:instrText>
      </w:r>
      <w:r w:rsidR="0030410A">
        <w:rPr>
          <w:rFonts w:ascii="Arial" w:hAnsi="Arial" w:cs="Arial"/>
        </w:rPr>
      </w:r>
      <w:r w:rsidR="0030410A">
        <w:rPr>
          <w:rFonts w:ascii="Arial" w:hAnsi="Arial" w:cs="Arial"/>
        </w:rPr>
        <w:fldChar w:fldCharType="separate"/>
      </w:r>
      <w:r w:rsidR="003068B5" w:rsidRPr="00F05339">
        <w:rPr>
          <w:rFonts w:ascii="Arial" w:hAnsi="Arial" w:cs="Arial"/>
        </w:rPr>
        <w:t xml:space="preserve">Figure </w:t>
      </w:r>
      <w:r w:rsidR="003068B5">
        <w:rPr>
          <w:rFonts w:ascii="Arial" w:hAnsi="Arial" w:cs="Arial"/>
          <w:noProof/>
        </w:rPr>
        <w:t>6</w:t>
      </w:r>
      <w:r w:rsidR="0030410A">
        <w:rPr>
          <w:rFonts w:ascii="Arial" w:hAnsi="Arial" w:cs="Arial"/>
        </w:rPr>
        <w:fldChar w:fldCharType="end"/>
      </w:r>
      <w:r w:rsidR="0030410A">
        <w:rPr>
          <w:rFonts w:ascii="Arial" w:hAnsi="Arial" w:cs="Arial"/>
        </w:rPr>
        <w:t>).</w:t>
      </w:r>
    </w:p>
    <w:p w14:paraId="4ACB7472" w14:textId="77777777" w:rsidR="00554B16" w:rsidRPr="00F05339" w:rsidRDefault="00554B16" w:rsidP="00554B16">
      <w:pPr>
        <w:spacing w:line="240" w:lineRule="auto"/>
        <w:jc w:val="both"/>
        <w:rPr>
          <w:rFonts w:ascii="Arial" w:hAnsi="Arial" w:cs="Arial"/>
        </w:rPr>
      </w:pPr>
      <w:r w:rsidRPr="00F05339">
        <w:rPr>
          <w:rFonts w:ascii="Arial" w:hAnsi="Arial" w:cs="Arial"/>
        </w:rPr>
        <w:t xml:space="preserve">The MARANDA project aims to develop an emission-free hydrogen-fuelled 165 kW (2 x 82.5 kW AC) PEMFC based hybrid powertrain system for marine applications and validate it on board the research vessel Aranda. Out of three assembled fuel cells systems (at 40 EUR/kW CAPEX), one was already tested in December 2020 and connected to the electricity grid. Significant improvement in stack &amp; FCS durability (15,000 hours was achieved) along with system electrical efficiency of 48% (LHV) were obtained. </w:t>
      </w:r>
    </w:p>
    <w:p w14:paraId="7A3F2648" w14:textId="77777777" w:rsidR="00554B16" w:rsidRPr="00F05339" w:rsidRDefault="00554B16" w:rsidP="00554B16">
      <w:pPr>
        <w:spacing w:line="240" w:lineRule="auto"/>
        <w:jc w:val="both"/>
        <w:rPr>
          <w:rFonts w:ascii="Arial" w:hAnsi="Arial" w:cs="Arial"/>
        </w:rPr>
      </w:pPr>
      <w:r w:rsidRPr="00F05339">
        <w:rPr>
          <w:rFonts w:ascii="Arial" w:hAnsi="Arial" w:cs="Arial"/>
        </w:rPr>
        <w:t xml:space="preserve">FLAGSHIPS will demonstrate two FCH vessels in commercial operation: one cargo vessel in France and one passenger and car ferry in Norway. In addition, FLAGSHIPS will perform a techno-economic analysis of European marine FC power systems. </w:t>
      </w:r>
    </w:p>
    <w:p w14:paraId="63AC956F" w14:textId="77777777" w:rsidR="00554B16" w:rsidRPr="00F05339" w:rsidRDefault="00554B16" w:rsidP="00554B16">
      <w:pPr>
        <w:spacing w:line="240" w:lineRule="auto"/>
        <w:jc w:val="both"/>
        <w:rPr>
          <w:rFonts w:ascii="Arial" w:hAnsi="Arial" w:cs="Arial"/>
        </w:rPr>
      </w:pPr>
      <w:r w:rsidRPr="00F05339">
        <w:rPr>
          <w:rFonts w:ascii="Arial" w:hAnsi="Arial" w:cs="Arial"/>
        </w:rPr>
        <w:t xml:space="preserve">The ShipFC project is developing a 2-megawatt (MW) ammonia-powered FC and will operate a retrofitted offshore vessel. ShipFC aims to prove that long-range zero-emission voyages with high power are possible on larger ships. In addition, the project is providing input on alternative shipping fuels LCAs and is studying how to set up a certification scheme for green ammonia. </w:t>
      </w:r>
    </w:p>
    <w:p w14:paraId="2389349C" w14:textId="77777777" w:rsidR="00554B16" w:rsidRPr="00F05339" w:rsidRDefault="00554B16" w:rsidP="00554B16">
      <w:pPr>
        <w:pStyle w:val="Caption"/>
        <w:jc w:val="both"/>
        <w:rPr>
          <w:rFonts w:ascii="Arial" w:hAnsi="Arial" w:cs="Arial"/>
        </w:rPr>
      </w:pPr>
      <w:r w:rsidRPr="00F05339">
        <w:rPr>
          <w:rFonts w:ascii="Arial" w:hAnsi="Arial" w:cs="Arial"/>
          <w:noProof/>
          <w:lang w:eastAsia="en-GB"/>
        </w:rPr>
        <w:drawing>
          <wp:inline distT="0" distB="0" distL="0" distR="0" wp14:anchorId="722D10E5" wp14:editId="45EE23F1">
            <wp:extent cx="5738293" cy="2804615"/>
            <wp:effectExtent l="0" t="0" r="0" b="0"/>
            <wp:docPr id="36" name="Picture 3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Graphical user interface&#10;&#10;Description automatically generated"/>
                    <pic:cNvPicPr/>
                  </pic:nvPicPr>
                  <pic:blipFill rotWithShape="1">
                    <a:blip r:embed="rId23"/>
                    <a:srcRect b="13110"/>
                    <a:stretch/>
                  </pic:blipFill>
                  <pic:spPr bwMode="auto">
                    <a:xfrm>
                      <a:off x="0" y="0"/>
                      <a:ext cx="5772303" cy="2821238"/>
                    </a:xfrm>
                    <a:prstGeom prst="rect">
                      <a:avLst/>
                    </a:prstGeom>
                    <a:ln>
                      <a:noFill/>
                    </a:ln>
                    <a:extLst>
                      <a:ext uri="{53640926-AAD7-44D8-BBD7-CCE9431645EC}">
                        <a14:shadowObscured xmlns:a14="http://schemas.microsoft.com/office/drawing/2010/main"/>
                      </a:ext>
                    </a:extLst>
                  </pic:spPr>
                </pic:pic>
              </a:graphicData>
            </a:graphic>
          </wp:inline>
        </w:drawing>
      </w:r>
    </w:p>
    <w:p w14:paraId="61B41A9D" w14:textId="40F2F1F6" w:rsidR="00554B16" w:rsidRPr="00F05339" w:rsidRDefault="00554B16" w:rsidP="00554B16">
      <w:pPr>
        <w:pStyle w:val="Caption"/>
        <w:jc w:val="both"/>
        <w:rPr>
          <w:rFonts w:ascii="Arial" w:hAnsi="Arial" w:cs="Arial"/>
        </w:rPr>
      </w:pPr>
      <w:bookmarkStart w:id="48" w:name="_Ref100780133"/>
      <w:r w:rsidRPr="00F05339">
        <w:rPr>
          <w:rFonts w:ascii="Arial" w:hAnsi="Arial" w:cs="Arial"/>
        </w:rPr>
        <w:t xml:space="preserve">Figure </w:t>
      </w:r>
      <w:r w:rsidRPr="00F05339">
        <w:rPr>
          <w:rFonts w:ascii="Arial" w:hAnsi="Arial" w:cs="Arial"/>
        </w:rPr>
        <w:fldChar w:fldCharType="begin"/>
      </w:r>
      <w:r w:rsidRPr="00F05339">
        <w:rPr>
          <w:rFonts w:ascii="Arial" w:hAnsi="Arial" w:cs="Arial"/>
        </w:rPr>
        <w:instrText xml:space="preserve"> SEQ Figure \* ARABIC </w:instrText>
      </w:r>
      <w:r w:rsidRPr="00F05339">
        <w:rPr>
          <w:rFonts w:ascii="Arial" w:hAnsi="Arial" w:cs="Arial"/>
        </w:rPr>
        <w:fldChar w:fldCharType="separate"/>
      </w:r>
      <w:r w:rsidR="003068B5">
        <w:rPr>
          <w:rFonts w:ascii="Arial" w:hAnsi="Arial" w:cs="Arial"/>
          <w:noProof/>
        </w:rPr>
        <w:t>6</w:t>
      </w:r>
      <w:r w:rsidRPr="00F05339">
        <w:rPr>
          <w:rFonts w:ascii="Arial" w:hAnsi="Arial" w:cs="Arial"/>
        </w:rPr>
        <w:fldChar w:fldCharType="end"/>
      </w:r>
      <w:bookmarkEnd w:id="48"/>
      <w:r w:rsidRPr="00F05339">
        <w:rPr>
          <w:rFonts w:ascii="Arial" w:hAnsi="Arial" w:cs="Arial"/>
        </w:rPr>
        <w:t>: Maritime projects, evolution of technologies and main challenges</w:t>
      </w:r>
    </w:p>
    <w:p w14:paraId="556DDFFC" w14:textId="77777777" w:rsidR="00554B16" w:rsidRPr="00F05339" w:rsidRDefault="00554B16" w:rsidP="00FF4AD3">
      <w:pPr>
        <w:rPr>
          <w:rFonts w:ascii="Arial" w:hAnsi="Arial" w:cs="Arial"/>
          <w:b/>
          <w:bCs/>
          <w:i/>
          <w:iCs/>
        </w:rPr>
      </w:pPr>
      <w:r w:rsidRPr="00F05339">
        <w:rPr>
          <w:rFonts w:ascii="Arial" w:hAnsi="Arial" w:cs="Arial"/>
          <w:b/>
          <w:bCs/>
          <w:i/>
          <w:iCs/>
        </w:rPr>
        <w:t>Hydrogen powered aviation</w:t>
      </w:r>
    </w:p>
    <w:p w14:paraId="4D0C6B02" w14:textId="50170A6C" w:rsidR="00554B16" w:rsidRPr="00F05339" w:rsidRDefault="00DF2591" w:rsidP="00FF4AD3">
      <w:pPr>
        <w:rPr>
          <w:rFonts w:ascii="Arial" w:hAnsi="Arial" w:cs="Arial"/>
        </w:rPr>
      </w:pPr>
      <w:hyperlink r:id="rId24" w:history="1">
        <w:r w:rsidR="00306E82">
          <w:rPr>
            <w:rFonts w:ascii="Arial" w:hAnsi="Arial" w:cs="Arial"/>
          </w:rPr>
          <w:t xml:space="preserve"> </w:t>
        </w:r>
      </w:hyperlink>
      <w:r w:rsidR="00554B16" w:rsidRPr="00F05339">
        <w:rPr>
          <w:rFonts w:ascii="Arial" w:hAnsi="Arial" w:cs="Arial"/>
        </w:rPr>
        <w:t>Project FLHYSAFE</w:t>
      </w:r>
      <w:r w:rsidR="00554B16" w:rsidRPr="00F05339">
        <w:rPr>
          <w:rStyle w:val="FootnoteReference"/>
          <w:rFonts w:ascii="Arial" w:hAnsi="Arial" w:cs="Arial"/>
        </w:rPr>
        <w:footnoteReference w:id="19"/>
      </w:r>
      <w:r w:rsidR="00554B16" w:rsidRPr="00F05339">
        <w:rPr>
          <w:rFonts w:ascii="Arial" w:hAnsi="Arial" w:cs="Arial"/>
        </w:rPr>
        <w:t xml:space="preserve"> seeks to demonstrate a cost-efficient modular fuel cell system for replacing most critical safety systems and for an emergency power unit to be used on-board a commercial airplane.</w:t>
      </w:r>
      <w:r w:rsidR="00306E82">
        <w:rPr>
          <w:rFonts w:ascii="Arial" w:hAnsi="Arial" w:cs="Arial"/>
        </w:rPr>
        <w:t xml:space="preserve"> </w:t>
      </w:r>
      <w:r w:rsidR="00306E82" w:rsidRPr="00306E82">
        <w:rPr>
          <w:rFonts w:ascii="Arial" w:hAnsi="Arial" w:cs="Arial"/>
        </w:rPr>
        <w:t xml:space="preserve">The final technological demonstration aims at demonstrating enhanced safety functionalities and the ability of integration into current aircraft designs respecting both installation volumes and maintenance </w:t>
      </w:r>
      <w:proofErr w:type="gramStart"/>
      <w:r w:rsidR="00306E82" w:rsidRPr="00306E82">
        <w:rPr>
          <w:rFonts w:ascii="Arial" w:hAnsi="Arial" w:cs="Arial"/>
        </w:rPr>
        <w:t>constraints</w:t>
      </w:r>
      <w:r w:rsidR="00554B16" w:rsidRPr="00F05339">
        <w:rPr>
          <w:rFonts w:ascii="Arial" w:hAnsi="Arial" w:cs="Arial"/>
        </w:rPr>
        <w:t xml:space="preserve"> </w:t>
      </w:r>
      <w:r w:rsidR="00306E82">
        <w:rPr>
          <w:rFonts w:ascii="Arial" w:hAnsi="Arial" w:cs="Arial"/>
        </w:rPr>
        <w:t>.</w:t>
      </w:r>
      <w:proofErr w:type="gramEnd"/>
      <w:r w:rsidR="00554B16" w:rsidRPr="00F05339">
        <w:rPr>
          <w:rFonts w:ascii="Arial" w:hAnsi="Arial" w:cs="Arial"/>
        </w:rPr>
        <w:t xml:space="preserve"> </w:t>
      </w:r>
      <w:r w:rsidR="009A3A4F">
        <w:rPr>
          <w:rFonts w:ascii="Arial" w:hAnsi="Arial" w:cs="Arial"/>
        </w:rPr>
        <w:t xml:space="preserve">So </w:t>
      </w:r>
      <w:proofErr w:type="gramStart"/>
      <w:r w:rsidR="009A3A4F">
        <w:rPr>
          <w:rFonts w:ascii="Arial" w:hAnsi="Arial" w:cs="Arial"/>
        </w:rPr>
        <w:t>far</w:t>
      </w:r>
      <w:proofErr w:type="gramEnd"/>
      <w:r w:rsidR="009A3A4F">
        <w:rPr>
          <w:rFonts w:ascii="Arial" w:hAnsi="Arial" w:cs="Arial"/>
        </w:rPr>
        <w:t xml:space="preserve"> the project has </w:t>
      </w:r>
      <w:r w:rsidR="009A3A4F" w:rsidRPr="009A3A4F">
        <w:rPr>
          <w:rFonts w:ascii="Arial" w:hAnsi="Arial" w:cs="Arial"/>
        </w:rPr>
        <w:t>completed the design for fuel cell integration into airborne applications</w:t>
      </w:r>
      <w:r w:rsidR="009A3A4F">
        <w:rPr>
          <w:rFonts w:ascii="Arial" w:hAnsi="Arial" w:cs="Arial"/>
        </w:rPr>
        <w:t xml:space="preserve">, as well as the </w:t>
      </w:r>
      <w:r w:rsidR="009A3A4F" w:rsidRPr="009A3A4F">
        <w:rPr>
          <w:rFonts w:ascii="Arial" w:hAnsi="Arial" w:cs="Arial"/>
        </w:rPr>
        <w:t xml:space="preserve">emergency power system architecture </w:t>
      </w:r>
      <w:r w:rsidR="009A3A4F">
        <w:rPr>
          <w:rFonts w:ascii="Arial" w:hAnsi="Arial" w:cs="Arial"/>
        </w:rPr>
        <w:t>and a</w:t>
      </w:r>
      <w:r w:rsidR="009A3A4F" w:rsidRPr="009A3A4F">
        <w:rPr>
          <w:rFonts w:ascii="Arial" w:hAnsi="Arial" w:cs="Arial"/>
        </w:rPr>
        <w:t xml:space="preserve"> virtual reality tool allowing design optimisation </w:t>
      </w:r>
      <w:r w:rsidR="009A3A4F" w:rsidRPr="009A3A4F">
        <w:rPr>
          <w:rFonts w:ascii="Arial" w:hAnsi="Arial" w:cs="Arial"/>
        </w:rPr>
        <w:lastRenderedPageBreak/>
        <w:t>and maintenance instructions. FC short stack testing (using oxygen instead of air) as well as start/stop cycle stack degradation analysis is in progress.</w:t>
      </w:r>
    </w:p>
    <w:p w14:paraId="5FBCCF53" w14:textId="4A4AA0D4" w:rsidR="00554B16" w:rsidRPr="00F05339" w:rsidRDefault="00554B16" w:rsidP="00554B16">
      <w:pPr>
        <w:spacing w:after="0" w:line="240" w:lineRule="auto"/>
        <w:jc w:val="both"/>
        <w:rPr>
          <w:rFonts w:ascii="Arial" w:hAnsi="Arial" w:cs="Arial"/>
        </w:rPr>
      </w:pPr>
      <w:r w:rsidRPr="00F05339">
        <w:rPr>
          <w:rFonts w:ascii="Arial" w:hAnsi="Arial" w:cs="Arial"/>
        </w:rPr>
        <w:t>The project HEAVEN</w:t>
      </w:r>
      <w:r w:rsidRPr="00F05339">
        <w:rPr>
          <w:rStyle w:val="FootnoteReference"/>
          <w:rFonts w:ascii="Arial" w:hAnsi="Arial" w:cs="Arial"/>
        </w:rPr>
        <w:footnoteReference w:id="20"/>
      </w:r>
      <w:r w:rsidRPr="00F05339">
        <w:rPr>
          <w:rFonts w:ascii="Arial" w:hAnsi="Arial" w:cs="Arial"/>
        </w:rPr>
        <w:t xml:space="preserve"> focuses on demonstrating airworthiness and economic viability of a FC/Liquid-H2 powered four passengers passenger aircraft and gathers reliability data for future certification. It produced the conceptual design of the overall powertrain by adapting two 45 kW PEM FC systems. It also intends to integrate them with optimised Balance of Plant components using cryogenic hydrogen-storage technology and without </w:t>
      </w:r>
      <w:r w:rsidR="002C696A">
        <w:rPr>
          <w:rFonts w:ascii="Arial" w:hAnsi="Arial" w:cs="Arial"/>
        </w:rPr>
        <w:t>using</w:t>
      </w:r>
      <w:r w:rsidR="002C696A" w:rsidRPr="00F05339">
        <w:rPr>
          <w:rFonts w:ascii="Arial" w:hAnsi="Arial" w:cs="Arial"/>
        </w:rPr>
        <w:t xml:space="preserve"> </w:t>
      </w:r>
      <w:r w:rsidRPr="00F05339">
        <w:rPr>
          <w:rFonts w:ascii="Arial" w:hAnsi="Arial" w:cs="Arial"/>
        </w:rPr>
        <w:t>a battery. Meeting the main aircraft requirements is particularly difficult as no aviation regulation yet exists for Liquid-H</w:t>
      </w:r>
      <w:r w:rsidRPr="00F05339">
        <w:rPr>
          <w:rFonts w:ascii="Arial" w:hAnsi="Arial" w:cs="Arial"/>
          <w:vertAlign w:val="subscript"/>
        </w:rPr>
        <w:t>2</w:t>
      </w:r>
      <w:r w:rsidRPr="00F05339">
        <w:rPr>
          <w:rFonts w:ascii="Arial" w:hAnsi="Arial" w:cs="Arial"/>
        </w:rPr>
        <w:t xml:space="preserve">. Failure hazard assessment, including the identification of hazardous and catastrophic events were </w:t>
      </w:r>
      <w:r w:rsidR="002C696A">
        <w:rPr>
          <w:rFonts w:ascii="Arial" w:hAnsi="Arial" w:cs="Arial"/>
        </w:rPr>
        <w:t xml:space="preserve">also </w:t>
      </w:r>
      <w:r w:rsidRPr="00F05339">
        <w:rPr>
          <w:rFonts w:ascii="Arial" w:hAnsi="Arial" w:cs="Arial"/>
        </w:rPr>
        <w:t>performed.</w:t>
      </w:r>
    </w:p>
    <w:p w14:paraId="696A79FE" w14:textId="77777777" w:rsidR="00554B16" w:rsidRPr="00F05339" w:rsidRDefault="00554B16" w:rsidP="00554B16">
      <w:pPr>
        <w:pStyle w:val="Caption"/>
        <w:spacing w:after="0"/>
        <w:jc w:val="both"/>
        <w:rPr>
          <w:rFonts w:ascii="Arial" w:hAnsi="Arial" w:cs="Arial"/>
        </w:rPr>
      </w:pPr>
      <w:bookmarkStart w:id="49" w:name="_Ref63069577"/>
    </w:p>
    <w:bookmarkEnd w:id="49"/>
    <w:p w14:paraId="34D6F31F" w14:textId="77777777" w:rsidR="00554B16" w:rsidRPr="00F05339" w:rsidRDefault="00554B16" w:rsidP="00554B16">
      <w:pPr>
        <w:jc w:val="both"/>
        <w:rPr>
          <w:rFonts w:ascii="Arial" w:hAnsi="Arial" w:cs="Arial"/>
        </w:rPr>
      </w:pPr>
      <w:r w:rsidRPr="00F05339">
        <w:rPr>
          <w:rFonts w:ascii="Arial" w:hAnsi="Arial" w:cs="Arial"/>
          <w:noProof/>
          <w:lang w:eastAsia="en-GB"/>
        </w:rPr>
        <w:drawing>
          <wp:inline distT="0" distB="0" distL="0" distR="0" wp14:anchorId="5BE5AD0A" wp14:editId="152C4655">
            <wp:extent cx="5731510" cy="2428875"/>
            <wp:effectExtent l="0" t="0" r="2540" b="9525"/>
            <wp:docPr id="16" name="Picture 1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10;&#10;Description automatically generated"/>
                    <pic:cNvPicPr/>
                  </pic:nvPicPr>
                  <pic:blipFill>
                    <a:blip r:embed="rId25"/>
                    <a:stretch>
                      <a:fillRect/>
                    </a:stretch>
                  </pic:blipFill>
                  <pic:spPr>
                    <a:xfrm>
                      <a:off x="0" y="0"/>
                      <a:ext cx="5731510" cy="2428875"/>
                    </a:xfrm>
                    <a:prstGeom prst="rect">
                      <a:avLst/>
                    </a:prstGeom>
                  </pic:spPr>
                </pic:pic>
              </a:graphicData>
            </a:graphic>
          </wp:inline>
        </w:drawing>
      </w:r>
    </w:p>
    <w:p w14:paraId="3539AAAE" w14:textId="0F333F59" w:rsidR="00554B16" w:rsidRPr="00F05339" w:rsidRDefault="00554B16" w:rsidP="00554B16">
      <w:pPr>
        <w:pStyle w:val="Caption"/>
        <w:jc w:val="both"/>
        <w:rPr>
          <w:rFonts w:ascii="Arial" w:hAnsi="Arial" w:cs="Arial"/>
        </w:rPr>
      </w:pPr>
      <w:r w:rsidRPr="00F05339">
        <w:rPr>
          <w:rFonts w:ascii="Arial" w:hAnsi="Arial" w:cs="Arial"/>
        </w:rPr>
        <w:t xml:space="preserve">Figure </w:t>
      </w:r>
      <w:r w:rsidRPr="00F05339">
        <w:rPr>
          <w:rFonts w:ascii="Arial" w:hAnsi="Arial" w:cs="Arial"/>
        </w:rPr>
        <w:fldChar w:fldCharType="begin"/>
      </w:r>
      <w:r w:rsidRPr="00F05339">
        <w:rPr>
          <w:rFonts w:ascii="Arial" w:hAnsi="Arial" w:cs="Arial"/>
        </w:rPr>
        <w:instrText xml:space="preserve"> SEQ Figure \* ARABIC </w:instrText>
      </w:r>
      <w:r w:rsidRPr="00F05339">
        <w:rPr>
          <w:rFonts w:ascii="Arial" w:hAnsi="Arial" w:cs="Arial"/>
        </w:rPr>
        <w:fldChar w:fldCharType="separate"/>
      </w:r>
      <w:r w:rsidR="003068B5">
        <w:rPr>
          <w:rFonts w:ascii="Arial" w:hAnsi="Arial" w:cs="Arial"/>
          <w:noProof/>
        </w:rPr>
        <w:t>7</w:t>
      </w:r>
      <w:r w:rsidRPr="00F05339">
        <w:rPr>
          <w:rFonts w:ascii="Arial" w:hAnsi="Arial" w:cs="Arial"/>
        </w:rPr>
        <w:fldChar w:fldCharType="end"/>
      </w:r>
      <w:r w:rsidRPr="00F05339">
        <w:rPr>
          <w:rFonts w:ascii="Arial" w:hAnsi="Arial" w:cs="Arial"/>
        </w:rPr>
        <w:t>: Hydrogen potential for use in aviation, taking the steps to zero emission aviation</w:t>
      </w:r>
    </w:p>
    <w:p w14:paraId="00559474" w14:textId="77777777" w:rsidR="00554B16" w:rsidRPr="00F05339" w:rsidRDefault="00554B16" w:rsidP="00243CE5">
      <w:pPr>
        <w:pStyle w:val="Heading3"/>
        <w:numPr>
          <w:ilvl w:val="3"/>
          <w:numId w:val="1"/>
        </w:numPr>
        <w:jc w:val="both"/>
        <w:rPr>
          <w:rFonts w:ascii="Arial" w:hAnsi="Arial" w:cs="Arial"/>
          <w:sz w:val="22"/>
          <w:szCs w:val="22"/>
        </w:rPr>
      </w:pPr>
      <w:bookmarkStart w:id="50" w:name="_Toc98496328"/>
      <w:bookmarkStart w:id="51" w:name="_Toc101516051"/>
      <w:r w:rsidRPr="00F05339">
        <w:rPr>
          <w:rFonts w:ascii="Arial" w:hAnsi="Arial" w:cs="Arial"/>
        </w:rPr>
        <w:t>Research oriented activities for transport applications</w:t>
      </w:r>
      <w:bookmarkEnd w:id="50"/>
      <w:bookmarkEnd w:id="51"/>
    </w:p>
    <w:p w14:paraId="6E2CE54D" w14:textId="77777777" w:rsidR="00554B16" w:rsidRPr="00F05339" w:rsidRDefault="00554B16" w:rsidP="00FF4AD3">
      <w:pPr>
        <w:rPr>
          <w:rFonts w:ascii="Arial" w:hAnsi="Arial" w:cs="Arial"/>
          <w:b/>
          <w:bCs/>
          <w:i/>
          <w:iCs/>
        </w:rPr>
      </w:pPr>
      <w:bookmarkStart w:id="52" w:name="_Toc2174822"/>
      <w:bookmarkStart w:id="53" w:name="_Toc2177524"/>
      <w:bookmarkStart w:id="54" w:name="_Toc2178688"/>
      <w:bookmarkStart w:id="55" w:name="_Toc2179763"/>
      <w:bookmarkStart w:id="56" w:name="_Toc2180361"/>
      <w:bookmarkStart w:id="57" w:name="_Toc2242276"/>
      <w:bookmarkStart w:id="58" w:name="_Toc21700608"/>
      <w:bookmarkStart w:id="59" w:name="_Toc21708026"/>
      <w:bookmarkStart w:id="60" w:name="_Toc21708173"/>
      <w:bookmarkStart w:id="61" w:name="_Toc34054046"/>
      <w:r w:rsidRPr="00F05339">
        <w:rPr>
          <w:rFonts w:ascii="Arial" w:hAnsi="Arial" w:cs="Arial"/>
          <w:b/>
          <w:bCs/>
          <w:i/>
          <w:iCs/>
        </w:rPr>
        <w:t>Fuel cells components</w:t>
      </w:r>
    </w:p>
    <w:bookmarkEnd w:id="52"/>
    <w:bookmarkEnd w:id="53"/>
    <w:bookmarkEnd w:id="54"/>
    <w:bookmarkEnd w:id="55"/>
    <w:bookmarkEnd w:id="56"/>
    <w:bookmarkEnd w:id="57"/>
    <w:bookmarkEnd w:id="58"/>
    <w:bookmarkEnd w:id="59"/>
    <w:bookmarkEnd w:id="60"/>
    <w:bookmarkEnd w:id="61"/>
    <w:p w14:paraId="4B65BFE6" w14:textId="3C1200E4" w:rsidR="00554B16" w:rsidRPr="00F05339" w:rsidRDefault="00554B16" w:rsidP="00554B16">
      <w:pPr>
        <w:pStyle w:val="NoSpacing"/>
        <w:jc w:val="both"/>
        <w:rPr>
          <w:rFonts w:ascii="Arial" w:hAnsi="Arial" w:cs="Arial"/>
          <w:sz w:val="22"/>
          <w:szCs w:val="22"/>
        </w:rPr>
      </w:pPr>
      <w:r w:rsidRPr="00F05339">
        <w:rPr>
          <w:rFonts w:ascii="Arial" w:hAnsi="Arial" w:cs="Arial"/>
          <w:sz w:val="22"/>
          <w:szCs w:val="22"/>
          <w:lang w:val="en-US"/>
        </w:rPr>
        <w:t xml:space="preserve">Research activities </w:t>
      </w:r>
      <w:r w:rsidRPr="00F05339">
        <w:rPr>
          <w:rFonts w:ascii="Arial" w:hAnsi="Arial" w:cs="Arial"/>
          <w:sz w:val="22"/>
          <w:szCs w:val="22"/>
        </w:rPr>
        <w:t xml:space="preserve">focused on the development of novel materials, processes, </w:t>
      </w:r>
      <w:proofErr w:type="gramStart"/>
      <w:r w:rsidRPr="00F05339">
        <w:rPr>
          <w:rFonts w:ascii="Arial" w:hAnsi="Arial" w:cs="Arial"/>
          <w:sz w:val="22"/>
          <w:szCs w:val="22"/>
        </w:rPr>
        <w:t>architectures</w:t>
      </w:r>
      <w:proofErr w:type="gramEnd"/>
      <w:r w:rsidRPr="00F05339">
        <w:rPr>
          <w:rFonts w:ascii="Arial" w:hAnsi="Arial" w:cs="Arial"/>
          <w:sz w:val="22"/>
          <w:szCs w:val="22"/>
        </w:rPr>
        <w:t xml:space="preserve"> and optimised interfaces. </w:t>
      </w:r>
      <w:proofErr w:type="gramStart"/>
      <w:r w:rsidRPr="00F05339">
        <w:rPr>
          <w:rFonts w:ascii="Arial" w:hAnsi="Arial" w:cs="Arial"/>
          <w:sz w:val="22"/>
          <w:szCs w:val="22"/>
        </w:rPr>
        <w:t>In particular, projects</w:t>
      </w:r>
      <w:proofErr w:type="gramEnd"/>
      <w:r w:rsidRPr="00F05339">
        <w:rPr>
          <w:rFonts w:ascii="Arial" w:hAnsi="Arial" w:cs="Arial"/>
          <w:sz w:val="22"/>
          <w:szCs w:val="22"/>
        </w:rPr>
        <w:t xml:space="preserve"> are exploring the development of </w:t>
      </w:r>
      <w:r w:rsidR="005E0CE8" w:rsidRPr="00F05339">
        <w:rPr>
          <w:rFonts w:ascii="Arial" w:hAnsi="Arial" w:cs="Arial"/>
          <w:sz w:val="22"/>
          <w:szCs w:val="22"/>
          <w:lang w:val="en-US"/>
        </w:rPr>
        <w:t>non-platinum group metals</w:t>
      </w:r>
      <w:r w:rsidR="005E0CE8">
        <w:rPr>
          <w:rFonts w:ascii="Arial" w:hAnsi="Arial" w:cs="Arial"/>
          <w:sz w:val="22"/>
          <w:szCs w:val="22"/>
          <w:lang w:val="en-US"/>
        </w:rPr>
        <w:t xml:space="preserve"> (PGM)</w:t>
      </w:r>
      <w:r w:rsidR="002C696A">
        <w:rPr>
          <w:rFonts w:ascii="Arial" w:hAnsi="Arial" w:cs="Arial"/>
          <w:sz w:val="22"/>
          <w:szCs w:val="22"/>
          <w:lang w:val="en-US"/>
        </w:rPr>
        <w:t xml:space="preserve"> or</w:t>
      </w:r>
      <w:r w:rsidRPr="00F05339">
        <w:rPr>
          <w:rFonts w:ascii="Arial" w:hAnsi="Arial" w:cs="Arial"/>
          <w:sz w:val="22"/>
          <w:szCs w:val="22"/>
        </w:rPr>
        <w:t xml:space="preserve"> low-cost catalysts (PEGASUS</w:t>
      </w:r>
      <w:r w:rsidRPr="00F05339">
        <w:rPr>
          <w:rStyle w:val="FootnoteReference"/>
          <w:rFonts w:ascii="Arial" w:hAnsi="Arial" w:cs="Arial"/>
          <w:sz w:val="22"/>
          <w:szCs w:val="22"/>
        </w:rPr>
        <w:footnoteReference w:id="21"/>
      </w:r>
      <w:r w:rsidRPr="00F05339">
        <w:rPr>
          <w:rFonts w:ascii="Arial" w:hAnsi="Arial" w:cs="Arial"/>
          <w:sz w:val="22"/>
          <w:szCs w:val="22"/>
        </w:rPr>
        <w:t>, CRESCENDO</w:t>
      </w:r>
      <w:r w:rsidRPr="00F05339">
        <w:rPr>
          <w:rStyle w:val="FootnoteReference"/>
          <w:rFonts w:ascii="Arial" w:hAnsi="Arial" w:cs="Arial"/>
          <w:sz w:val="22"/>
          <w:szCs w:val="22"/>
        </w:rPr>
        <w:footnoteReference w:id="22"/>
      </w:r>
      <w:r w:rsidRPr="00F05339">
        <w:rPr>
          <w:rFonts w:ascii="Arial" w:hAnsi="Arial" w:cs="Arial"/>
          <w:sz w:val="22"/>
          <w:szCs w:val="22"/>
        </w:rPr>
        <w:t xml:space="preserve">). </w:t>
      </w:r>
    </w:p>
    <w:p w14:paraId="197FA543" w14:textId="77777777" w:rsidR="00554B16" w:rsidRPr="00F05339" w:rsidRDefault="00554B16" w:rsidP="00554B16">
      <w:pPr>
        <w:pStyle w:val="NoSpacing"/>
        <w:jc w:val="both"/>
        <w:rPr>
          <w:rFonts w:ascii="Arial" w:hAnsi="Arial" w:cs="Arial"/>
          <w:sz w:val="22"/>
          <w:szCs w:val="22"/>
          <w:lang w:val="en-US"/>
        </w:rPr>
      </w:pPr>
      <w:r w:rsidRPr="00F05339">
        <w:rPr>
          <w:rFonts w:ascii="Arial" w:hAnsi="Arial" w:cs="Arial"/>
          <w:sz w:val="22"/>
          <w:szCs w:val="22"/>
          <w:lang w:val="en-US"/>
        </w:rPr>
        <w:t>PEGASUS is working on a promising route towards the removal of platinum (Pt) and other critical raw materials (CRM) from PEMFC. Their replacement with non-critical elements and structures should still provide stable electro-catalysis conditions, and the development of appropriate uses of Pt-alternative and competitive cathode catalysts.</w:t>
      </w:r>
    </w:p>
    <w:p w14:paraId="50F3B27D" w14:textId="3FDB2104" w:rsidR="00554B16" w:rsidRDefault="00554B16" w:rsidP="00554B16">
      <w:pPr>
        <w:pStyle w:val="NoSpacing"/>
        <w:jc w:val="both"/>
        <w:rPr>
          <w:rFonts w:ascii="Arial" w:hAnsi="Arial" w:cs="Arial"/>
          <w:sz w:val="22"/>
          <w:szCs w:val="22"/>
          <w:lang w:val="en-US"/>
        </w:rPr>
      </w:pPr>
      <w:r w:rsidRPr="00F05339">
        <w:rPr>
          <w:rFonts w:ascii="Arial" w:hAnsi="Arial" w:cs="Arial"/>
          <w:sz w:val="22"/>
          <w:szCs w:val="22"/>
          <w:lang w:val="en-US"/>
        </w:rPr>
        <w:t>CRESCENDO is developing diagnostic methods for determining active site density and turnover frequency and realising successful approaches to the stabilisation of non</w:t>
      </w:r>
      <w:r w:rsidR="005E0CE8">
        <w:rPr>
          <w:rFonts w:ascii="Arial" w:hAnsi="Arial" w:cs="Arial"/>
          <w:sz w:val="22"/>
          <w:szCs w:val="22"/>
          <w:lang w:val="en-US"/>
        </w:rPr>
        <w:t>-</w:t>
      </w:r>
      <w:r w:rsidRPr="00F05339">
        <w:rPr>
          <w:rFonts w:ascii="Arial" w:hAnsi="Arial" w:cs="Arial"/>
          <w:sz w:val="22"/>
          <w:szCs w:val="22"/>
          <w:lang w:val="en-US"/>
        </w:rPr>
        <w:t xml:space="preserve">PGM cathode catalysts during operation, as well as advancing research on non-PGM and ultra-low-PGM hydrogen oxidation catalysts. </w:t>
      </w:r>
    </w:p>
    <w:p w14:paraId="548E6234" w14:textId="77777777" w:rsidR="00B844BA" w:rsidRPr="00F05339" w:rsidRDefault="00B844BA" w:rsidP="00554B16">
      <w:pPr>
        <w:pStyle w:val="NoSpacing"/>
        <w:jc w:val="both"/>
        <w:rPr>
          <w:rFonts w:ascii="Arial" w:hAnsi="Arial" w:cs="Arial"/>
          <w:sz w:val="22"/>
          <w:szCs w:val="22"/>
          <w:lang w:val="en-US"/>
        </w:rPr>
      </w:pPr>
    </w:p>
    <w:p w14:paraId="30133343" w14:textId="77777777" w:rsidR="00554B16" w:rsidRPr="00F05339" w:rsidRDefault="00554B16" w:rsidP="00FF4AD3">
      <w:pPr>
        <w:rPr>
          <w:rFonts w:ascii="Arial" w:hAnsi="Arial" w:cs="Arial"/>
          <w:b/>
          <w:bCs/>
          <w:i/>
          <w:iCs/>
        </w:rPr>
      </w:pPr>
      <w:r w:rsidRPr="00F05339">
        <w:rPr>
          <w:rFonts w:ascii="Arial" w:hAnsi="Arial" w:cs="Arial"/>
          <w:b/>
          <w:bCs/>
          <w:i/>
          <w:iCs/>
        </w:rPr>
        <w:t xml:space="preserve">Vehicle stacks </w:t>
      </w:r>
    </w:p>
    <w:p w14:paraId="6BA2609D" w14:textId="77777777" w:rsidR="00554B16" w:rsidRPr="00F05339" w:rsidRDefault="00554B16" w:rsidP="00554B16">
      <w:pPr>
        <w:pStyle w:val="BodyText"/>
        <w:jc w:val="both"/>
        <w:rPr>
          <w:rFonts w:ascii="Arial" w:hAnsi="Arial" w:cs="Arial"/>
          <w:sz w:val="22"/>
          <w:szCs w:val="22"/>
        </w:rPr>
      </w:pPr>
      <w:r w:rsidRPr="00F05339">
        <w:rPr>
          <w:rFonts w:ascii="Arial" w:hAnsi="Arial" w:cs="Arial"/>
          <w:sz w:val="22"/>
          <w:szCs w:val="22"/>
        </w:rPr>
        <w:lastRenderedPageBreak/>
        <w:t>The project GAIA is developing components (electro-catalysts, membranes, Gas Diffusion Layer, and MPL) and is aiming to improve their interfaces to minimise polarisation resistance in next-generation membrane electrode assembly (MEA). This will lead to reduced costs, increased power density, and greater durability, while accommodating higher operating temperatures. It has delivered a beginning of life (BoL) power density of 1.8 W/cm</w:t>
      </w:r>
      <w:r w:rsidRPr="00F05339">
        <w:rPr>
          <w:rFonts w:ascii="Arial" w:hAnsi="Arial" w:cs="Arial"/>
          <w:sz w:val="22"/>
          <w:szCs w:val="22"/>
          <w:vertAlign w:val="superscript"/>
        </w:rPr>
        <w:t>2</w:t>
      </w:r>
      <w:r w:rsidRPr="00F05339">
        <w:rPr>
          <w:rFonts w:ascii="Arial" w:hAnsi="Arial" w:cs="Arial"/>
          <w:sz w:val="22"/>
          <w:szCs w:val="22"/>
        </w:rPr>
        <w:t xml:space="preserve"> at 0.6 V, thereby achieving its performance target.</w:t>
      </w:r>
    </w:p>
    <w:p w14:paraId="4F61479E" w14:textId="77777777" w:rsidR="00554B16" w:rsidRPr="00F05339" w:rsidRDefault="00554B16" w:rsidP="00554B16">
      <w:pPr>
        <w:pStyle w:val="BodyText"/>
        <w:spacing w:before="0" w:after="0"/>
        <w:jc w:val="both"/>
        <w:rPr>
          <w:rFonts w:ascii="Arial" w:hAnsi="Arial" w:cs="Arial"/>
          <w:sz w:val="22"/>
          <w:szCs w:val="22"/>
        </w:rPr>
      </w:pPr>
      <w:r w:rsidRPr="00F05339">
        <w:rPr>
          <w:rFonts w:ascii="Arial" w:hAnsi="Arial" w:cs="Arial"/>
          <w:sz w:val="22"/>
          <w:szCs w:val="22"/>
        </w:rPr>
        <w:t xml:space="preserve">CAMELOT is investigating the performance of ultra-thin and ultra-low-loading layers required by future MEAs by combining numerical modelling with innovative in-situ characterisation and is developing a scientific understanding of the limitations of advanced MEAs, achieving an open-source model accessible to the global FC community. </w:t>
      </w:r>
    </w:p>
    <w:p w14:paraId="6205577B" w14:textId="77777777" w:rsidR="00554B16" w:rsidRPr="00F05339" w:rsidRDefault="00554B16" w:rsidP="00554B16">
      <w:pPr>
        <w:pStyle w:val="BodyText"/>
        <w:jc w:val="both"/>
        <w:rPr>
          <w:rFonts w:ascii="Arial" w:hAnsi="Arial" w:cs="Arial"/>
          <w:sz w:val="22"/>
          <w:szCs w:val="22"/>
        </w:rPr>
      </w:pPr>
      <w:r w:rsidRPr="00F05339">
        <w:rPr>
          <w:rFonts w:ascii="Arial" w:hAnsi="Arial" w:cs="Arial"/>
          <w:sz w:val="22"/>
          <w:szCs w:val="22"/>
        </w:rPr>
        <w:t>DOLPHIN is exploring an unconventional, highly innovative route towards a newly designed cell architecture featuring a dual-core single repeat unit (DC-SRU) delivering a lightweight and compact FC stack architecture. By using mechanically strong and corrosion-resistant structures redesigned for more coherent cell-internal interfaces to delay ageing and increase system reliability compatible with automotive durability targets, it is aiming for stack production costs of less than 20 EUR/kW.</w:t>
      </w:r>
    </w:p>
    <w:p w14:paraId="01F9F6C9" w14:textId="77777777" w:rsidR="00554B16" w:rsidRPr="00F05339" w:rsidRDefault="00554B16" w:rsidP="00554B16">
      <w:pPr>
        <w:pStyle w:val="BodyText"/>
        <w:spacing w:before="0" w:after="0"/>
        <w:jc w:val="both"/>
        <w:rPr>
          <w:rFonts w:ascii="Arial" w:hAnsi="Arial" w:cs="Arial"/>
          <w:sz w:val="22"/>
          <w:szCs w:val="22"/>
        </w:rPr>
      </w:pPr>
      <w:r w:rsidRPr="00F05339">
        <w:rPr>
          <w:rFonts w:ascii="Arial" w:hAnsi="Arial" w:cs="Arial"/>
          <w:sz w:val="22"/>
          <w:szCs w:val="22"/>
        </w:rPr>
        <w:t>FURTHER-FC builds upon the PEMICAN project. It is aiming to improve gas and proton transfer near catalytic structures and to investigate and validate performance limitations resulting from the coupling of electrochemical and transport issues in the cathode catalyst layer. It has progressed with the characterisation of reference catalyst layers by AFM, Raman and 3D FIB-SEM and direct numerical simulations.</w:t>
      </w:r>
    </w:p>
    <w:p w14:paraId="6D7D1C1D" w14:textId="77777777" w:rsidR="00554B16" w:rsidRPr="00F05339" w:rsidRDefault="00554B16" w:rsidP="00554B16">
      <w:pPr>
        <w:pStyle w:val="Sub-heading"/>
        <w:rPr>
          <w:rFonts w:ascii="Arial" w:hAnsi="Arial" w:cs="Arial"/>
        </w:rPr>
      </w:pPr>
      <w:r w:rsidRPr="00F05339">
        <w:rPr>
          <w:rFonts w:ascii="Arial" w:hAnsi="Arial" w:cs="Arial"/>
        </w:rPr>
        <w:t>Manufacturing</w:t>
      </w:r>
    </w:p>
    <w:p w14:paraId="73AC6CFC" w14:textId="77777777" w:rsidR="00554B16" w:rsidRPr="00F05339" w:rsidRDefault="00554B16" w:rsidP="00554B16">
      <w:pPr>
        <w:pStyle w:val="BodyText"/>
        <w:jc w:val="both"/>
        <w:rPr>
          <w:rFonts w:ascii="Arial" w:hAnsi="Arial" w:cs="Arial"/>
          <w:sz w:val="22"/>
          <w:szCs w:val="22"/>
        </w:rPr>
      </w:pPr>
      <w:r w:rsidRPr="00F05339">
        <w:rPr>
          <w:rFonts w:ascii="Arial" w:hAnsi="Arial" w:cs="Arial"/>
          <w:sz w:val="22"/>
          <w:szCs w:val="22"/>
        </w:rPr>
        <w:t>Five projects are related to manufacturing processes, with the following goals:</w:t>
      </w:r>
    </w:p>
    <w:p w14:paraId="38DDF868" w14:textId="77777777" w:rsidR="00554B16" w:rsidRPr="00F05339" w:rsidRDefault="00554B16" w:rsidP="002672A0">
      <w:pPr>
        <w:pStyle w:val="BodyText"/>
        <w:numPr>
          <w:ilvl w:val="0"/>
          <w:numId w:val="19"/>
        </w:numPr>
        <w:jc w:val="both"/>
        <w:rPr>
          <w:rFonts w:ascii="Arial" w:hAnsi="Arial" w:cs="Arial"/>
          <w:sz w:val="22"/>
          <w:szCs w:val="22"/>
        </w:rPr>
      </w:pPr>
      <w:r w:rsidRPr="00F05339">
        <w:rPr>
          <w:rFonts w:ascii="Arial" w:hAnsi="Arial" w:cs="Arial"/>
          <w:sz w:val="22"/>
          <w:szCs w:val="22"/>
        </w:rPr>
        <w:t xml:space="preserve">To advance the critical steps of the proton exchange membrane (PEM) FC assembly processes and associated in-line quality control and end-of-line test (DIGIMAN). </w:t>
      </w:r>
    </w:p>
    <w:p w14:paraId="368F872C" w14:textId="77777777" w:rsidR="00554B16" w:rsidRPr="00F05339" w:rsidRDefault="00554B16" w:rsidP="002672A0">
      <w:pPr>
        <w:pStyle w:val="BodyText"/>
        <w:numPr>
          <w:ilvl w:val="0"/>
          <w:numId w:val="19"/>
        </w:numPr>
        <w:jc w:val="both"/>
        <w:rPr>
          <w:rFonts w:ascii="Arial" w:hAnsi="Arial" w:cs="Arial"/>
          <w:sz w:val="22"/>
          <w:szCs w:val="22"/>
        </w:rPr>
      </w:pPr>
      <w:r w:rsidRPr="00F05339">
        <w:rPr>
          <w:rFonts w:ascii="Arial" w:hAnsi="Arial" w:cs="Arial"/>
          <w:sz w:val="22"/>
          <w:szCs w:val="22"/>
        </w:rPr>
        <w:t>To industrialise stack production, delivering affordable FC systems in larger quantities able to meet the demands of the emerging market, and building new manufacturing machines allowing for serial stack production (Fit-4-AMandA).</w:t>
      </w:r>
    </w:p>
    <w:p w14:paraId="3B417136" w14:textId="77777777" w:rsidR="00554B16" w:rsidRPr="00F05339" w:rsidRDefault="00554B16" w:rsidP="002672A0">
      <w:pPr>
        <w:pStyle w:val="BodyText"/>
        <w:numPr>
          <w:ilvl w:val="0"/>
          <w:numId w:val="19"/>
        </w:numPr>
        <w:jc w:val="both"/>
        <w:rPr>
          <w:rFonts w:ascii="Arial" w:hAnsi="Arial" w:cs="Arial"/>
          <w:sz w:val="22"/>
          <w:szCs w:val="22"/>
        </w:rPr>
      </w:pPr>
      <w:r w:rsidRPr="00F05339">
        <w:rPr>
          <w:rFonts w:ascii="Arial" w:hAnsi="Arial" w:cs="Arial"/>
          <w:sz w:val="22"/>
          <w:szCs w:val="22"/>
        </w:rPr>
        <w:t>To develop and integrate the most-advanced critical proton exchange membrane FC (PEMFC) stack components into an automotive stack showing a BoL performance of 1.5 W/cm</w:t>
      </w:r>
      <w:r w:rsidRPr="00F05339">
        <w:rPr>
          <w:rFonts w:ascii="Arial" w:hAnsi="Arial" w:cs="Arial"/>
          <w:sz w:val="22"/>
          <w:szCs w:val="22"/>
          <w:vertAlign w:val="superscript"/>
        </w:rPr>
        <w:t>2</w:t>
      </w:r>
      <w:r w:rsidRPr="00F05339">
        <w:rPr>
          <w:rFonts w:ascii="Arial" w:hAnsi="Arial" w:cs="Arial"/>
          <w:sz w:val="22"/>
          <w:szCs w:val="22"/>
        </w:rPr>
        <w:t xml:space="preserve"> at 0.6V, less than 10% power degradation after 6 000 hours, and costing less than €50/kW at a 50 000 units annual production scale (INSPIRE).</w:t>
      </w:r>
    </w:p>
    <w:p w14:paraId="58A0F05E" w14:textId="77777777" w:rsidR="00554B16" w:rsidRPr="00F05339" w:rsidRDefault="00554B16" w:rsidP="002672A0">
      <w:pPr>
        <w:pStyle w:val="BodyText"/>
        <w:numPr>
          <w:ilvl w:val="0"/>
          <w:numId w:val="19"/>
        </w:numPr>
        <w:jc w:val="both"/>
        <w:rPr>
          <w:rFonts w:ascii="Arial" w:hAnsi="Arial" w:cs="Arial"/>
          <w:sz w:val="22"/>
          <w:szCs w:val="22"/>
        </w:rPr>
      </w:pPr>
      <w:r w:rsidRPr="00F05339">
        <w:rPr>
          <w:rFonts w:ascii="Arial" w:hAnsi="Arial" w:cs="Arial"/>
          <w:sz w:val="22"/>
          <w:szCs w:val="22"/>
        </w:rPr>
        <w:t>To scale-up PEM manufacturing and reduce the cost.</w:t>
      </w:r>
    </w:p>
    <w:p w14:paraId="3132387E" w14:textId="77777777" w:rsidR="00554B16" w:rsidRPr="00F05339" w:rsidRDefault="00554B16" w:rsidP="00554B16">
      <w:pPr>
        <w:autoSpaceDE w:val="0"/>
        <w:autoSpaceDN w:val="0"/>
        <w:adjustRightInd w:val="0"/>
        <w:spacing w:after="0" w:line="240" w:lineRule="auto"/>
        <w:jc w:val="both"/>
        <w:rPr>
          <w:rFonts w:ascii="Arial" w:eastAsia="Times New Roman" w:hAnsi="Arial" w:cs="Arial"/>
          <w:lang w:eastAsia="en-GB"/>
        </w:rPr>
      </w:pPr>
      <w:r w:rsidRPr="00F05339">
        <w:rPr>
          <w:rFonts w:ascii="Arial" w:eastAsia="Times New Roman" w:hAnsi="Arial" w:cs="Arial"/>
          <w:lang w:eastAsia="en-GB"/>
        </w:rPr>
        <w:t xml:space="preserve">DIGIMAN’s main outputs are a proof-of-process and a blueprint design for beyond-current state automotive PEM FC European manufacturing. The demonstrator equipment for the uplifted cell assembly automation process has been manufactured and validated. </w:t>
      </w:r>
    </w:p>
    <w:p w14:paraId="6EADF44A" w14:textId="77777777" w:rsidR="00554B16" w:rsidRPr="00F05339" w:rsidRDefault="00554B16" w:rsidP="00554B16">
      <w:pPr>
        <w:pStyle w:val="BodyText"/>
        <w:jc w:val="both"/>
        <w:rPr>
          <w:rFonts w:ascii="Arial" w:hAnsi="Arial" w:cs="Arial"/>
          <w:sz w:val="22"/>
          <w:szCs w:val="22"/>
        </w:rPr>
      </w:pPr>
      <w:r w:rsidRPr="00F05339">
        <w:rPr>
          <w:rFonts w:ascii="Arial" w:hAnsi="Arial" w:cs="Arial"/>
          <w:sz w:val="22"/>
          <w:szCs w:val="22"/>
        </w:rPr>
        <w:t>Fit-4-AMandA completed the assembly and validated the machine for serially producing PEMFC stacks using automatic assembly methods. For a 90 % automated production process, it demonstrated stack production in less than 30 minutes throughput time for one stack on a small scale.</w:t>
      </w:r>
    </w:p>
    <w:p w14:paraId="2281B5C4" w14:textId="77777777" w:rsidR="00554B16" w:rsidRPr="00F05339" w:rsidRDefault="00554B16" w:rsidP="00554B16">
      <w:pPr>
        <w:pStyle w:val="BodyText"/>
        <w:spacing w:before="0" w:after="0"/>
        <w:jc w:val="both"/>
        <w:rPr>
          <w:rFonts w:ascii="Arial" w:hAnsi="Arial" w:cs="Arial"/>
          <w:sz w:val="22"/>
          <w:szCs w:val="22"/>
        </w:rPr>
      </w:pPr>
      <w:r w:rsidRPr="00F05339">
        <w:rPr>
          <w:rFonts w:ascii="Arial" w:hAnsi="Arial" w:cs="Arial"/>
          <w:sz w:val="22"/>
          <w:szCs w:val="22"/>
        </w:rPr>
        <w:t xml:space="preserve">INSPIRE designed and tested three generations of stack prototypes. The project met its performance and durability targets, and the estimated stack costs are within 10 % of its target. </w:t>
      </w:r>
    </w:p>
    <w:p w14:paraId="6526F5D8" w14:textId="77777777" w:rsidR="00554B16" w:rsidRPr="00F05339" w:rsidRDefault="00554B16" w:rsidP="00554B16">
      <w:pPr>
        <w:pStyle w:val="BodyText"/>
        <w:spacing w:before="0" w:after="0"/>
        <w:jc w:val="both"/>
        <w:rPr>
          <w:rFonts w:ascii="Arial" w:hAnsi="Arial" w:cs="Arial"/>
          <w:sz w:val="22"/>
          <w:szCs w:val="22"/>
        </w:rPr>
      </w:pPr>
    </w:p>
    <w:p w14:paraId="22B250EA" w14:textId="77777777" w:rsidR="00554B16" w:rsidRPr="00F05339" w:rsidRDefault="00554B16" w:rsidP="00554B16">
      <w:pPr>
        <w:spacing w:line="240" w:lineRule="auto"/>
        <w:jc w:val="both"/>
        <w:rPr>
          <w:rFonts w:ascii="Arial" w:hAnsi="Arial" w:cs="Arial"/>
        </w:rPr>
      </w:pPr>
      <w:r w:rsidRPr="00F05339">
        <w:rPr>
          <w:rFonts w:ascii="Arial" w:hAnsi="Arial" w:cs="Arial"/>
        </w:rPr>
        <w:t>INLINE and INN-BALANCE started in 2017. Their goals include the scale-up of PEM manufacturing, balance of plant (BoP) definition (identifying and developing efficient and reliable components to reduce overall system costs), and the development of quality control practices for manufacturing and assembly procedures. At the same time, they should reduce the life cycle environmental impacts of stacks and components.</w:t>
      </w:r>
    </w:p>
    <w:p w14:paraId="2DD6D4A3" w14:textId="77777777" w:rsidR="00554B16" w:rsidRPr="00F05339" w:rsidRDefault="00554B16" w:rsidP="00554B16">
      <w:pPr>
        <w:pStyle w:val="BodyText"/>
        <w:spacing w:before="0" w:after="0"/>
        <w:jc w:val="both"/>
        <w:rPr>
          <w:rFonts w:ascii="Arial" w:eastAsia="Calibri" w:hAnsi="Arial" w:cs="Arial"/>
          <w:sz w:val="22"/>
          <w:szCs w:val="22"/>
          <w:lang w:eastAsia="en-US"/>
        </w:rPr>
      </w:pPr>
      <w:r w:rsidRPr="00F05339">
        <w:rPr>
          <w:rFonts w:ascii="Arial" w:eastAsia="Calibri" w:hAnsi="Arial" w:cs="Arial"/>
          <w:sz w:val="22"/>
          <w:szCs w:val="22"/>
          <w:lang w:eastAsia="en-US"/>
        </w:rPr>
        <w:lastRenderedPageBreak/>
        <w:t>INLINE aimed to reduce the cycle time for production of an entire FC system from 15 hours to under 2.5 hours, thanks to continuous improvements in the production process. INN-BALANCE will develop highly efficient and reliable FC BoP components and therefore reduce the cost of current market products using FCs.</w:t>
      </w:r>
    </w:p>
    <w:p w14:paraId="25A82A76" w14:textId="77777777" w:rsidR="00554B16" w:rsidRPr="00F05339" w:rsidRDefault="00554B16" w:rsidP="00554B16">
      <w:pPr>
        <w:pStyle w:val="BodyText"/>
        <w:spacing w:before="0" w:after="0"/>
        <w:jc w:val="both"/>
        <w:rPr>
          <w:rFonts w:ascii="Arial" w:hAnsi="Arial" w:cs="Arial"/>
          <w:sz w:val="22"/>
          <w:szCs w:val="22"/>
        </w:rPr>
      </w:pPr>
    </w:p>
    <w:p w14:paraId="3F71C204" w14:textId="77777777" w:rsidR="00554B16" w:rsidRPr="00F05339" w:rsidRDefault="00554B16" w:rsidP="00243CE5">
      <w:pPr>
        <w:pStyle w:val="Heading3"/>
        <w:numPr>
          <w:ilvl w:val="3"/>
          <w:numId w:val="1"/>
        </w:numPr>
        <w:jc w:val="both"/>
        <w:rPr>
          <w:rFonts w:ascii="Arial" w:hAnsi="Arial" w:cs="Arial"/>
          <w:sz w:val="22"/>
          <w:szCs w:val="22"/>
        </w:rPr>
      </w:pPr>
      <w:bookmarkStart w:id="62" w:name="_Toc98496329"/>
      <w:bookmarkStart w:id="63" w:name="_Toc101516052"/>
      <w:r w:rsidRPr="00F05339">
        <w:rPr>
          <w:rFonts w:ascii="Arial" w:hAnsi="Arial" w:cs="Arial"/>
        </w:rPr>
        <w:t>Trials and deployment of fuel cells applications for energy</w:t>
      </w:r>
      <w:bookmarkEnd w:id="62"/>
      <w:bookmarkEnd w:id="63"/>
    </w:p>
    <w:p w14:paraId="0A2CE26E" w14:textId="19B8F037" w:rsidR="00554B16" w:rsidRPr="00DF6CB9" w:rsidRDefault="00554B16" w:rsidP="00554B16">
      <w:pPr>
        <w:pStyle w:val="BodyText"/>
        <w:spacing w:before="0" w:after="0"/>
        <w:jc w:val="both"/>
        <w:rPr>
          <w:rFonts w:ascii="Arial" w:eastAsia="Calibri" w:hAnsi="Arial" w:cs="Arial"/>
          <w:sz w:val="22"/>
          <w:szCs w:val="22"/>
          <w:lang w:val="en-US" w:eastAsia="en-US"/>
        </w:rPr>
      </w:pPr>
      <w:r w:rsidRPr="00F05339">
        <w:rPr>
          <w:rFonts w:ascii="Arial" w:eastAsia="Calibri" w:hAnsi="Arial" w:cs="Arial"/>
          <w:sz w:val="22"/>
          <w:szCs w:val="22"/>
          <w:lang w:eastAsia="en-US"/>
        </w:rPr>
        <w:t xml:space="preserve">The JU </w:t>
      </w:r>
      <w:r w:rsidR="00C74F56" w:rsidRPr="00F05339">
        <w:rPr>
          <w:rFonts w:ascii="Arial" w:eastAsia="Calibri" w:hAnsi="Arial" w:cs="Arial"/>
          <w:sz w:val="22"/>
          <w:szCs w:val="22"/>
          <w:lang w:eastAsia="en-US"/>
        </w:rPr>
        <w:t>support</w:t>
      </w:r>
      <w:r w:rsidR="00C74F56">
        <w:rPr>
          <w:rFonts w:ascii="Arial" w:eastAsia="Calibri" w:hAnsi="Arial" w:cs="Arial"/>
          <w:sz w:val="22"/>
          <w:szCs w:val="22"/>
          <w:lang w:eastAsia="en-US"/>
        </w:rPr>
        <w:t>ed</w:t>
      </w:r>
      <w:r w:rsidR="00C74F56" w:rsidRPr="00F05339">
        <w:rPr>
          <w:rFonts w:ascii="Arial" w:eastAsia="Calibri" w:hAnsi="Arial" w:cs="Arial"/>
          <w:sz w:val="22"/>
          <w:szCs w:val="22"/>
          <w:lang w:eastAsia="en-US"/>
        </w:rPr>
        <w:t xml:space="preserve"> </w:t>
      </w:r>
      <w:r w:rsidRPr="00F05339">
        <w:rPr>
          <w:rFonts w:ascii="Arial" w:eastAsia="Calibri" w:hAnsi="Arial" w:cs="Arial"/>
          <w:sz w:val="22"/>
          <w:szCs w:val="22"/>
          <w:lang w:eastAsia="en-US"/>
        </w:rPr>
        <w:t xml:space="preserve">projects for all ranges of stationary power applications, from residential micro-scale Combined Heat and Power (μ-CHP) for domestic and small commercial buildings (0.3-5 kW), through mid-sized installations for commercial and larger buildings (5-400 kW), to large-scale FC installation demonstrations (0.4-30 MW). Fuel cells are showing great potential for the provision of heat and power in domestic and small commercial buildings. They have the advantages of high electrical and total efficiencies, and they </w:t>
      </w:r>
      <w:proofErr w:type="gramStart"/>
      <w:r w:rsidRPr="00F05339">
        <w:rPr>
          <w:rFonts w:ascii="Arial" w:eastAsia="Calibri" w:hAnsi="Arial" w:cs="Arial"/>
          <w:sz w:val="22"/>
          <w:szCs w:val="22"/>
          <w:lang w:eastAsia="en-US"/>
        </w:rPr>
        <w:t>are able to</w:t>
      </w:r>
      <w:proofErr w:type="gramEnd"/>
      <w:r w:rsidRPr="00F05339">
        <w:rPr>
          <w:rFonts w:ascii="Arial" w:eastAsia="Calibri" w:hAnsi="Arial" w:cs="Arial"/>
          <w:sz w:val="22"/>
          <w:szCs w:val="22"/>
          <w:lang w:eastAsia="en-US"/>
        </w:rPr>
        <w:t xml:space="preserve"> run on conventional heating fuels.</w:t>
      </w:r>
    </w:p>
    <w:p w14:paraId="76F75AAB" w14:textId="77777777" w:rsidR="00554B16" w:rsidRPr="00F05339" w:rsidRDefault="00554B16" w:rsidP="00554B16">
      <w:pPr>
        <w:pStyle w:val="BodyText"/>
        <w:spacing w:before="0" w:after="0"/>
        <w:jc w:val="both"/>
        <w:rPr>
          <w:rFonts w:ascii="Arial" w:eastAsia="Calibri" w:hAnsi="Arial" w:cs="Arial"/>
          <w:sz w:val="22"/>
          <w:szCs w:val="22"/>
          <w:lang w:eastAsia="en-US"/>
        </w:rPr>
      </w:pPr>
    </w:p>
    <w:p w14:paraId="0A5E419E" w14:textId="3B59CC5F" w:rsidR="00554B16" w:rsidRPr="00F05339" w:rsidRDefault="00554B16" w:rsidP="00554B16">
      <w:pPr>
        <w:spacing w:line="240" w:lineRule="auto"/>
        <w:jc w:val="both"/>
        <w:rPr>
          <w:rFonts w:ascii="Arial" w:hAnsi="Arial" w:cs="Arial"/>
        </w:rPr>
      </w:pPr>
      <w:r w:rsidRPr="00F05339">
        <w:rPr>
          <w:rFonts w:ascii="Arial" w:hAnsi="Arial" w:cs="Arial"/>
        </w:rPr>
        <w:fldChar w:fldCharType="begin"/>
      </w:r>
      <w:r w:rsidRPr="00F05339">
        <w:rPr>
          <w:rFonts w:ascii="Arial" w:hAnsi="Arial" w:cs="Arial"/>
        </w:rPr>
        <w:instrText xml:space="preserve"> REF _Ref83294126 \h </w:instrText>
      </w:r>
      <w:r w:rsidR="00F05339">
        <w:rPr>
          <w:rFonts w:ascii="Arial" w:hAnsi="Arial" w:cs="Arial"/>
        </w:rPr>
        <w:instrText xml:space="preserve"> \* MERGEFORMAT </w:instrText>
      </w:r>
      <w:r w:rsidRPr="00F05339">
        <w:rPr>
          <w:rFonts w:ascii="Arial" w:hAnsi="Arial" w:cs="Arial"/>
        </w:rPr>
      </w:r>
      <w:r w:rsidRPr="00F05339">
        <w:rPr>
          <w:rFonts w:ascii="Arial" w:hAnsi="Arial" w:cs="Arial"/>
        </w:rPr>
        <w:fldChar w:fldCharType="separate"/>
      </w:r>
      <w:r w:rsidR="003068B5" w:rsidRPr="00F05339">
        <w:rPr>
          <w:rFonts w:ascii="Arial" w:hAnsi="Arial" w:cs="Arial"/>
        </w:rPr>
        <w:t xml:space="preserve">Figure </w:t>
      </w:r>
      <w:r w:rsidR="003068B5">
        <w:rPr>
          <w:rFonts w:ascii="Arial" w:hAnsi="Arial" w:cs="Arial"/>
          <w:noProof/>
        </w:rPr>
        <w:t>8</w:t>
      </w:r>
      <w:r w:rsidRPr="00F05339">
        <w:rPr>
          <w:rFonts w:ascii="Arial" w:hAnsi="Arial" w:cs="Arial"/>
        </w:rPr>
        <w:fldChar w:fldCharType="end"/>
      </w:r>
      <w:r w:rsidRPr="00F05339">
        <w:rPr>
          <w:rFonts w:ascii="Arial" w:hAnsi="Arial" w:cs="Arial"/>
        </w:rPr>
        <w:t xml:space="preserve"> shows the connections between partners present in the demonstration projects</w:t>
      </w:r>
      <w:r w:rsidR="00B844BA">
        <w:rPr>
          <w:rFonts w:ascii="Arial" w:hAnsi="Arial" w:cs="Arial"/>
        </w:rPr>
        <w:t xml:space="preserve"> using the TIM software</w:t>
      </w:r>
      <w:r w:rsidRPr="00F05339">
        <w:rPr>
          <w:rFonts w:ascii="Arial" w:hAnsi="Arial" w:cs="Arial"/>
        </w:rPr>
        <w:t xml:space="preserve">. For clarity, only the partners involved in the largest numbers of projects are named. TIM software indicates clusters of partners by colour using its own algorithm. </w:t>
      </w:r>
      <w:r w:rsidR="00B844BA">
        <w:rPr>
          <w:rFonts w:ascii="Arial" w:hAnsi="Arial" w:cs="Arial"/>
        </w:rPr>
        <w:t xml:space="preserve">As shown in the figure, </w:t>
      </w:r>
      <w:r w:rsidR="008425DE">
        <w:rPr>
          <w:rFonts w:ascii="Arial" w:hAnsi="Arial" w:cs="Arial"/>
        </w:rPr>
        <w:t>t</w:t>
      </w:r>
      <w:r w:rsidRPr="00F05339">
        <w:rPr>
          <w:rFonts w:ascii="Arial" w:hAnsi="Arial" w:cs="Arial"/>
        </w:rPr>
        <w:t>he key partners present in multiple projects are the FC stacks/system providers (SOLIDpower, Sunfire, Ballard), the Politecnico di Torino, and the research institute VTT. These projects are higher TRL demonstration projects and private companies dominate the participants.</w:t>
      </w:r>
    </w:p>
    <w:p w14:paraId="5D0808AA" w14:textId="77777777" w:rsidR="00554B16" w:rsidRPr="00F05339" w:rsidRDefault="00554B16" w:rsidP="00554B16">
      <w:pPr>
        <w:pStyle w:val="BodyText"/>
        <w:spacing w:before="0" w:after="0"/>
        <w:jc w:val="both"/>
        <w:rPr>
          <w:rFonts w:ascii="Arial" w:eastAsia="Calibri" w:hAnsi="Arial" w:cs="Arial"/>
          <w:sz w:val="22"/>
          <w:szCs w:val="22"/>
          <w:lang w:eastAsia="en-US"/>
        </w:rPr>
      </w:pPr>
      <w:r w:rsidRPr="00F05339">
        <w:rPr>
          <w:rFonts w:ascii="Arial" w:hAnsi="Arial" w:cs="Arial"/>
          <w:noProof/>
        </w:rPr>
        <w:drawing>
          <wp:inline distT="0" distB="0" distL="0" distR="0" wp14:anchorId="5E92DB5B" wp14:editId="42F61FE7">
            <wp:extent cx="5715000" cy="3425656"/>
            <wp:effectExtent l="19050" t="19050" r="19050" b="22860"/>
            <wp:docPr id="17" name="Picture 17"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hart, radar chart&#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15000" cy="3425656"/>
                    </a:xfrm>
                    <a:prstGeom prst="rect">
                      <a:avLst/>
                    </a:prstGeom>
                    <a:noFill/>
                    <a:ln>
                      <a:solidFill>
                        <a:schemeClr val="tx1"/>
                      </a:solidFill>
                    </a:ln>
                  </pic:spPr>
                </pic:pic>
              </a:graphicData>
            </a:graphic>
          </wp:inline>
        </w:drawing>
      </w:r>
    </w:p>
    <w:p w14:paraId="1841396D" w14:textId="77777777" w:rsidR="00554B16" w:rsidRPr="00F05339" w:rsidRDefault="00554B16" w:rsidP="00554B16">
      <w:pPr>
        <w:pStyle w:val="BodyText"/>
        <w:spacing w:before="0" w:after="0"/>
        <w:jc w:val="both"/>
        <w:rPr>
          <w:rFonts w:ascii="Arial" w:eastAsia="Calibri" w:hAnsi="Arial" w:cs="Arial"/>
          <w:sz w:val="22"/>
          <w:szCs w:val="22"/>
          <w:lang w:eastAsia="en-US"/>
        </w:rPr>
      </w:pPr>
    </w:p>
    <w:p w14:paraId="1944D202" w14:textId="35EE2CC3" w:rsidR="00554B16" w:rsidRPr="00F05339" w:rsidRDefault="00554B16" w:rsidP="00554B16">
      <w:pPr>
        <w:pStyle w:val="Caption"/>
        <w:jc w:val="both"/>
        <w:rPr>
          <w:rFonts w:ascii="Arial" w:hAnsi="Arial" w:cs="Arial"/>
        </w:rPr>
      </w:pPr>
      <w:bookmarkStart w:id="64" w:name="_Ref83294126"/>
      <w:r w:rsidRPr="00F05339">
        <w:rPr>
          <w:rFonts w:ascii="Arial" w:hAnsi="Arial" w:cs="Arial"/>
        </w:rPr>
        <w:t xml:space="preserve">Figure </w:t>
      </w:r>
      <w:r w:rsidRPr="00F05339">
        <w:rPr>
          <w:rFonts w:ascii="Arial" w:hAnsi="Arial" w:cs="Arial"/>
        </w:rPr>
        <w:fldChar w:fldCharType="begin"/>
      </w:r>
      <w:r w:rsidRPr="00F05339">
        <w:rPr>
          <w:rFonts w:ascii="Arial" w:hAnsi="Arial" w:cs="Arial"/>
        </w:rPr>
        <w:instrText xml:space="preserve"> SEQ Figure \* ARABIC </w:instrText>
      </w:r>
      <w:r w:rsidRPr="00F05339">
        <w:rPr>
          <w:rFonts w:ascii="Arial" w:hAnsi="Arial" w:cs="Arial"/>
        </w:rPr>
        <w:fldChar w:fldCharType="separate"/>
      </w:r>
      <w:r w:rsidR="003068B5">
        <w:rPr>
          <w:rFonts w:ascii="Arial" w:hAnsi="Arial" w:cs="Arial"/>
          <w:noProof/>
        </w:rPr>
        <w:t>8</w:t>
      </w:r>
      <w:r w:rsidRPr="00F05339">
        <w:rPr>
          <w:rFonts w:ascii="Arial" w:hAnsi="Arial" w:cs="Arial"/>
          <w:noProof/>
        </w:rPr>
        <w:fldChar w:fldCharType="end"/>
      </w:r>
      <w:bookmarkEnd w:id="64"/>
      <w:r w:rsidRPr="00F05339">
        <w:rPr>
          <w:rFonts w:ascii="Arial" w:hAnsi="Arial" w:cs="Arial"/>
        </w:rPr>
        <w:t>: TIM plot showing the participants in the 10 projects on fuel cells application for energy</w:t>
      </w:r>
    </w:p>
    <w:p w14:paraId="00394E2D" w14:textId="77777777" w:rsidR="00554B16" w:rsidRPr="00F05339" w:rsidRDefault="00554B16" w:rsidP="00554B16">
      <w:pPr>
        <w:pStyle w:val="Sub-heading"/>
        <w:rPr>
          <w:rFonts w:ascii="Arial" w:hAnsi="Arial" w:cs="Arial"/>
        </w:rPr>
      </w:pPr>
      <w:r w:rsidRPr="00F05339">
        <w:rPr>
          <w:rFonts w:ascii="Arial" w:hAnsi="Arial" w:cs="Arial"/>
        </w:rPr>
        <w:t>Combined heat and power for residential applications, µ-CHP (&lt;5 kWe)</w:t>
      </w:r>
    </w:p>
    <w:p w14:paraId="3178D7B6" w14:textId="69A876B2" w:rsidR="00554B16" w:rsidRPr="00F05339" w:rsidRDefault="00554B16" w:rsidP="00554B16">
      <w:pPr>
        <w:spacing w:after="0" w:line="240" w:lineRule="auto"/>
        <w:jc w:val="both"/>
        <w:rPr>
          <w:rFonts w:ascii="Arial" w:hAnsi="Arial" w:cs="Arial"/>
        </w:rPr>
      </w:pPr>
      <w:r w:rsidRPr="00F05339">
        <w:rPr>
          <w:rFonts w:ascii="Arial" w:hAnsi="Arial" w:cs="Arial"/>
        </w:rPr>
        <w:lastRenderedPageBreak/>
        <w:t>The PACE</w:t>
      </w:r>
      <w:r w:rsidRPr="00F05339">
        <w:rPr>
          <w:rFonts w:ascii="Arial" w:hAnsi="Arial" w:cs="Arial"/>
          <w:vertAlign w:val="superscript"/>
        </w:rPr>
        <w:footnoteReference w:id="23"/>
      </w:r>
      <w:r w:rsidRPr="00F05339">
        <w:rPr>
          <w:rFonts w:ascii="Arial" w:hAnsi="Arial" w:cs="Arial"/>
        </w:rPr>
        <w:t xml:space="preserve"> </w:t>
      </w:r>
      <w:bookmarkStart w:id="65" w:name="_Ref63079463"/>
      <w:bookmarkStart w:id="66" w:name="_Ref62631812"/>
      <w:r w:rsidRPr="00F05339">
        <w:rPr>
          <w:rFonts w:ascii="Arial" w:hAnsi="Arial" w:cs="Arial"/>
        </w:rPr>
        <w:t>project plans to move the market towards mass commercialisation with up to 2 800 FC µ-CHP units expected to be installed</w:t>
      </w:r>
      <w:r w:rsidR="00C74F56">
        <w:rPr>
          <w:rFonts w:ascii="Arial" w:hAnsi="Arial" w:cs="Arial"/>
        </w:rPr>
        <w:t xml:space="preserve"> and demonstrated</w:t>
      </w:r>
      <w:r w:rsidRPr="00F05339">
        <w:rPr>
          <w:rFonts w:ascii="Arial" w:hAnsi="Arial" w:cs="Arial"/>
        </w:rPr>
        <w:t xml:space="preserve"> by the end of the project. </w:t>
      </w:r>
      <w:r w:rsidR="008425DE" w:rsidRPr="009F407C">
        <w:rPr>
          <w:rFonts w:ascii="Arial" w:hAnsi="Arial" w:cs="Arial"/>
        </w:rPr>
        <w:t>As of November 2021, the 4 European manufacturers involved in the PACE project have already deployed 1</w:t>
      </w:r>
      <w:r w:rsidR="008425DE" w:rsidRPr="006F2CA5">
        <w:rPr>
          <w:rFonts w:ascii="Arial" w:hAnsi="Arial" w:cs="Arial"/>
        </w:rPr>
        <w:t>,</w:t>
      </w:r>
      <w:r w:rsidR="008425DE" w:rsidRPr="007A008A">
        <w:rPr>
          <w:rFonts w:ascii="Arial" w:hAnsi="Arial" w:cs="Arial"/>
        </w:rPr>
        <w:t xml:space="preserve">900 FC µ-CHP units in domestic and small commercial building sectors, </w:t>
      </w:r>
      <w:r w:rsidR="005A033E" w:rsidRPr="00F05339">
        <w:rPr>
          <w:rFonts w:ascii="Arial" w:hAnsi="Arial" w:cs="Arial"/>
        </w:rPr>
        <w:t>making PACE Europe’s largest micro-CHP project to date</w:t>
      </w:r>
      <w:r w:rsidR="005A033E">
        <w:rPr>
          <w:rFonts w:ascii="Arial" w:hAnsi="Arial" w:cs="Arial"/>
        </w:rPr>
        <w:t>,</w:t>
      </w:r>
      <w:r w:rsidR="005A033E" w:rsidRPr="007A008A">
        <w:rPr>
          <w:rFonts w:ascii="Arial" w:hAnsi="Arial" w:cs="Arial"/>
        </w:rPr>
        <w:t xml:space="preserve"> </w:t>
      </w:r>
      <w:r w:rsidR="008425DE" w:rsidRPr="007A008A">
        <w:rPr>
          <w:rFonts w:ascii="Arial" w:hAnsi="Arial" w:cs="Arial"/>
        </w:rPr>
        <w:t xml:space="preserve">with </w:t>
      </w:r>
      <w:r w:rsidR="008425DE">
        <w:rPr>
          <w:rFonts w:ascii="Arial" w:hAnsi="Arial" w:cs="Arial"/>
        </w:rPr>
        <w:t xml:space="preserve">the remaining </w:t>
      </w:r>
      <w:r w:rsidR="008425DE" w:rsidRPr="009F407C">
        <w:rPr>
          <w:rFonts w:ascii="Arial" w:hAnsi="Arial" w:cs="Arial"/>
        </w:rPr>
        <w:t xml:space="preserve">units expected to be installed by the end of 2022. </w:t>
      </w:r>
      <w:r w:rsidR="008425DE">
        <w:rPr>
          <w:rFonts w:ascii="Arial" w:hAnsi="Arial" w:cs="Arial"/>
        </w:rPr>
        <w:t xml:space="preserve">The project </w:t>
      </w:r>
      <w:r w:rsidRPr="00F05339">
        <w:rPr>
          <w:rFonts w:ascii="Arial" w:hAnsi="Arial" w:cs="Arial"/>
        </w:rPr>
        <w:t xml:space="preserve">also aims to reduce the average unit costs to below EUR 10 000 per small FC system (&lt;1 kWe) and below or EUR 10 000 kWe for systems above 1 kWe, through more automated production and introduction of the next-generation systems. </w:t>
      </w:r>
      <w:r w:rsidR="008425DE" w:rsidRPr="009F407C">
        <w:rPr>
          <w:rFonts w:ascii="Arial" w:hAnsi="Arial" w:cs="Arial"/>
        </w:rPr>
        <w:t xml:space="preserve">The technological development of µ-CHP installations is mature, but scaling-up of production is still needed to bring further cost reduction. </w:t>
      </w:r>
      <w:r w:rsidRPr="00F05339">
        <w:rPr>
          <w:rFonts w:ascii="Arial" w:hAnsi="Arial" w:cs="Arial"/>
        </w:rPr>
        <w:fldChar w:fldCharType="begin"/>
      </w:r>
      <w:r w:rsidRPr="00F05339">
        <w:rPr>
          <w:rFonts w:ascii="Arial" w:hAnsi="Arial" w:cs="Arial"/>
        </w:rPr>
        <w:instrText xml:space="preserve"> REF _Ref98090370 \h </w:instrText>
      </w:r>
      <w:r w:rsidR="00F05339">
        <w:rPr>
          <w:rFonts w:ascii="Arial" w:hAnsi="Arial" w:cs="Arial"/>
        </w:rPr>
        <w:instrText xml:space="preserve"> \* MERGEFORMAT </w:instrText>
      </w:r>
      <w:r w:rsidRPr="00F05339">
        <w:rPr>
          <w:rFonts w:ascii="Arial" w:hAnsi="Arial" w:cs="Arial"/>
        </w:rPr>
      </w:r>
      <w:r w:rsidRPr="00F05339">
        <w:rPr>
          <w:rFonts w:ascii="Arial" w:hAnsi="Arial" w:cs="Arial"/>
        </w:rPr>
        <w:fldChar w:fldCharType="separate"/>
      </w:r>
      <w:r w:rsidR="003068B5" w:rsidRPr="00F05339">
        <w:rPr>
          <w:rFonts w:ascii="Arial" w:hAnsi="Arial" w:cs="Arial"/>
        </w:rPr>
        <w:t xml:space="preserve">Figure </w:t>
      </w:r>
      <w:r w:rsidR="003068B5">
        <w:rPr>
          <w:rFonts w:ascii="Arial" w:hAnsi="Arial" w:cs="Arial"/>
          <w:noProof/>
        </w:rPr>
        <w:t>9</w:t>
      </w:r>
      <w:r w:rsidRPr="00F05339">
        <w:rPr>
          <w:rFonts w:ascii="Arial" w:hAnsi="Arial" w:cs="Arial"/>
        </w:rPr>
        <w:fldChar w:fldCharType="end"/>
      </w:r>
      <w:r w:rsidRPr="00F05339">
        <w:rPr>
          <w:rFonts w:ascii="Arial" w:hAnsi="Arial" w:cs="Arial"/>
        </w:rPr>
        <w:t xml:space="preserve"> shows the deployment of µ-CHP units in Europe</w:t>
      </w:r>
      <w:r w:rsidR="008425DE">
        <w:rPr>
          <w:rFonts w:ascii="Arial" w:hAnsi="Arial" w:cs="Arial"/>
        </w:rPr>
        <w:t xml:space="preserve"> by March 2021,</w:t>
      </w:r>
      <w:r w:rsidRPr="00F05339">
        <w:rPr>
          <w:rFonts w:ascii="Arial" w:hAnsi="Arial" w:cs="Arial"/>
        </w:rPr>
        <w:t xml:space="preserve"> resulting from JU </w:t>
      </w:r>
      <w:r w:rsidR="005A033E">
        <w:rPr>
          <w:rFonts w:ascii="Arial" w:hAnsi="Arial" w:cs="Arial"/>
        </w:rPr>
        <w:t xml:space="preserve">funding </w:t>
      </w:r>
      <w:r w:rsidRPr="00F05339">
        <w:rPr>
          <w:rFonts w:ascii="Arial" w:hAnsi="Arial" w:cs="Arial"/>
        </w:rPr>
        <w:t xml:space="preserve">and </w:t>
      </w:r>
      <w:r w:rsidR="005A033E">
        <w:rPr>
          <w:rFonts w:ascii="Arial" w:hAnsi="Arial" w:cs="Arial"/>
        </w:rPr>
        <w:t xml:space="preserve">support from </w:t>
      </w:r>
      <w:r w:rsidRPr="00F05339">
        <w:rPr>
          <w:rFonts w:ascii="Arial" w:hAnsi="Arial" w:cs="Arial"/>
        </w:rPr>
        <w:t>the German national programmes.</w:t>
      </w:r>
    </w:p>
    <w:p w14:paraId="03F81FEA" w14:textId="77777777" w:rsidR="00554B16" w:rsidRPr="00F05339" w:rsidRDefault="00554B16" w:rsidP="00554B16">
      <w:pPr>
        <w:spacing w:after="0" w:line="240" w:lineRule="auto"/>
        <w:jc w:val="both"/>
        <w:rPr>
          <w:rFonts w:ascii="Arial" w:hAnsi="Arial" w:cs="Arial"/>
          <w:szCs w:val="24"/>
        </w:rPr>
      </w:pPr>
    </w:p>
    <w:p w14:paraId="60ECF7BF" w14:textId="77777777" w:rsidR="00554B16" w:rsidRPr="00F05339" w:rsidRDefault="00554B16" w:rsidP="00554B16">
      <w:pPr>
        <w:pStyle w:val="Caption"/>
        <w:keepNext/>
        <w:rPr>
          <w:rFonts w:ascii="Arial" w:hAnsi="Arial" w:cs="Arial"/>
        </w:rPr>
      </w:pPr>
      <w:bookmarkStart w:id="67" w:name="_Ref83039851"/>
      <w:bookmarkEnd w:id="65"/>
      <w:r w:rsidRPr="00F05339">
        <w:rPr>
          <w:rFonts w:ascii="Arial" w:hAnsi="Arial" w:cs="Arial"/>
          <w:noProof/>
          <w:lang w:eastAsia="en-GB"/>
        </w:rPr>
        <w:drawing>
          <wp:inline distT="0" distB="0" distL="0" distR="0" wp14:anchorId="7732C5B2" wp14:editId="71D72344">
            <wp:extent cx="5664544" cy="3213100"/>
            <wp:effectExtent l="0" t="0" r="0" b="0"/>
            <wp:docPr id="66" name="Picture 6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Graphical user interface, application&#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75066" cy="3219068"/>
                    </a:xfrm>
                    <a:prstGeom prst="rect">
                      <a:avLst/>
                    </a:prstGeom>
                    <a:noFill/>
                  </pic:spPr>
                </pic:pic>
              </a:graphicData>
            </a:graphic>
          </wp:inline>
        </w:drawing>
      </w:r>
      <w:bookmarkEnd w:id="66"/>
      <w:bookmarkEnd w:id="67"/>
    </w:p>
    <w:p w14:paraId="7DE94CE0" w14:textId="78D8953D" w:rsidR="00554B16" w:rsidRPr="00F05339" w:rsidRDefault="00554B16" w:rsidP="00554B16">
      <w:pPr>
        <w:pStyle w:val="Caption"/>
        <w:rPr>
          <w:rFonts w:ascii="Arial" w:hAnsi="Arial" w:cs="Arial"/>
        </w:rPr>
      </w:pPr>
      <w:bookmarkStart w:id="68" w:name="_Ref98090370"/>
      <w:r w:rsidRPr="00F05339">
        <w:rPr>
          <w:rFonts w:ascii="Arial" w:hAnsi="Arial" w:cs="Arial"/>
        </w:rPr>
        <w:t xml:space="preserve">Figure </w:t>
      </w:r>
      <w:r w:rsidR="00B46C9D" w:rsidRPr="00F05339">
        <w:rPr>
          <w:rFonts w:ascii="Arial" w:hAnsi="Arial" w:cs="Arial"/>
        </w:rPr>
        <w:fldChar w:fldCharType="begin"/>
      </w:r>
      <w:r w:rsidR="00B46C9D" w:rsidRPr="00F05339">
        <w:rPr>
          <w:rFonts w:ascii="Arial" w:hAnsi="Arial" w:cs="Arial"/>
        </w:rPr>
        <w:instrText xml:space="preserve"> SEQ Figure \* ARABIC </w:instrText>
      </w:r>
      <w:r w:rsidR="00B46C9D" w:rsidRPr="00F05339">
        <w:rPr>
          <w:rFonts w:ascii="Arial" w:hAnsi="Arial" w:cs="Arial"/>
        </w:rPr>
        <w:fldChar w:fldCharType="separate"/>
      </w:r>
      <w:r w:rsidR="003068B5">
        <w:rPr>
          <w:rFonts w:ascii="Arial" w:hAnsi="Arial" w:cs="Arial"/>
          <w:noProof/>
        </w:rPr>
        <w:t>9</w:t>
      </w:r>
      <w:r w:rsidR="00B46C9D" w:rsidRPr="00F05339">
        <w:rPr>
          <w:rFonts w:ascii="Arial" w:hAnsi="Arial" w:cs="Arial"/>
          <w:noProof/>
        </w:rPr>
        <w:fldChar w:fldCharType="end"/>
      </w:r>
      <w:bookmarkEnd w:id="68"/>
      <w:r w:rsidRPr="00F05339">
        <w:rPr>
          <w:rFonts w:ascii="Arial" w:hAnsi="Arial" w:cs="Arial"/>
        </w:rPr>
        <w:t>: Deployed and Planned FC Micro-CHP Installations across the EU</w:t>
      </w:r>
    </w:p>
    <w:p w14:paraId="7A371C31" w14:textId="39B23A70" w:rsidR="00554B16" w:rsidRPr="00F05339" w:rsidRDefault="00554B16" w:rsidP="00554B16">
      <w:pPr>
        <w:jc w:val="both"/>
        <w:rPr>
          <w:rFonts w:ascii="Arial" w:hAnsi="Arial" w:cs="Arial"/>
        </w:rPr>
      </w:pPr>
      <w:r w:rsidRPr="00F05339">
        <w:rPr>
          <w:rFonts w:ascii="Arial" w:hAnsi="Arial" w:cs="Arial"/>
        </w:rPr>
        <w:fldChar w:fldCharType="begin"/>
      </w:r>
      <w:r w:rsidRPr="00F05339">
        <w:rPr>
          <w:rFonts w:ascii="Arial" w:hAnsi="Arial" w:cs="Arial"/>
        </w:rPr>
        <w:instrText xml:space="preserve"> REF _Ref98090391 \h </w:instrText>
      </w:r>
      <w:r w:rsidR="00F05339">
        <w:rPr>
          <w:rFonts w:ascii="Arial" w:hAnsi="Arial" w:cs="Arial"/>
        </w:rPr>
        <w:instrText xml:space="preserve"> \* MERGEFORMAT </w:instrText>
      </w:r>
      <w:r w:rsidRPr="00F05339">
        <w:rPr>
          <w:rFonts w:ascii="Arial" w:hAnsi="Arial" w:cs="Arial"/>
        </w:rPr>
      </w:r>
      <w:r w:rsidRPr="00F05339">
        <w:rPr>
          <w:rFonts w:ascii="Arial" w:hAnsi="Arial" w:cs="Arial"/>
        </w:rPr>
        <w:fldChar w:fldCharType="separate"/>
      </w:r>
      <w:r w:rsidR="003068B5" w:rsidRPr="00F05339">
        <w:rPr>
          <w:rFonts w:ascii="Arial" w:hAnsi="Arial" w:cs="Arial"/>
          <w:iCs/>
        </w:rPr>
        <w:t xml:space="preserve">Figure </w:t>
      </w:r>
      <w:r w:rsidR="003068B5">
        <w:rPr>
          <w:rFonts w:ascii="Arial" w:hAnsi="Arial" w:cs="Arial"/>
          <w:iCs/>
          <w:noProof/>
        </w:rPr>
        <w:t>10</w:t>
      </w:r>
      <w:r w:rsidRPr="00F05339">
        <w:rPr>
          <w:rFonts w:ascii="Arial" w:hAnsi="Arial" w:cs="Arial"/>
        </w:rPr>
        <w:fldChar w:fldCharType="end"/>
      </w:r>
      <w:r w:rsidRPr="00F05339">
        <w:rPr>
          <w:rFonts w:ascii="Arial" w:hAnsi="Arial" w:cs="Arial"/>
        </w:rPr>
        <w:t xml:space="preserve"> shows how the cost-reduction curve can be expected to progress with increasing manufacturing volumes.</w:t>
      </w:r>
    </w:p>
    <w:p w14:paraId="2F417684" w14:textId="77777777" w:rsidR="00554B16" w:rsidRPr="00F05339" w:rsidRDefault="00554B16" w:rsidP="00554B16">
      <w:pPr>
        <w:pStyle w:val="BodyText"/>
        <w:jc w:val="both"/>
        <w:rPr>
          <w:rFonts w:ascii="Arial" w:hAnsi="Arial" w:cs="Arial"/>
        </w:rPr>
      </w:pPr>
      <w:r w:rsidRPr="00F05339">
        <w:rPr>
          <w:rFonts w:ascii="Arial" w:hAnsi="Arial" w:cs="Arial"/>
          <w:noProof/>
          <w:color w:val="FF0000"/>
        </w:rPr>
        <w:lastRenderedPageBreak/>
        <w:drawing>
          <wp:inline distT="0" distB="0" distL="0" distR="0" wp14:anchorId="6570CD3B" wp14:editId="337E2F12">
            <wp:extent cx="4006425" cy="3394253"/>
            <wp:effectExtent l="19050" t="19050" r="13335" b="15875"/>
            <wp:docPr id="47" name="Picture 4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Graphical user interface&#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28423" cy="3412890"/>
                    </a:xfrm>
                    <a:prstGeom prst="rect">
                      <a:avLst/>
                    </a:prstGeom>
                    <a:noFill/>
                    <a:ln>
                      <a:solidFill>
                        <a:schemeClr val="tx1"/>
                      </a:solidFill>
                    </a:ln>
                  </pic:spPr>
                </pic:pic>
              </a:graphicData>
            </a:graphic>
          </wp:inline>
        </w:drawing>
      </w:r>
      <w:bookmarkStart w:id="69" w:name="_Ref32590145"/>
    </w:p>
    <w:p w14:paraId="7D6C8363" w14:textId="47C7B833" w:rsidR="00554B16" w:rsidRPr="00F05339" w:rsidRDefault="00554B16" w:rsidP="00554B16">
      <w:pPr>
        <w:pStyle w:val="Caption"/>
        <w:jc w:val="both"/>
        <w:rPr>
          <w:rFonts w:ascii="Arial" w:hAnsi="Arial" w:cs="Arial"/>
        </w:rPr>
      </w:pPr>
      <w:bookmarkStart w:id="70" w:name="_Ref98090391"/>
      <w:bookmarkEnd w:id="69"/>
      <w:r w:rsidRPr="00F05339">
        <w:rPr>
          <w:rFonts w:ascii="Arial" w:hAnsi="Arial" w:cs="Arial"/>
          <w:iCs/>
        </w:rPr>
        <w:t xml:space="preserve">Figure </w:t>
      </w:r>
      <w:r w:rsidRPr="00F05339">
        <w:rPr>
          <w:rFonts w:ascii="Arial" w:hAnsi="Arial" w:cs="Arial"/>
          <w:iCs/>
        </w:rPr>
        <w:fldChar w:fldCharType="begin"/>
      </w:r>
      <w:r w:rsidRPr="00F05339">
        <w:rPr>
          <w:rFonts w:ascii="Arial" w:hAnsi="Arial" w:cs="Arial"/>
          <w:iCs/>
        </w:rPr>
        <w:instrText xml:space="preserve"> SEQ Figure \* ARABIC </w:instrText>
      </w:r>
      <w:r w:rsidRPr="00F05339">
        <w:rPr>
          <w:rFonts w:ascii="Arial" w:hAnsi="Arial" w:cs="Arial"/>
          <w:iCs/>
        </w:rPr>
        <w:fldChar w:fldCharType="separate"/>
      </w:r>
      <w:r w:rsidR="003068B5">
        <w:rPr>
          <w:rFonts w:ascii="Arial" w:hAnsi="Arial" w:cs="Arial"/>
          <w:iCs/>
          <w:noProof/>
        </w:rPr>
        <w:t>10</w:t>
      </w:r>
      <w:r w:rsidRPr="00F05339">
        <w:rPr>
          <w:rFonts w:ascii="Arial" w:hAnsi="Arial" w:cs="Arial"/>
          <w:iCs/>
          <w:noProof/>
        </w:rPr>
        <w:fldChar w:fldCharType="end"/>
      </w:r>
      <w:bookmarkEnd w:id="70"/>
      <w:r w:rsidRPr="00F05339">
        <w:rPr>
          <w:rFonts w:ascii="Arial" w:hAnsi="Arial" w:cs="Arial"/>
        </w:rPr>
        <w:t>: Cost reduction with market scale-up in the focus area µ-CHP demo (&lt;5 kWe).</w:t>
      </w:r>
    </w:p>
    <w:p w14:paraId="46F95A36" w14:textId="77777777" w:rsidR="00554B16" w:rsidRPr="00F05339" w:rsidRDefault="00554B16" w:rsidP="00554B16">
      <w:pPr>
        <w:pStyle w:val="Sub-heading"/>
        <w:rPr>
          <w:rFonts w:ascii="Arial" w:hAnsi="Arial" w:cs="Arial"/>
        </w:rPr>
      </w:pPr>
      <w:r w:rsidRPr="00F05339">
        <w:rPr>
          <w:rFonts w:ascii="Arial" w:hAnsi="Arial" w:cs="Arial"/>
        </w:rPr>
        <w:t>Combined heat and power for mid-size applications (5-400 kWe)</w:t>
      </w:r>
    </w:p>
    <w:p w14:paraId="67069D29" w14:textId="1A939D24" w:rsidR="00554B16" w:rsidRPr="00F05339" w:rsidRDefault="00554B16" w:rsidP="00554B16">
      <w:pPr>
        <w:spacing w:after="0" w:line="240" w:lineRule="auto"/>
        <w:jc w:val="both"/>
        <w:rPr>
          <w:rFonts w:ascii="Arial" w:hAnsi="Arial" w:cs="Arial"/>
          <w:iCs/>
        </w:rPr>
      </w:pPr>
      <w:r w:rsidRPr="00F05339">
        <w:rPr>
          <w:rFonts w:ascii="Arial" w:hAnsi="Arial" w:cs="Arial"/>
          <w:iCs/>
        </w:rPr>
        <w:t xml:space="preserve">In the mid-size installations focus area, the DEMOSOFC project, completed in October 2020, aimed to demonstrate the technical and economic feasibility of installing a 174 kWe SOFC system at a wastewater treatment plant in the Turin area (IT). This would have supplied ~30 % of the site’s electricity needs and almost 100 % of its thermal energy consumption. Ultimately, the project was only able to install two SOFC modules (1 x 58 kWe and 1 x 44 kWe) due to delays to the final module. Despite this reduction in size, the overall goal of demonstrating an industrial-size biogas-fed SOFC plant has been achieved. The lessons learned have informed the design of the next generation of units developed under the R&amp;I project INNOSOFC. These next-generation units are expected to be </w:t>
      </w:r>
      <w:r w:rsidR="002905BC">
        <w:rPr>
          <w:rFonts w:ascii="Arial" w:hAnsi="Arial" w:cs="Arial"/>
          <w:iCs/>
        </w:rPr>
        <w:t>demonstrated</w:t>
      </w:r>
      <w:r w:rsidR="002905BC" w:rsidRPr="00F05339">
        <w:rPr>
          <w:rFonts w:ascii="Arial" w:hAnsi="Arial" w:cs="Arial"/>
          <w:iCs/>
        </w:rPr>
        <w:t xml:space="preserve"> </w:t>
      </w:r>
      <w:r w:rsidRPr="00F05339">
        <w:rPr>
          <w:rFonts w:ascii="Arial" w:hAnsi="Arial" w:cs="Arial"/>
          <w:iCs/>
        </w:rPr>
        <w:t>in real installations in the COMSOS project. Further reductions in CAPEX and OPEX have been identified as essential for market take-up.</w:t>
      </w:r>
    </w:p>
    <w:p w14:paraId="03C81C0B" w14:textId="57601395" w:rsidR="00554B16" w:rsidRPr="00F05339" w:rsidRDefault="00554B16" w:rsidP="00554B16">
      <w:pPr>
        <w:spacing w:after="0" w:line="240" w:lineRule="auto"/>
        <w:jc w:val="both"/>
        <w:rPr>
          <w:rFonts w:ascii="Arial" w:hAnsi="Arial" w:cs="Arial"/>
          <w:iCs/>
        </w:rPr>
      </w:pPr>
      <w:r w:rsidRPr="00F05339">
        <w:rPr>
          <w:rFonts w:ascii="Arial" w:hAnsi="Arial" w:cs="Arial"/>
          <w:iCs/>
        </w:rPr>
        <w:t xml:space="preserve">The main objective of the COMSOS project is to validate and demonstrate the advantages of mid-sized SOFC-based CHP systems in industrial or utility services environments. Three different sizes of ‘mini/commercial-size FC-CHP’ are being </w:t>
      </w:r>
      <w:r w:rsidR="0040588D">
        <w:rPr>
          <w:rFonts w:ascii="Arial" w:hAnsi="Arial" w:cs="Arial"/>
          <w:iCs/>
        </w:rPr>
        <w:t>demonstrated</w:t>
      </w:r>
      <w:r w:rsidR="0040588D" w:rsidRPr="00F05339">
        <w:rPr>
          <w:rFonts w:ascii="Arial" w:hAnsi="Arial" w:cs="Arial"/>
          <w:iCs/>
        </w:rPr>
        <w:t xml:space="preserve"> </w:t>
      </w:r>
      <w:r w:rsidRPr="00F05339">
        <w:rPr>
          <w:rFonts w:ascii="Arial" w:hAnsi="Arial" w:cs="Arial"/>
          <w:iCs/>
        </w:rPr>
        <w:t>in the power ranges of 10-12 kW, 20-25 kW and 50-60 kW. The consortium plans to install 23 demo systems.</w:t>
      </w:r>
    </w:p>
    <w:p w14:paraId="2EE885EC" w14:textId="77777777" w:rsidR="00554B16" w:rsidRPr="00F05339" w:rsidRDefault="00554B16" w:rsidP="00554B16">
      <w:pPr>
        <w:pStyle w:val="Sub-heading"/>
        <w:rPr>
          <w:rFonts w:ascii="Arial" w:hAnsi="Arial" w:cs="Arial"/>
        </w:rPr>
      </w:pPr>
      <w:r w:rsidRPr="00F05339">
        <w:rPr>
          <w:rFonts w:ascii="Arial" w:hAnsi="Arial" w:cs="Arial"/>
        </w:rPr>
        <w:t>Combined heat and power for large scale applications (&gt;400 kWe)</w:t>
      </w:r>
    </w:p>
    <w:p w14:paraId="296683DB" w14:textId="7944BA5A" w:rsidR="00554B16" w:rsidRPr="00F05339" w:rsidRDefault="00554B16" w:rsidP="00554B16">
      <w:pPr>
        <w:pStyle w:val="BodyText"/>
        <w:spacing w:before="0" w:after="0"/>
        <w:jc w:val="both"/>
        <w:rPr>
          <w:rFonts w:ascii="Arial" w:eastAsia="Calibri" w:hAnsi="Arial" w:cs="Arial"/>
          <w:sz w:val="22"/>
          <w:szCs w:val="22"/>
          <w:lang w:eastAsia="en-US"/>
        </w:rPr>
      </w:pPr>
      <w:r w:rsidRPr="00F05339">
        <w:rPr>
          <w:rFonts w:ascii="Arial" w:eastAsia="Calibri" w:hAnsi="Arial" w:cs="Arial"/>
          <w:sz w:val="22"/>
          <w:szCs w:val="22"/>
          <w:lang w:eastAsia="en-US"/>
        </w:rPr>
        <w:t>Demonstrations of large-scale FC systems such as the C</w:t>
      </w:r>
      <w:r w:rsidR="007D0BC3">
        <w:rPr>
          <w:rFonts w:ascii="Arial" w:eastAsia="Calibri" w:hAnsi="Arial" w:cs="Arial"/>
          <w:sz w:val="22"/>
          <w:szCs w:val="22"/>
          <w:lang w:eastAsia="en-US"/>
        </w:rPr>
        <w:t>learG</w:t>
      </w:r>
      <w:r w:rsidRPr="00F05339">
        <w:rPr>
          <w:rFonts w:ascii="Arial" w:eastAsia="Calibri" w:hAnsi="Arial" w:cs="Arial"/>
          <w:sz w:val="22"/>
          <w:szCs w:val="22"/>
          <w:lang w:eastAsia="en-US"/>
        </w:rPr>
        <w:t>enDemo</w:t>
      </w:r>
      <w:r w:rsidRPr="00F05339">
        <w:rPr>
          <w:rFonts w:ascii="Arial" w:eastAsia="Calibri" w:hAnsi="Arial" w:cs="Arial"/>
          <w:vertAlign w:val="superscript"/>
          <w:lang w:eastAsia="en-US"/>
        </w:rPr>
        <w:footnoteReference w:id="24"/>
      </w:r>
      <w:r w:rsidRPr="00F05339">
        <w:rPr>
          <w:rFonts w:ascii="Arial" w:eastAsia="Calibri" w:hAnsi="Arial" w:cs="Arial"/>
          <w:sz w:val="22"/>
          <w:szCs w:val="22"/>
          <w:vertAlign w:val="superscript"/>
          <w:lang w:eastAsia="en-US"/>
        </w:rPr>
        <w:t xml:space="preserve"> </w:t>
      </w:r>
      <w:r w:rsidRPr="00F05339">
        <w:rPr>
          <w:rFonts w:ascii="Arial" w:eastAsia="Calibri" w:hAnsi="Arial" w:cs="Arial"/>
          <w:sz w:val="22"/>
          <w:szCs w:val="22"/>
          <w:lang w:eastAsia="en-US"/>
        </w:rPr>
        <w:t xml:space="preserve">project aimed to demonstrate a 1 MWe PEMFC system utilising a refinery by-product hydrogen and using the 1 MW PEM FC to produce electricity for the Martinique public electricity grid (French overseas territory). Installation of the FC system and component was completed, along with integration in the refinery systems. Due to the COVID-19 travel ban, it was not possible to complete commissioning within the project’s lifetime (which ended in September 2020). The system achieved 50 % electrical efficiency in the factory acceptance test, which exceeded its target (48 %). The lessons learned from ClearGenDemo will be taken up by a power-to-power project in French </w:t>
      </w:r>
      <w:proofErr w:type="gramStart"/>
      <w:r w:rsidRPr="00F05339">
        <w:rPr>
          <w:rFonts w:ascii="Arial" w:eastAsia="Calibri" w:hAnsi="Arial" w:cs="Arial"/>
          <w:sz w:val="22"/>
          <w:szCs w:val="22"/>
          <w:lang w:eastAsia="en-US"/>
        </w:rPr>
        <w:t>Guiana</w:t>
      </w:r>
      <w:proofErr w:type="gramEnd"/>
      <w:r w:rsidRPr="00F05339">
        <w:rPr>
          <w:rFonts w:ascii="Arial" w:eastAsia="Calibri" w:hAnsi="Arial" w:cs="Arial"/>
          <w:sz w:val="22"/>
          <w:szCs w:val="22"/>
          <w:lang w:eastAsia="en-US"/>
        </w:rPr>
        <w:t xml:space="preserve"> which is being developed by one of the partners, Hydrogene de France. </w:t>
      </w:r>
      <w:r w:rsidRPr="00F05339">
        <w:rPr>
          <w:rFonts w:ascii="Arial" w:eastAsia="Calibri" w:hAnsi="Arial" w:cs="Arial"/>
          <w:sz w:val="22"/>
          <w:szCs w:val="22"/>
          <w:lang w:eastAsia="en-US"/>
        </w:rPr>
        <w:lastRenderedPageBreak/>
        <w:t>ClearGenDemo</w:t>
      </w:r>
      <w:r w:rsidRPr="00F05339" w:rsidDel="00341216">
        <w:rPr>
          <w:rFonts w:ascii="Arial" w:eastAsia="Calibri" w:hAnsi="Arial" w:cs="Arial"/>
          <w:sz w:val="22"/>
          <w:szCs w:val="22"/>
          <w:lang w:eastAsia="en-US"/>
        </w:rPr>
        <w:t xml:space="preserve"> </w:t>
      </w:r>
      <w:r w:rsidRPr="00F05339">
        <w:rPr>
          <w:rFonts w:ascii="Arial" w:eastAsia="Calibri" w:hAnsi="Arial" w:cs="Arial"/>
          <w:sz w:val="22"/>
          <w:szCs w:val="22"/>
          <w:lang w:eastAsia="en-US"/>
        </w:rPr>
        <w:t>intends to report on system performance once it has been commissioned, even if the project has ended.</w:t>
      </w:r>
    </w:p>
    <w:p w14:paraId="5CDD2938" w14:textId="77777777" w:rsidR="00554B16" w:rsidRPr="00F05339" w:rsidRDefault="00554B16" w:rsidP="00554B16">
      <w:pPr>
        <w:pStyle w:val="Sub-heading"/>
        <w:rPr>
          <w:rFonts w:ascii="Arial" w:hAnsi="Arial" w:cs="Arial"/>
        </w:rPr>
      </w:pPr>
      <w:r w:rsidRPr="00F05339">
        <w:rPr>
          <w:rFonts w:ascii="Arial" w:hAnsi="Arial" w:cs="Arial"/>
        </w:rPr>
        <w:t xml:space="preserve">Demonstrations – off-grid, back-up and genset </w:t>
      </w:r>
    </w:p>
    <w:p w14:paraId="2B83402E" w14:textId="77777777" w:rsidR="00554B16" w:rsidRPr="00F05339" w:rsidRDefault="00554B16" w:rsidP="00554B16">
      <w:pPr>
        <w:pStyle w:val="BodyText"/>
        <w:spacing w:before="0" w:after="0"/>
        <w:jc w:val="both"/>
        <w:rPr>
          <w:rFonts w:ascii="Arial" w:eastAsia="Calibri" w:hAnsi="Arial" w:cs="Arial"/>
          <w:sz w:val="22"/>
          <w:szCs w:val="22"/>
          <w:lang w:eastAsia="en-US"/>
        </w:rPr>
      </w:pPr>
      <w:r w:rsidRPr="00F05339">
        <w:rPr>
          <w:rFonts w:ascii="Arial" w:eastAsia="Calibri" w:hAnsi="Arial" w:cs="Arial"/>
          <w:sz w:val="22"/>
          <w:szCs w:val="22"/>
          <w:lang w:eastAsia="en-US"/>
        </w:rPr>
        <w:t xml:space="preserve">This area </w:t>
      </w:r>
      <w:proofErr w:type="gramStart"/>
      <w:r w:rsidRPr="00F05339">
        <w:rPr>
          <w:rFonts w:ascii="Arial" w:eastAsia="Calibri" w:hAnsi="Arial" w:cs="Arial"/>
          <w:sz w:val="22"/>
          <w:szCs w:val="22"/>
          <w:lang w:eastAsia="en-US"/>
        </w:rPr>
        <w:t>gathers together</w:t>
      </w:r>
      <w:proofErr w:type="gramEnd"/>
      <w:r w:rsidRPr="00F05339">
        <w:rPr>
          <w:rFonts w:ascii="Arial" w:eastAsia="Calibri" w:hAnsi="Arial" w:cs="Arial"/>
          <w:sz w:val="22"/>
          <w:szCs w:val="22"/>
          <w:lang w:eastAsia="en-US"/>
        </w:rPr>
        <w:t xml:space="preserve"> three demo projects – REMOTE, RoRePower and EVERYWH2ERE – focused on off-grid applications, both in remote places as well as in temporarily powered event areas.</w:t>
      </w:r>
    </w:p>
    <w:p w14:paraId="654201B2" w14:textId="77777777" w:rsidR="00554B16" w:rsidRPr="00F05339" w:rsidRDefault="00554B16" w:rsidP="00554B16">
      <w:pPr>
        <w:pStyle w:val="BodyText"/>
        <w:spacing w:before="0" w:after="0"/>
        <w:jc w:val="both"/>
        <w:rPr>
          <w:rFonts w:ascii="Arial" w:eastAsia="Calibri" w:hAnsi="Arial" w:cs="Arial"/>
          <w:sz w:val="22"/>
          <w:szCs w:val="22"/>
          <w:lang w:eastAsia="en-US"/>
        </w:rPr>
      </w:pPr>
      <w:r w:rsidRPr="00F05339">
        <w:rPr>
          <w:rFonts w:ascii="Arial" w:eastAsia="Calibri" w:hAnsi="Arial" w:cs="Arial"/>
          <w:sz w:val="22"/>
          <w:szCs w:val="22"/>
          <w:lang w:eastAsia="en-US"/>
        </w:rPr>
        <w:t xml:space="preserve">The REMOTE project is demonstrating the technical and economic feasibility of FC technologies combined with RES and hydrogen storage solutions on island grids or in remote areas. In 2020, two demonstrations were installed in Norway and Greece and are now operational. The third new demonstration site will be in the Canary Islands, Spain). Detailed engineering and the permitting procedures are currently being developed. </w:t>
      </w:r>
    </w:p>
    <w:p w14:paraId="3047F377" w14:textId="77777777" w:rsidR="00554B16" w:rsidRPr="00F05339" w:rsidRDefault="00554B16" w:rsidP="00554B16">
      <w:pPr>
        <w:pStyle w:val="BodyText"/>
        <w:jc w:val="both"/>
        <w:rPr>
          <w:rFonts w:ascii="Arial" w:eastAsia="Calibri" w:hAnsi="Arial" w:cs="Arial"/>
          <w:sz w:val="22"/>
          <w:szCs w:val="22"/>
          <w:lang w:eastAsia="en-US"/>
        </w:rPr>
      </w:pPr>
      <w:proofErr w:type="gramStart"/>
      <w:r w:rsidRPr="00F05339">
        <w:rPr>
          <w:rFonts w:ascii="Arial" w:eastAsia="Calibri" w:hAnsi="Arial" w:cs="Arial"/>
          <w:sz w:val="22"/>
          <w:szCs w:val="22"/>
          <w:lang w:eastAsia="en-US"/>
        </w:rPr>
        <w:t>A number of</w:t>
      </w:r>
      <w:proofErr w:type="gramEnd"/>
      <w:r w:rsidRPr="00F05339">
        <w:rPr>
          <w:rFonts w:ascii="Arial" w:eastAsia="Calibri" w:hAnsi="Arial" w:cs="Arial"/>
          <w:sz w:val="22"/>
          <w:szCs w:val="22"/>
          <w:lang w:eastAsia="en-US"/>
        </w:rPr>
        <w:t xml:space="preserve"> MAWP targets have been successfully achieved: rated PEM electrolyser efficiency of 50.5 kWh/kg, rated alkaline electrolyser efficiency of 50.6 kWh/kg, rated PEM FC efficiency of 45 % LHV, 15 years lifetime for the FC and 20 years lifetime for the BoP equipment. REMOTE was awarded the title of best renewable energy project in the European Sustainable Energy Week (EUSEW) 2020 Awards in the Innovation section. </w:t>
      </w:r>
    </w:p>
    <w:p w14:paraId="5353E1FD" w14:textId="77777777" w:rsidR="00554B16" w:rsidRPr="00F05339" w:rsidRDefault="00554B16" w:rsidP="00554B16">
      <w:pPr>
        <w:pStyle w:val="BodyText"/>
        <w:jc w:val="both"/>
        <w:rPr>
          <w:rFonts w:ascii="Arial" w:eastAsia="Calibri" w:hAnsi="Arial" w:cs="Arial"/>
          <w:sz w:val="22"/>
          <w:szCs w:val="22"/>
          <w:lang w:eastAsia="en-US"/>
        </w:rPr>
      </w:pPr>
      <w:r w:rsidRPr="00F05339">
        <w:rPr>
          <w:rFonts w:ascii="Arial" w:eastAsia="Calibri" w:hAnsi="Arial" w:cs="Arial"/>
          <w:sz w:val="22"/>
          <w:szCs w:val="22"/>
          <w:lang w:eastAsia="en-US"/>
        </w:rPr>
        <w:t>In general, project results could be applied in new fields where there is need for storage of local RES, not only for power production but also for hydrogen use in different sectors. Grid balancing and the production of hydrogen for mobility could be potential fields of application.</w:t>
      </w:r>
    </w:p>
    <w:p w14:paraId="541184DF" w14:textId="77777777" w:rsidR="00554B16" w:rsidRPr="00F05339" w:rsidRDefault="00554B16" w:rsidP="00554B16">
      <w:pPr>
        <w:autoSpaceDE w:val="0"/>
        <w:autoSpaceDN w:val="0"/>
        <w:adjustRightInd w:val="0"/>
        <w:spacing w:after="0" w:line="240" w:lineRule="auto"/>
        <w:jc w:val="both"/>
        <w:rPr>
          <w:rFonts w:ascii="Arial" w:hAnsi="Arial" w:cs="Arial"/>
        </w:rPr>
      </w:pPr>
      <w:r w:rsidRPr="00F05339">
        <w:rPr>
          <w:rFonts w:ascii="Arial" w:hAnsi="Arial" w:cs="Arial"/>
        </w:rPr>
        <w:t xml:space="preserve">The aim of the RoRePower project is to further develop and demonstrate SOFC systems for off-grid power generation in markets, such as gas and oil infrastructure, in remote regions with harsh climate conditions (from -40 °C to +50 °C), and the power supply for telecommunication towers, especially in emerging countries. Twelve RoRePower units have been installed at customer sites. The Sunfire-remote 400 and 900 units have passed design freeze and have been introduced on to the market. The first RoRePower unit has been installed for a telecom application in Alaska, with the aim of gathering reliable field data and demonstrating the technology. </w:t>
      </w:r>
    </w:p>
    <w:p w14:paraId="3F23304F" w14:textId="77777777" w:rsidR="00554B16" w:rsidRPr="00F05339" w:rsidRDefault="00554B16" w:rsidP="00554B16">
      <w:pPr>
        <w:pStyle w:val="BodyText"/>
        <w:spacing w:before="0" w:after="0"/>
        <w:jc w:val="both"/>
        <w:rPr>
          <w:rFonts w:ascii="Arial" w:eastAsia="Calibri" w:hAnsi="Arial" w:cs="Arial"/>
          <w:sz w:val="22"/>
          <w:szCs w:val="22"/>
          <w:lang w:eastAsia="en-US"/>
        </w:rPr>
      </w:pPr>
    </w:p>
    <w:p w14:paraId="4401239C" w14:textId="77777777" w:rsidR="00554B16" w:rsidRPr="00F05339" w:rsidRDefault="00554B16" w:rsidP="00554B16">
      <w:pPr>
        <w:pStyle w:val="BodyText"/>
        <w:spacing w:before="0" w:after="0"/>
        <w:jc w:val="both"/>
        <w:rPr>
          <w:rFonts w:ascii="Arial" w:eastAsia="Calibri" w:hAnsi="Arial" w:cs="Arial"/>
          <w:sz w:val="22"/>
          <w:szCs w:val="22"/>
          <w:lang w:eastAsia="en-US"/>
        </w:rPr>
      </w:pPr>
      <w:r w:rsidRPr="00F05339">
        <w:rPr>
          <w:rFonts w:ascii="Arial" w:eastAsia="Calibri" w:hAnsi="Arial" w:cs="Arial"/>
          <w:sz w:val="22"/>
          <w:szCs w:val="22"/>
          <w:lang w:eastAsia="en-US"/>
        </w:rPr>
        <w:t>The EVERYWH2ERE project aims to demonstrate at TRL 8 FC gensets to replace diesel-fuelled generators for temporary power at construction sites, music festivals, exhibition centres, etc.). Two prototypes (1x25 kW and 1x100 kW), together with their hydrogen storage bundles, have currently being commissioned and started demonstration in June 2021.</w:t>
      </w:r>
    </w:p>
    <w:p w14:paraId="7ABFFA80" w14:textId="77777777" w:rsidR="00554B16" w:rsidRPr="00F05339" w:rsidRDefault="00554B16" w:rsidP="00243CE5">
      <w:pPr>
        <w:pStyle w:val="Heading3"/>
        <w:numPr>
          <w:ilvl w:val="3"/>
          <w:numId w:val="1"/>
        </w:numPr>
        <w:jc w:val="both"/>
        <w:rPr>
          <w:rFonts w:ascii="Arial" w:hAnsi="Arial" w:cs="Arial"/>
        </w:rPr>
      </w:pPr>
      <w:bookmarkStart w:id="71" w:name="_Toc98496330"/>
      <w:bookmarkStart w:id="72" w:name="_Toc101516053"/>
      <w:r w:rsidRPr="00F05339">
        <w:rPr>
          <w:rFonts w:ascii="Arial" w:hAnsi="Arial" w:cs="Arial"/>
        </w:rPr>
        <w:t>Next generation of products -energy</w:t>
      </w:r>
      <w:bookmarkEnd w:id="71"/>
      <w:bookmarkEnd w:id="72"/>
    </w:p>
    <w:p w14:paraId="31F9F0BE" w14:textId="1C6492A4" w:rsidR="00554B16" w:rsidRPr="00F05339" w:rsidRDefault="00554B16" w:rsidP="00554B16">
      <w:pPr>
        <w:spacing w:line="240" w:lineRule="auto"/>
        <w:jc w:val="both"/>
        <w:rPr>
          <w:rFonts w:ascii="Arial" w:hAnsi="Arial" w:cs="Arial"/>
        </w:rPr>
      </w:pPr>
      <w:r w:rsidRPr="00F05339">
        <w:rPr>
          <w:rFonts w:ascii="Arial" w:hAnsi="Arial" w:cs="Arial"/>
        </w:rPr>
        <w:t>Following the calls between 2008 and 2020, the JU supported 54 projects with a total JU contribution of about EUR 124.9 million plus a contribution from partners of EUR 76.7 million.</w:t>
      </w:r>
    </w:p>
    <w:p w14:paraId="5C9586C2" w14:textId="0F777791" w:rsidR="00554B16" w:rsidRPr="00F05339" w:rsidRDefault="00554B16" w:rsidP="00554B16">
      <w:pPr>
        <w:spacing w:line="240" w:lineRule="auto"/>
        <w:jc w:val="both"/>
        <w:rPr>
          <w:rFonts w:ascii="Arial" w:hAnsi="Arial" w:cs="Arial"/>
        </w:rPr>
      </w:pPr>
      <w:r w:rsidRPr="00F05339">
        <w:rPr>
          <w:rFonts w:ascii="Arial" w:hAnsi="Arial" w:cs="Arial"/>
        </w:rPr>
        <w:fldChar w:fldCharType="begin"/>
      </w:r>
      <w:r w:rsidRPr="00F05339">
        <w:rPr>
          <w:rFonts w:ascii="Arial" w:hAnsi="Arial" w:cs="Arial"/>
        </w:rPr>
        <w:instrText xml:space="preserve"> REF _Ref98090249 \h  \* MERGEFORMAT </w:instrText>
      </w:r>
      <w:r w:rsidRPr="00F05339">
        <w:rPr>
          <w:rFonts w:ascii="Arial" w:hAnsi="Arial" w:cs="Arial"/>
        </w:rPr>
      </w:r>
      <w:r w:rsidRPr="00F05339">
        <w:rPr>
          <w:rFonts w:ascii="Arial" w:hAnsi="Arial" w:cs="Arial"/>
        </w:rPr>
        <w:fldChar w:fldCharType="separate"/>
      </w:r>
      <w:r w:rsidR="003068B5" w:rsidRPr="00F05339">
        <w:rPr>
          <w:rFonts w:ascii="Arial" w:hAnsi="Arial" w:cs="Arial"/>
          <w:iCs/>
        </w:rPr>
        <w:t xml:space="preserve">Figure </w:t>
      </w:r>
      <w:r w:rsidR="003068B5">
        <w:rPr>
          <w:rFonts w:ascii="Arial" w:hAnsi="Arial" w:cs="Arial"/>
          <w:iCs/>
          <w:noProof/>
        </w:rPr>
        <w:t>11</w:t>
      </w:r>
      <w:r w:rsidRPr="00F05339">
        <w:rPr>
          <w:rFonts w:ascii="Arial" w:hAnsi="Arial" w:cs="Arial"/>
        </w:rPr>
        <w:fldChar w:fldCharType="end"/>
      </w:r>
      <w:r w:rsidRPr="00F05339">
        <w:rPr>
          <w:rFonts w:ascii="Arial" w:hAnsi="Arial" w:cs="Arial"/>
        </w:rPr>
        <w:t xml:space="preserve"> shows the connections between partners present in these projects. The size of the node (circle) represents the number of projects a partner is involved in, whilst the thickness of the lines linking the nodes represents the number of projects two partners have in common. For clarity, only the partners involved in the largest numbers of projects are given. TIM indicates clusters of partners by colour using its own algorithm. The figure includes one large cluster around the projects dealing with SOFC technologies (INSIGHT, Waste2Watts, NewSOC, etc.) whilst the smaller cluster at the bottom of the figure contains two PEMFC projects (MAMA-MEA and GRASSHOPPER). </w:t>
      </w:r>
      <w:r w:rsidR="0041650B">
        <w:rPr>
          <w:rFonts w:ascii="Arial" w:hAnsi="Arial" w:cs="Arial"/>
        </w:rPr>
        <w:t>In this low TRL research area a</w:t>
      </w:r>
      <w:r w:rsidRPr="00F05339">
        <w:rPr>
          <w:rFonts w:ascii="Arial" w:hAnsi="Arial" w:cs="Arial"/>
        </w:rPr>
        <w:t xml:space="preserve"> good mix of private companies, universities and research centres are present. VTT is the most active participant, followed by CEA and SOLIDpower.</w:t>
      </w:r>
    </w:p>
    <w:p w14:paraId="6F5FA33B" w14:textId="77777777" w:rsidR="00554B16" w:rsidRPr="00F05339" w:rsidRDefault="00554B16" w:rsidP="00554B16">
      <w:pPr>
        <w:spacing w:line="240" w:lineRule="auto"/>
        <w:jc w:val="both"/>
        <w:rPr>
          <w:rFonts w:ascii="Arial" w:hAnsi="Arial" w:cs="Arial"/>
        </w:rPr>
      </w:pPr>
      <w:r w:rsidRPr="00F05339">
        <w:rPr>
          <w:rFonts w:ascii="Arial" w:hAnsi="Arial" w:cs="Arial"/>
          <w:noProof/>
          <w:lang w:eastAsia="en-GB"/>
        </w:rPr>
        <w:lastRenderedPageBreak/>
        <w:drawing>
          <wp:inline distT="0" distB="0" distL="0" distR="0" wp14:anchorId="0AE088D4" wp14:editId="62EDE4D6">
            <wp:extent cx="5715000" cy="4506763"/>
            <wp:effectExtent l="19050" t="19050" r="19050" b="27305"/>
            <wp:docPr id="18" name="Picture 18" descr="Ma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ap&#10;&#10;Description automatically generated with low confidenc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15000" cy="4506763"/>
                    </a:xfrm>
                    <a:prstGeom prst="rect">
                      <a:avLst/>
                    </a:prstGeom>
                    <a:noFill/>
                    <a:ln>
                      <a:solidFill>
                        <a:schemeClr val="tx1"/>
                      </a:solidFill>
                    </a:ln>
                  </pic:spPr>
                </pic:pic>
              </a:graphicData>
            </a:graphic>
          </wp:inline>
        </w:drawing>
      </w:r>
    </w:p>
    <w:p w14:paraId="4305F7B5" w14:textId="56166D75" w:rsidR="00554B16" w:rsidRPr="00F05339" w:rsidRDefault="00554B16" w:rsidP="00554B16">
      <w:pPr>
        <w:pStyle w:val="Caption"/>
        <w:jc w:val="both"/>
        <w:rPr>
          <w:rFonts w:ascii="Arial" w:hAnsi="Arial" w:cs="Arial"/>
        </w:rPr>
      </w:pPr>
      <w:bookmarkStart w:id="73" w:name="_Ref83305625"/>
      <w:bookmarkStart w:id="74" w:name="_Ref98090249"/>
      <w:r w:rsidRPr="00F05339">
        <w:rPr>
          <w:rFonts w:ascii="Arial" w:hAnsi="Arial" w:cs="Arial"/>
          <w:iCs/>
        </w:rPr>
        <w:t xml:space="preserve">Figure </w:t>
      </w:r>
      <w:bookmarkEnd w:id="73"/>
      <w:r w:rsidRPr="00F05339">
        <w:rPr>
          <w:rFonts w:ascii="Arial" w:hAnsi="Arial" w:cs="Arial"/>
          <w:iCs/>
        </w:rPr>
        <w:fldChar w:fldCharType="begin"/>
      </w:r>
      <w:r w:rsidRPr="00F05339">
        <w:rPr>
          <w:rFonts w:ascii="Arial" w:hAnsi="Arial" w:cs="Arial"/>
          <w:iCs/>
        </w:rPr>
        <w:instrText xml:space="preserve"> SEQ Figure \* ARABIC </w:instrText>
      </w:r>
      <w:r w:rsidRPr="00F05339">
        <w:rPr>
          <w:rFonts w:ascii="Arial" w:hAnsi="Arial" w:cs="Arial"/>
          <w:iCs/>
        </w:rPr>
        <w:fldChar w:fldCharType="separate"/>
      </w:r>
      <w:r w:rsidR="003068B5">
        <w:rPr>
          <w:rFonts w:ascii="Arial" w:hAnsi="Arial" w:cs="Arial"/>
          <w:iCs/>
          <w:noProof/>
        </w:rPr>
        <w:t>11</w:t>
      </w:r>
      <w:r w:rsidRPr="00F05339">
        <w:rPr>
          <w:rFonts w:ascii="Arial" w:hAnsi="Arial" w:cs="Arial"/>
          <w:iCs/>
          <w:noProof/>
        </w:rPr>
        <w:fldChar w:fldCharType="end"/>
      </w:r>
      <w:bookmarkEnd w:id="74"/>
      <w:r w:rsidRPr="00F05339">
        <w:rPr>
          <w:rFonts w:ascii="Arial" w:hAnsi="Arial" w:cs="Arial"/>
        </w:rPr>
        <w:t>: TIM plot showing the participants in all projects related to the next generation of products on energy</w:t>
      </w:r>
    </w:p>
    <w:p w14:paraId="56FCBC89" w14:textId="77777777" w:rsidR="00554B16" w:rsidRPr="00F05339" w:rsidRDefault="00554B16" w:rsidP="00554B16">
      <w:pPr>
        <w:pStyle w:val="Heading4"/>
        <w:spacing w:line="240" w:lineRule="auto"/>
        <w:ind w:left="864" w:hanging="864"/>
        <w:jc w:val="both"/>
        <w:rPr>
          <w:rFonts w:ascii="Arial" w:eastAsia="Times New Roman" w:hAnsi="Arial" w:cs="Arial"/>
          <w:b/>
          <w:bCs/>
          <w:i w:val="0"/>
          <w:noProof/>
          <w:color w:val="auto"/>
          <w:lang w:eastAsia="en-GB"/>
        </w:rPr>
      </w:pPr>
      <w:r w:rsidRPr="00F05339">
        <w:rPr>
          <w:rFonts w:ascii="Arial" w:eastAsia="Times New Roman" w:hAnsi="Arial" w:cs="Arial"/>
          <w:b/>
          <w:bCs/>
          <w:noProof/>
          <w:color w:val="auto"/>
          <w:lang w:eastAsia="en-GB"/>
        </w:rPr>
        <w:t xml:space="preserve">Manufacturing </w:t>
      </w:r>
    </w:p>
    <w:p w14:paraId="38D9AF2F" w14:textId="77777777" w:rsidR="00554B16" w:rsidRPr="00F05339" w:rsidRDefault="00554B16" w:rsidP="00554B16">
      <w:pPr>
        <w:pStyle w:val="BodyText"/>
        <w:jc w:val="both"/>
        <w:rPr>
          <w:rFonts w:ascii="Arial" w:eastAsia="Calibri" w:hAnsi="Arial" w:cs="Arial"/>
          <w:sz w:val="22"/>
          <w:szCs w:val="22"/>
          <w:lang w:eastAsia="en-US"/>
        </w:rPr>
      </w:pPr>
      <w:r w:rsidRPr="00F05339">
        <w:rPr>
          <w:rFonts w:ascii="Arial" w:eastAsia="Calibri" w:hAnsi="Arial" w:cs="Arial"/>
          <w:sz w:val="22"/>
          <w:szCs w:val="22"/>
          <w:lang w:eastAsia="en-US"/>
        </w:rPr>
        <w:t xml:space="preserve">Only one project in this area (MAMA-MEA) focuses on PEM FC manufacturing, with the rest investigating SOFC manufacturing options (qSOFC, CELL3DITOR and NewSOC). The projects’ overall goal is to enable the efficient manufacturing of large volumes of FC technologies with improvements regarding current costs, FC performances and environmental impact. Noticeable improvements have been achieved by FC products developed using innovative manufacturing methods. Even if improvements can be detected for many KPIs linked to performance and CAPEX which remains a long way from the expected values. Cost projections (especially for smaller-sized FC applications like micro-CHP) highlight the potential savings offered by scaling up manufacturing volumes. The reported rated electrical efficiency for SOFC has reached an impressive maximum of 74 % at stack level. </w:t>
      </w:r>
    </w:p>
    <w:p w14:paraId="122268A2" w14:textId="77777777" w:rsidR="00554B16" w:rsidRPr="00F05339" w:rsidRDefault="00554B16" w:rsidP="00554B16">
      <w:pPr>
        <w:pStyle w:val="BodyText"/>
        <w:jc w:val="both"/>
        <w:rPr>
          <w:rFonts w:ascii="Arial" w:eastAsia="Calibri" w:hAnsi="Arial" w:cs="Arial"/>
          <w:sz w:val="22"/>
          <w:szCs w:val="22"/>
          <w:lang w:eastAsia="en-US"/>
        </w:rPr>
      </w:pPr>
      <w:r w:rsidRPr="00F05339">
        <w:rPr>
          <w:rFonts w:ascii="Arial" w:eastAsia="Calibri" w:hAnsi="Arial" w:cs="Arial"/>
          <w:sz w:val="22"/>
          <w:szCs w:val="22"/>
          <w:lang w:eastAsia="en-US"/>
        </w:rPr>
        <w:t>MAMA-MEA (finished in 2021) developed an innovative additive layer-deposition process using a single, continuous roll-to-roll MEA manufacturing process for the PEM FCs. The first two MEA prototypes have been assembled into rainbow stacks and their testing has been performed successfully.</w:t>
      </w:r>
    </w:p>
    <w:p w14:paraId="4D14B810" w14:textId="77777777" w:rsidR="00554B16" w:rsidRPr="00F05339" w:rsidRDefault="00554B16" w:rsidP="00554B16">
      <w:pPr>
        <w:pStyle w:val="BodyText"/>
        <w:jc w:val="both"/>
        <w:rPr>
          <w:rFonts w:ascii="Arial" w:eastAsia="Calibri" w:hAnsi="Arial" w:cs="Arial"/>
          <w:sz w:val="22"/>
          <w:szCs w:val="22"/>
          <w:lang w:eastAsia="en-US"/>
        </w:rPr>
      </w:pPr>
      <w:r w:rsidRPr="00F05339">
        <w:rPr>
          <w:rFonts w:ascii="Arial" w:eastAsia="Calibri" w:hAnsi="Arial" w:cs="Arial"/>
          <w:sz w:val="22"/>
          <w:szCs w:val="22"/>
          <w:lang w:eastAsia="en-US"/>
        </w:rPr>
        <w:t xml:space="preserve">Cell3Ditor developed a 3D-printing technique for the fabrication of SOFCs. A hybrid industrial printing machine, now commercially available, </w:t>
      </w:r>
      <w:proofErr w:type="gramStart"/>
      <w:r w:rsidRPr="00F05339">
        <w:rPr>
          <w:rFonts w:ascii="Arial" w:eastAsia="Calibri" w:hAnsi="Arial" w:cs="Arial"/>
          <w:sz w:val="22"/>
          <w:szCs w:val="22"/>
          <w:lang w:eastAsia="en-US"/>
        </w:rPr>
        <w:t>is able to</w:t>
      </w:r>
      <w:proofErr w:type="gramEnd"/>
      <w:r w:rsidRPr="00F05339">
        <w:rPr>
          <w:rFonts w:ascii="Arial" w:eastAsia="Calibri" w:hAnsi="Arial" w:cs="Arial"/>
          <w:sz w:val="22"/>
          <w:szCs w:val="22"/>
          <w:lang w:eastAsia="en-US"/>
        </w:rPr>
        <w:t xml:space="preserve"> print complete cells and stacks. The environmental impact of the new 3D-printing method has been assessed through LCA and deemed more favourable than conventional SOFC manufacturing techniques.</w:t>
      </w:r>
    </w:p>
    <w:p w14:paraId="2EE613E8" w14:textId="7375F316" w:rsidR="00554B16" w:rsidRPr="00F05339" w:rsidRDefault="00554B16" w:rsidP="00554B16">
      <w:pPr>
        <w:pStyle w:val="BodyText"/>
        <w:jc w:val="both"/>
        <w:rPr>
          <w:rFonts w:ascii="Arial" w:eastAsia="Calibri" w:hAnsi="Arial" w:cs="Arial"/>
          <w:sz w:val="22"/>
          <w:szCs w:val="22"/>
          <w:lang w:eastAsia="en-US"/>
        </w:rPr>
      </w:pPr>
      <w:r w:rsidRPr="00F05339">
        <w:rPr>
          <w:rFonts w:ascii="Arial" w:eastAsia="Calibri" w:hAnsi="Arial" w:cs="Arial"/>
          <w:sz w:val="22"/>
          <w:szCs w:val="22"/>
          <w:lang w:eastAsia="en-US"/>
        </w:rPr>
        <w:t>NewSOC is aiming to significantly improve the performance, durability, and cost competitiveness of solid oxide cells and stacks compared to the current</w:t>
      </w:r>
      <w:r w:rsidR="00DF6CB9">
        <w:rPr>
          <w:rFonts w:ascii="Arial" w:eastAsia="Calibri" w:hAnsi="Arial" w:cs="Arial"/>
          <w:sz w:val="22"/>
          <w:szCs w:val="22"/>
          <w:lang w:eastAsia="en-US"/>
        </w:rPr>
        <w:t xml:space="preserve"> state-of-the-art (</w:t>
      </w:r>
      <w:r w:rsidRPr="00F05339">
        <w:rPr>
          <w:rFonts w:ascii="Arial" w:eastAsia="Calibri" w:hAnsi="Arial" w:cs="Arial"/>
          <w:sz w:val="22"/>
          <w:szCs w:val="22"/>
          <w:lang w:eastAsia="en-US"/>
        </w:rPr>
        <w:t>SoA</w:t>
      </w:r>
      <w:r w:rsidR="00DF6CB9">
        <w:rPr>
          <w:rFonts w:ascii="Arial" w:eastAsia="Calibri" w:hAnsi="Arial" w:cs="Arial"/>
          <w:sz w:val="22"/>
          <w:szCs w:val="22"/>
          <w:lang w:eastAsia="en-US"/>
        </w:rPr>
        <w:t>)</w:t>
      </w:r>
      <w:r w:rsidRPr="00F05339">
        <w:rPr>
          <w:rFonts w:ascii="Arial" w:eastAsia="Calibri" w:hAnsi="Arial" w:cs="Arial"/>
          <w:sz w:val="22"/>
          <w:szCs w:val="22"/>
          <w:lang w:eastAsia="en-US"/>
        </w:rPr>
        <w:t xml:space="preserve">. </w:t>
      </w:r>
      <w:r w:rsidRPr="00F05339">
        <w:rPr>
          <w:rFonts w:ascii="Arial" w:eastAsia="Calibri" w:hAnsi="Arial" w:cs="Arial"/>
          <w:sz w:val="22"/>
          <w:szCs w:val="22"/>
          <w:lang w:eastAsia="en-US"/>
        </w:rPr>
        <w:lastRenderedPageBreak/>
        <w:t xml:space="preserve">The project has five industrial partners offering finite SOFC products. It will develop several actions targeted at developing innovative architectures based on conventional materials. It will also test new materials with enhanced performance and new manufacturing processes providing products with excellent durability and better environmental performances, using less raw materials. </w:t>
      </w:r>
    </w:p>
    <w:p w14:paraId="4B9679CE" w14:textId="77777777" w:rsidR="00554B16" w:rsidRPr="00F05339" w:rsidRDefault="00554B16" w:rsidP="00554B16">
      <w:pPr>
        <w:spacing w:line="240" w:lineRule="auto"/>
        <w:jc w:val="both"/>
        <w:rPr>
          <w:rFonts w:ascii="Arial" w:hAnsi="Arial" w:cs="Arial"/>
        </w:rPr>
      </w:pPr>
      <w:r w:rsidRPr="00F05339">
        <w:rPr>
          <w:rFonts w:ascii="Arial" w:hAnsi="Arial" w:cs="Arial"/>
        </w:rPr>
        <w:t>By increasing the automation level of the production process, the qSOFC project has significantly driven down the production cost of SOFCs for an Elcogen SOFC design. A purposely developed new automated machine vision inspection system was used to improve the quality assurance processes. Development of time-saving stack conditioning procedures led to a reduction of the order of 75 %.</w:t>
      </w:r>
      <w:bookmarkStart w:id="75" w:name="_Toc534877359"/>
      <w:bookmarkStart w:id="76" w:name="_Toc534893978"/>
    </w:p>
    <w:bookmarkEnd w:id="75"/>
    <w:bookmarkEnd w:id="76"/>
    <w:p w14:paraId="66CBBB76" w14:textId="061EEBB6" w:rsidR="00554B16" w:rsidRPr="00F05339" w:rsidRDefault="00554B16" w:rsidP="00554B16">
      <w:pPr>
        <w:pStyle w:val="BodyText"/>
        <w:spacing w:before="0" w:after="0"/>
        <w:jc w:val="both"/>
        <w:rPr>
          <w:rFonts w:ascii="Arial" w:eastAsia="Calibri" w:hAnsi="Arial" w:cs="Arial"/>
          <w:sz w:val="22"/>
          <w:szCs w:val="22"/>
          <w:lang w:eastAsia="en-US"/>
        </w:rPr>
      </w:pPr>
      <w:r w:rsidRPr="00F05339">
        <w:rPr>
          <w:rFonts w:ascii="Arial" w:eastAsia="Calibri" w:hAnsi="Arial" w:cs="Arial"/>
          <w:sz w:val="22"/>
          <w:szCs w:val="22"/>
          <w:lang w:eastAsia="en-US"/>
        </w:rPr>
        <w:t>The finished INNOSOFC project has developed an innovative 50-kW SOFC system based on an all-European value chain</w:t>
      </w:r>
      <w:r w:rsidRPr="00F05339" w:rsidDel="003B3921">
        <w:rPr>
          <w:rFonts w:ascii="Arial" w:eastAsia="Calibri" w:hAnsi="Arial" w:cs="Arial"/>
          <w:sz w:val="22"/>
          <w:szCs w:val="22"/>
          <w:lang w:eastAsia="en-US"/>
        </w:rPr>
        <w:t xml:space="preserve"> </w:t>
      </w:r>
      <w:r w:rsidRPr="00F05339">
        <w:rPr>
          <w:rFonts w:ascii="Arial" w:eastAsia="Calibri" w:hAnsi="Arial" w:cs="Arial"/>
          <w:sz w:val="22"/>
          <w:szCs w:val="22"/>
          <w:lang w:eastAsia="en-US"/>
        </w:rPr>
        <w:t xml:space="preserve">(an Elcogen stack and Convion system). The project identified three niche applications with EU market potential under current energy prices: small server rooms, smart grid CHP, and bio-CHP. System calculations and preliminary field tests confirm that the targeted performance of the 50-kW SOFC system developed has been achieved with 61.4 % electrical and 81 % CHP system efficiencies. In addition, (and based on successful results in the JU projects) Elcogen has received a EUR 12 million European Investment Bank quasi-equity loan facility for expanding research capacity and manufacturing. A new factory with a capacity target of 50 MW/year will </w:t>
      </w:r>
      <w:proofErr w:type="gramStart"/>
      <w:r w:rsidRPr="00F05339">
        <w:rPr>
          <w:rFonts w:ascii="Arial" w:eastAsia="Calibri" w:hAnsi="Arial" w:cs="Arial"/>
          <w:sz w:val="22"/>
          <w:szCs w:val="22"/>
          <w:lang w:eastAsia="en-US"/>
        </w:rPr>
        <w:t>be located in</w:t>
      </w:r>
      <w:proofErr w:type="gramEnd"/>
      <w:r w:rsidRPr="00F05339">
        <w:rPr>
          <w:rFonts w:ascii="Arial" w:eastAsia="Calibri" w:hAnsi="Arial" w:cs="Arial"/>
          <w:sz w:val="22"/>
          <w:szCs w:val="22"/>
          <w:lang w:eastAsia="en-US"/>
        </w:rPr>
        <w:t xml:space="preserve"> Tallinn (EE).</w:t>
      </w:r>
    </w:p>
    <w:p w14:paraId="30E37FBA" w14:textId="77777777" w:rsidR="00554B16" w:rsidRPr="00F05339" w:rsidRDefault="00554B16" w:rsidP="00554B16">
      <w:pPr>
        <w:pStyle w:val="Heading4"/>
        <w:spacing w:before="100" w:beforeAutospacing="1" w:after="100" w:afterAutospacing="1" w:line="240" w:lineRule="auto"/>
        <w:ind w:left="864" w:hanging="864"/>
        <w:jc w:val="both"/>
        <w:rPr>
          <w:rFonts w:ascii="Arial" w:eastAsia="Times New Roman" w:hAnsi="Arial" w:cs="Arial"/>
          <w:b/>
          <w:bCs/>
          <w:i w:val="0"/>
          <w:noProof/>
          <w:color w:val="auto"/>
          <w:lang w:eastAsia="en-GB"/>
        </w:rPr>
      </w:pPr>
      <w:r w:rsidRPr="00F05339">
        <w:rPr>
          <w:rFonts w:ascii="Arial" w:eastAsia="Times New Roman" w:hAnsi="Arial" w:cs="Arial"/>
          <w:b/>
          <w:bCs/>
          <w:noProof/>
          <w:color w:val="auto"/>
          <w:lang w:eastAsia="en-GB"/>
        </w:rPr>
        <w:t>Degradation, performance and diagnostics</w:t>
      </w:r>
    </w:p>
    <w:p w14:paraId="22A7BE97" w14:textId="77777777" w:rsidR="00554B16" w:rsidRPr="00F05339" w:rsidRDefault="00554B16" w:rsidP="00554B16">
      <w:pPr>
        <w:spacing w:line="240" w:lineRule="auto"/>
        <w:jc w:val="both"/>
        <w:rPr>
          <w:rFonts w:ascii="Arial" w:hAnsi="Arial" w:cs="Arial"/>
        </w:rPr>
      </w:pPr>
      <w:r w:rsidRPr="00F05339">
        <w:rPr>
          <w:rFonts w:ascii="Arial" w:hAnsi="Arial" w:cs="Arial"/>
        </w:rPr>
        <w:t>In this area, projects are aiming to bring the TRL for the investigated technological solutions up to 7 from an initial level of 3.</w:t>
      </w:r>
    </w:p>
    <w:p w14:paraId="18476D4A" w14:textId="77777777" w:rsidR="00554B16" w:rsidRPr="00F05339" w:rsidRDefault="00554B16" w:rsidP="00554B16">
      <w:pPr>
        <w:spacing w:line="240" w:lineRule="auto"/>
        <w:jc w:val="both"/>
        <w:rPr>
          <w:rFonts w:ascii="Arial" w:hAnsi="Arial" w:cs="Arial"/>
        </w:rPr>
      </w:pPr>
      <w:r w:rsidRPr="00F05339">
        <w:rPr>
          <w:rFonts w:ascii="Arial" w:hAnsi="Arial" w:cs="Arial"/>
        </w:rPr>
        <w:t xml:space="preserve">The INSIGHT project built on knowledge developed by past consortia with a well-defined constant core of participants developing different diagnostic tools for SOFCs and PEMFCs across several already finished projects (GENIUS, D-CODE, DESIGN, DIAMOND and HEALTH-CODE). The project is </w:t>
      </w:r>
      <w:proofErr w:type="gramStart"/>
      <w:r w:rsidRPr="00F05339">
        <w:rPr>
          <w:rFonts w:ascii="Arial" w:hAnsi="Arial" w:cs="Arial"/>
        </w:rPr>
        <w:t>finished</w:t>
      </w:r>
      <w:proofErr w:type="gramEnd"/>
      <w:r w:rsidRPr="00F05339">
        <w:rPr>
          <w:rFonts w:ascii="Arial" w:hAnsi="Arial" w:cs="Arial"/>
        </w:rPr>
        <w:t xml:space="preserve"> and positive technical results have been achieved. The combined project targets of a 5 % lifetime increase at the expense of a maximum increase of 3 % for system cost have been reached. A significant experimental result from INSIGHT is the build-up of a library of data linked to typical faults and associated mitigation measurements. </w:t>
      </w:r>
    </w:p>
    <w:p w14:paraId="07387FD6" w14:textId="77777777" w:rsidR="00554B16" w:rsidRPr="00F05339" w:rsidRDefault="00554B16" w:rsidP="00554B16">
      <w:pPr>
        <w:spacing w:line="240" w:lineRule="auto"/>
        <w:jc w:val="both"/>
        <w:rPr>
          <w:rFonts w:ascii="Arial" w:hAnsi="Arial" w:cs="Arial"/>
        </w:rPr>
      </w:pPr>
      <w:r w:rsidRPr="00F05339">
        <w:rPr>
          <w:rFonts w:ascii="Arial" w:hAnsi="Arial" w:cs="Arial"/>
        </w:rPr>
        <w:t xml:space="preserve">Demonstrating the advantages of the large-scale introduction of these diagnostic instruments for both PEM and SOFCs now lies with the RUBY project, which should bring the TRL above level 7. Involving two FC system manufacturers, RUBY is continuing the long sequence of concluded projects already described for INSIGHT. At the end of the project, the tools developed are expected to be integrated into a commercial FC system. </w:t>
      </w:r>
    </w:p>
    <w:p w14:paraId="1D8CE0F4" w14:textId="77777777" w:rsidR="00554B16" w:rsidRPr="00F05339" w:rsidRDefault="00554B16" w:rsidP="00554B16">
      <w:pPr>
        <w:spacing w:line="240" w:lineRule="auto"/>
        <w:jc w:val="both"/>
        <w:rPr>
          <w:rFonts w:ascii="Arial" w:hAnsi="Arial" w:cs="Arial"/>
        </w:rPr>
      </w:pPr>
      <w:r w:rsidRPr="00F05339">
        <w:rPr>
          <w:rFonts w:ascii="Arial" w:hAnsi="Arial" w:cs="Arial"/>
        </w:rPr>
        <w:t xml:space="preserve">The OxiGEN project is developing an all-ceramic stack design and specifications for a modular hotbox for an innovative SOFC platform. It is aiming to build a prototype µ-CHP system with an electrical power capacity of 1kW. Detailed market specifications for residential and small commercial applications have already been defined. </w:t>
      </w:r>
    </w:p>
    <w:p w14:paraId="409EAA8F" w14:textId="77777777" w:rsidR="00554B16" w:rsidRPr="00F05339" w:rsidRDefault="00554B16" w:rsidP="00554B16">
      <w:pPr>
        <w:spacing w:line="240" w:lineRule="auto"/>
        <w:jc w:val="both"/>
        <w:rPr>
          <w:rFonts w:ascii="Arial" w:hAnsi="Arial" w:cs="Arial"/>
        </w:rPr>
      </w:pPr>
      <w:r w:rsidRPr="00F05339">
        <w:rPr>
          <w:rFonts w:ascii="Arial" w:hAnsi="Arial" w:cs="Arial"/>
        </w:rPr>
        <w:t xml:space="preserve">LOWCOST-IC is aiming to apply SoA large-scale roll-to-roll manufacturing to increase the reliability and reduce the cost of interconnects in SOFC. The selection of suitable new materials for metallic interconnects also has the goal of increasing SOFC stack lifetime. The selection of more resistant and cheaper steels which can be incorporated in available Sunfire and SOLIDpower FC stacks is the project’s main goal.  </w:t>
      </w:r>
    </w:p>
    <w:p w14:paraId="22021973" w14:textId="77777777" w:rsidR="00554B16" w:rsidRPr="00F05339" w:rsidRDefault="00554B16" w:rsidP="00554B16">
      <w:pPr>
        <w:spacing w:line="240" w:lineRule="auto"/>
        <w:jc w:val="both"/>
        <w:rPr>
          <w:rFonts w:ascii="Arial" w:hAnsi="Arial" w:cs="Arial"/>
        </w:rPr>
      </w:pPr>
      <w:r w:rsidRPr="00F05339">
        <w:rPr>
          <w:rFonts w:ascii="Arial" w:hAnsi="Arial" w:cs="Arial"/>
        </w:rPr>
        <w:t xml:space="preserve">GRASSHOPPER aims to test a new concept for an MW-size PEM FC plant unit. The objective is to provide more cost-effective and flexible grid support in its power output. Modelling and validations have been completed and have been instrumental in achieving an innovative stack design. The targeted CAPEX is below EUR 1 500 kWe for the FC at a yearly production rate </w:t>
      </w:r>
      <w:r w:rsidRPr="00F05339">
        <w:rPr>
          <w:rFonts w:ascii="Arial" w:hAnsi="Arial" w:cs="Arial"/>
        </w:rPr>
        <w:lastRenderedPageBreak/>
        <w:t>of 25 MWe. The newly developed MEA has higher durability with lower Pt loadings. The pilot plant 100-kW prototype system is expected to be fully tested soon.</w:t>
      </w:r>
    </w:p>
    <w:p w14:paraId="45972107" w14:textId="77777777" w:rsidR="00554B16" w:rsidRPr="00F05339" w:rsidRDefault="00554B16" w:rsidP="00554B16">
      <w:pPr>
        <w:spacing w:line="240" w:lineRule="auto"/>
        <w:jc w:val="both"/>
        <w:rPr>
          <w:rFonts w:ascii="Arial" w:hAnsi="Arial" w:cs="Arial"/>
        </w:rPr>
      </w:pPr>
      <w:r w:rsidRPr="00F05339">
        <w:rPr>
          <w:rFonts w:ascii="Arial" w:hAnsi="Arial" w:cs="Arial"/>
        </w:rPr>
        <w:t xml:space="preserve">Waste2Watts will design and engineer an integrated biogas-SOFC CHP system with minimal gas pre-processing, focusing on low-cost biogas pollutant removal and optimal thermal system integration. The project is addressing unutilised biogas produced by millions of farms and bio-wastes from municipalities. The aim is to perform a test campaign using representative test gases with viable reforming catalysts and SOFC stacks. EMPOWER is aiming to develop a micro-CHP system fed by methanol and based on HT-PEMFC. The project is still designing and testing sub-components. </w:t>
      </w:r>
    </w:p>
    <w:p w14:paraId="51DAD1A0" w14:textId="77777777" w:rsidR="00554B16" w:rsidRPr="00F05339" w:rsidRDefault="00554B16" w:rsidP="00243CE5">
      <w:pPr>
        <w:pStyle w:val="Heading3"/>
        <w:numPr>
          <w:ilvl w:val="3"/>
          <w:numId w:val="1"/>
        </w:numPr>
        <w:jc w:val="both"/>
        <w:rPr>
          <w:rFonts w:ascii="Arial" w:hAnsi="Arial" w:cs="Arial"/>
        </w:rPr>
      </w:pPr>
      <w:bookmarkStart w:id="77" w:name="_Toc98496331"/>
      <w:bookmarkStart w:id="78" w:name="_Toc101516054"/>
      <w:r w:rsidRPr="00F05339">
        <w:rPr>
          <w:rFonts w:ascii="Arial" w:hAnsi="Arial" w:cs="Arial"/>
        </w:rPr>
        <w:t>Hydrogen for sectoral integration</w:t>
      </w:r>
      <w:bookmarkStart w:id="79" w:name="_Toc1656547"/>
      <w:bookmarkEnd w:id="77"/>
      <w:bookmarkEnd w:id="78"/>
    </w:p>
    <w:p w14:paraId="52A8B6EC" w14:textId="228B3FA7" w:rsidR="00554B16" w:rsidRPr="00F05339" w:rsidRDefault="00554B16" w:rsidP="00554B16">
      <w:pPr>
        <w:spacing w:line="240" w:lineRule="auto"/>
        <w:jc w:val="both"/>
        <w:rPr>
          <w:rFonts w:ascii="Arial" w:hAnsi="Arial" w:cs="Arial"/>
        </w:rPr>
      </w:pPr>
      <w:r w:rsidRPr="00F05339">
        <w:rPr>
          <w:rFonts w:ascii="Arial" w:hAnsi="Arial" w:cs="Arial"/>
        </w:rPr>
        <w:t>The projects in this area contribute towards achieving the techno-economic objectives of making hydrogen production from renewables competitive, demonstrating hydrogen as a medium for energy storage, and sector coupling. This part of the energy pillar is aimed mainly at reducing costs and improving the efficiency of hydrogen production, with a clear focus on demonstrating large-scale electrolysers. The topics supported by FCH-JU are:</w:t>
      </w:r>
    </w:p>
    <w:p w14:paraId="2D7E66BC" w14:textId="77777777" w:rsidR="00554B16" w:rsidRPr="00F05339" w:rsidRDefault="00554B16" w:rsidP="002672A0">
      <w:pPr>
        <w:pStyle w:val="ListParagraph"/>
        <w:numPr>
          <w:ilvl w:val="0"/>
          <w:numId w:val="20"/>
        </w:numPr>
        <w:spacing w:before="120" w:after="120" w:line="240" w:lineRule="auto"/>
        <w:jc w:val="both"/>
        <w:rPr>
          <w:rFonts w:ascii="Arial" w:hAnsi="Arial" w:cs="Arial"/>
        </w:rPr>
      </w:pPr>
      <w:r w:rsidRPr="00F05339">
        <w:rPr>
          <w:rFonts w:ascii="Arial" w:hAnsi="Arial" w:cs="Arial"/>
        </w:rPr>
        <w:t>Low-temperature electrolysis</w:t>
      </w:r>
    </w:p>
    <w:p w14:paraId="6537FC75" w14:textId="77777777" w:rsidR="00554B16" w:rsidRPr="00F05339" w:rsidRDefault="00554B16" w:rsidP="002672A0">
      <w:pPr>
        <w:pStyle w:val="ListParagraph"/>
        <w:numPr>
          <w:ilvl w:val="0"/>
          <w:numId w:val="20"/>
        </w:numPr>
        <w:spacing w:before="120" w:after="120" w:line="240" w:lineRule="auto"/>
        <w:jc w:val="both"/>
        <w:rPr>
          <w:rFonts w:ascii="Arial" w:hAnsi="Arial" w:cs="Arial"/>
        </w:rPr>
      </w:pPr>
      <w:r w:rsidRPr="00F05339">
        <w:rPr>
          <w:rFonts w:ascii="Arial" w:hAnsi="Arial" w:cs="Arial"/>
        </w:rPr>
        <w:t>High-temperature electrolysis (incl. co-electrolysis)</w:t>
      </w:r>
    </w:p>
    <w:p w14:paraId="2FDCFD41" w14:textId="77777777" w:rsidR="00554B16" w:rsidRPr="00F05339" w:rsidRDefault="00554B16" w:rsidP="002672A0">
      <w:pPr>
        <w:pStyle w:val="ListParagraph"/>
        <w:numPr>
          <w:ilvl w:val="0"/>
          <w:numId w:val="20"/>
        </w:numPr>
        <w:spacing w:before="120" w:after="120" w:line="240" w:lineRule="auto"/>
        <w:jc w:val="both"/>
        <w:rPr>
          <w:rFonts w:ascii="Arial" w:hAnsi="Arial" w:cs="Arial"/>
        </w:rPr>
      </w:pPr>
      <w:r w:rsidRPr="00F05339">
        <w:rPr>
          <w:rFonts w:ascii="Arial" w:hAnsi="Arial" w:cs="Arial"/>
        </w:rPr>
        <w:t>Other production routes</w:t>
      </w:r>
    </w:p>
    <w:p w14:paraId="4BEC7DE8" w14:textId="77777777" w:rsidR="00554B16" w:rsidRPr="00F05339" w:rsidRDefault="00554B16" w:rsidP="002672A0">
      <w:pPr>
        <w:pStyle w:val="ListParagraph"/>
        <w:numPr>
          <w:ilvl w:val="0"/>
          <w:numId w:val="20"/>
        </w:numPr>
        <w:spacing w:before="120" w:after="120" w:line="240" w:lineRule="auto"/>
        <w:jc w:val="both"/>
        <w:rPr>
          <w:rFonts w:ascii="Arial" w:hAnsi="Arial" w:cs="Arial"/>
        </w:rPr>
      </w:pPr>
      <w:r w:rsidRPr="00F05339">
        <w:rPr>
          <w:rFonts w:ascii="Arial" w:hAnsi="Arial" w:cs="Arial"/>
        </w:rPr>
        <w:t xml:space="preserve">Hydrogen storage and distribution, </w:t>
      </w:r>
      <w:proofErr w:type="gramStart"/>
      <w:r w:rsidRPr="00F05339">
        <w:rPr>
          <w:rFonts w:ascii="Arial" w:hAnsi="Arial" w:cs="Arial"/>
        </w:rPr>
        <w:t>purification</w:t>
      </w:r>
      <w:proofErr w:type="gramEnd"/>
      <w:r w:rsidRPr="00F05339">
        <w:rPr>
          <w:rFonts w:ascii="Arial" w:hAnsi="Arial" w:cs="Arial"/>
        </w:rPr>
        <w:t xml:space="preserve"> and admixture</w:t>
      </w:r>
    </w:p>
    <w:p w14:paraId="4AA6F836" w14:textId="77777777" w:rsidR="00554B16" w:rsidRPr="00F05339" w:rsidRDefault="00554B16" w:rsidP="002672A0">
      <w:pPr>
        <w:pStyle w:val="ListParagraph"/>
        <w:numPr>
          <w:ilvl w:val="0"/>
          <w:numId w:val="20"/>
        </w:numPr>
        <w:spacing w:before="120" w:after="120" w:line="240" w:lineRule="auto"/>
        <w:jc w:val="both"/>
        <w:rPr>
          <w:rFonts w:ascii="Arial" w:hAnsi="Arial" w:cs="Arial"/>
        </w:rPr>
      </w:pPr>
      <w:r w:rsidRPr="00F05339">
        <w:rPr>
          <w:rFonts w:ascii="Arial" w:hAnsi="Arial" w:cs="Arial"/>
        </w:rPr>
        <w:t>Hydrogen territories.</w:t>
      </w:r>
    </w:p>
    <w:bookmarkEnd w:id="79"/>
    <w:p w14:paraId="028CFBAC" w14:textId="42E16711" w:rsidR="00554B16" w:rsidRDefault="00554B16" w:rsidP="00554B16">
      <w:pPr>
        <w:spacing w:line="240" w:lineRule="auto"/>
        <w:jc w:val="both"/>
        <w:rPr>
          <w:rFonts w:ascii="Arial" w:hAnsi="Arial" w:cs="Arial"/>
        </w:rPr>
      </w:pPr>
      <w:r w:rsidRPr="00F05339">
        <w:rPr>
          <w:rFonts w:ascii="Arial" w:hAnsi="Arial" w:cs="Arial"/>
        </w:rPr>
        <w:t>Following the calls between 2008 and 2020, the JU supported 74 projects relevant to this area with a total contribution of EUR 239.3 million plus a contribution of EUR 227.1 million from partners. As shown in</w:t>
      </w:r>
      <w:r w:rsidR="00FA59DE">
        <w:rPr>
          <w:rFonts w:ascii="Arial" w:hAnsi="Arial" w:cs="Arial"/>
        </w:rPr>
        <w:t xml:space="preserve"> </w:t>
      </w:r>
      <w:r w:rsidR="00FA59DE">
        <w:rPr>
          <w:rFonts w:ascii="Arial" w:hAnsi="Arial" w:cs="Arial"/>
        </w:rPr>
        <w:fldChar w:fldCharType="begin"/>
      </w:r>
      <w:r w:rsidR="00FA59DE">
        <w:rPr>
          <w:rFonts w:ascii="Arial" w:hAnsi="Arial" w:cs="Arial"/>
        </w:rPr>
        <w:instrText xml:space="preserve"> REF _Ref98499911 \h  \* MERGEFORMAT </w:instrText>
      </w:r>
      <w:r w:rsidR="00FA59DE">
        <w:rPr>
          <w:rFonts w:ascii="Arial" w:hAnsi="Arial" w:cs="Arial"/>
        </w:rPr>
      </w:r>
      <w:r w:rsidR="00FA59DE">
        <w:rPr>
          <w:rFonts w:ascii="Arial" w:hAnsi="Arial" w:cs="Arial"/>
        </w:rPr>
        <w:fldChar w:fldCharType="separate"/>
      </w:r>
      <w:r w:rsidR="003068B5" w:rsidRPr="000A1D52">
        <w:rPr>
          <w:rFonts w:ascii="Arial" w:hAnsi="Arial" w:cs="Arial"/>
        </w:rPr>
        <w:t>Figure 12</w:t>
      </w:r>
      <w:r w:rsidR="00FA59DE">
        <w:rPr>
          <w:rFonts w:ascii="Arial" w:hAnsi="Arial" w:cs="Arial"/>
        </w:rPr>
        <w:fldChar w:fldCharType="end"/>
      </w:r>
      <w:r w:rsidRPr="00F05339">
        <w:rPr>
          <w:rFonts w:ascii="Arial" w:hAnsi="Arial" w:cs="Arial"/>
        </w:rPr>
        <w:t>, 59 % of JU funding went to electrolysis (38 % of JU funds supported LT electrolysis and 21 % supported HT electrolysis).</w:t>
      </w:r>
    </w:p>
    <w:p w14:paraId="6391A006" w14:textId="77777777" w:rsidR="007D0BC3" w:rsidRDefault="007D0BC3" w:rsidP="007D0BC3">
      <w:pPr>
        <w:keepNext/>
        <w:spacing w:line="240" w:lineRule="auto"/>
        <w:jc w:val="both"/>
      </w:pPr>
      <w:r>
        <w:rPr>
          <w:noProof/>
          <w:lang w:eastAsia="en-GB"/>
        </w:rPr>
        <w:drawing>
          <wp:inline distT="0" distB="0" distL="0" distR="0" wp14:anchorId="4D1EA791" wp14:editId="53E11839">
            <wp:extent cx="5760720" cy="2838450"/>
            <wp:effectExtent l="0" t="0" r="0" b="0"/>
            <wp:docPr id="23" name="Picture 2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10;&#10;Description automatically generated"/>
                    <pic:cNvPicPr/>
                  </pic:nvPicPr>
                  <pic:blipFill>
                    <a:blip r:embed="rId30"/>
                    <a:stretch>
                      <a:fillRect/>
                    </a:stretch>
                  </pic:blipFill>
                  <pic:spPr>
                    <a:xfrm>
                      <a:off x="0" y="0"/>
                      <a:ext cx="5760720" cy="2838450"/>
                    </a:xfrm>
                    <a:prstGeom prst="rect">
                      <a:avLst/>
                    </a:prstGeom>
                  </pic:spPr>
                </pic:pic>
              </a:graphicData>
            </a:graphic>
          </wp:inline>
        </w:drawing>
      </w:r>
    </w:p>
    <w:p w14:paraId="1AD7D23D" w14:textId="1F8FB327" w:rsidR="007D0BC3" w:rsidRPr="00F05339" w:rsidRDefault="007D0BC3" w:rsidP="007D0BC3">
      <w:pPr>
        <w:pStyle w:val="Caption"/>
        <w:jc w:val="both"/>
        <w:rPr>
          <w:rFonts w:ascii="Arial" w:hAnsi="Arial" w:cs="Arial"/>
        </w:rPr>
      </w:pPr>
      <w:bookmarkStart w:id="80" w:name="_Ref98499911"/>
      <w:bookmarkStart w:id="81" w:name="_Ref98499907"/>
      <w:r>
        <w:t xml:space="preserve">Figure </w:t>
      </w:r>
      <w:fldSimple w:instr=" SEQ Figure \* ARABIC ">
        <w:r w:rsidR="003068B5">
          <w:rPr>
            <w:noProof/>
          </w:rPr>
          <w:t>12</w:t>
        </w:r>
      </w:fldSimple>
      <w:bookmarkEnd w:id="80"/>
      <w:r>
        <w:t>: Funding for Panel 5 (h</w:t>
      </w:r>
      <w:r w:rsidR="00A92564">
        <w:t>yd</w:t>
      </w:r>
      <w:r>
        <w:t>rogen for sectoral integration), 2008-2020</w:t>
      </w:r>
      <w:bookmarkEnd w:id="81"/>
    </w:p>
    <w:p w14:paraId="759FB6F8" w14:textId="355C4B79" w:rsidR="00554B16" w:rsidRPr="00F05339" w:rsidRDefault="00554B16" w:rsidP="00554B16">
      <w:pPr>
        <w:spacing w:line="240" w:lineRule="auto"/>
        <w:jc w:val="both"/>
        <w:rPr>
          <w:rFonts w:ascii="Arial" w:hAnsi="Arial" w:cs="Arial"/>
        </w:rPr>
      </w:pPr>
      <w:r w:rsidRPr="00F05339">
        <w:rPr>
          <w:rFonts w:ascii="Arial" w:hAnsi="Arial" w:cs="Arial"/>
        </w:rPr>
        <w:fldChar w:fldCharType="begin"/>
      </w:r>
      <w:r w:rsidRPr="00F05339">
        <w:rPr>
          <w:rFonts w:ascii="Arial" w:hAnsi="Arial" w:cs="Arial"/>
        </w:rPr>
        <w:instrText xml:space="preserve"> REF _Ref98090152 \h  \* MERGEFORMAT </w:instrText>
      </w:r>
      <w:r w:rsidRPr="00F05339">
        <w:rPr>
          <w:rFonts w:ascii="Arial" w:hAnsi="Arial" w:cs="Arial"/>
        </w:rPr>
      </w:r>
      <w:r w:rsidRPr="00F05339">
        <w:rPr>
          <w:rFonts w:ascii="Arial" w:hAnsi="Arial" w:cs="Arial"/>
        </w:rPr>
        <w:fldChar w:fldCharType="separate"/>
      </w:r>
      <w:r w:rsidR="003068B5" w:rsidRPr="00F05339">
        <w:rPr>
          <w:rFonts w:ascii="Arial" w:hAnsi="Arial" w:cs="Arial"/>
        </w:rPr>
        <w:t xml:space="preserve">Figure </w:t>
      </w:r>
      <w:r w:rsidR="003068B5">
        <w:rPr>
          <w:rFonts w:ascii="Arial" w:hAnsi="Arial" w:cs="Arial"/>
          <w:noProof/>
        </w:rPr>
        <w:t>13</w:t>
      </w:r>
      <w:r w:rsidRPr="00F05339">
        <w:rPr>
          <w:rFonts w:ascii="Arial" w:hAnsi="Arial" w:cs="Arial"/>
        </w:rPr>
        <w:fldChar w:fldCharType="end"/>
      </w:r>
      <w:r w:rsidRPr="00F05339">
        <w:rPr>
          <w:rFonts w:ascii="Arial" w:hAnsi="Arial" w:cs="Arial"/>
        </w:rPr>
        <w:t xml:space="preserve"> provides an overview of some of the most relevant electrolysis demonstration projects. In 2011, the activities of the JU started with project DON QUICHOTE</w:t>
      </w:r>
      <w:r w:rsidRPr="00F05339">
        <w:rPr>
          <w:rFonts w:ascii="Arial" w:hAnsi="Arial" w:cs="Arial"/>
          <w:vertAlign w:val="superscript"/>
        </w:rPr>
        <w:footnoteReference w:id="25"/>
      </w:r>
      <w:r w:rsidRPr="00F05339">
        <w:rPr>
          <w:rFonts w:ascii="Arial" w:hAnsi="Arial" w:cs="Arial"/>
        </w:rPr>
        <w:t xml:space="preserve"> (PEM </w:t>
      </w:r>
      <w:r w:rsidRPr="00F05339">
        <w:rPr>
          <w:rFonts w:ascii="Arial" w:hAnsi="Arial" w:cs="Arial"/>
        </w:rPr>
        <w:lastRenderedPageBreak/>
        <w:t>technology electrolyser) with a capacity of 150 kW and eight years later REFHYNE</w:t>
      </w:r>
      <w:r w:rsidRPr="00F05339">
        <w:rPr>
          <w:rFonts w:ascii="Arial" w:hAnsi="Arial" w:cs="Arial"/>
          <w:vertAlign w:val="superscript"/>
        </w:rPr>
        <w:footnoteReference w:id="26"/>
      </w:r>
      <w:r w:rsidRPr="00F05339">
        <w:rPr>
          <w:rFonts w:ascii="Arial" w:hAnsi="Arial" w:cs="Arial"/>
        </w:rPr>
        <w:t xml:space="preserve"> project will install a 10 MW PEM electrolyser, which is an increase of almost two orders of magnitude. The DJEWELS</w:t>
      </w:r>
      <w:r w:rsidRPr="00F05339">
        <w:rPr>
          <w:rFonts w:ascii="Arial" w:hAnsi="Arial" w:cs="Arial"/>
          <w:vertAlign w:val="superscript"/>
        </w:rPr>
        <w:footnoteReference w:id="27"/>
      </w:r>
      <w:r w:rsidRPr="00F05339">
        <w:rPr>
          <w:rFonts w:ascii="Arial" w:hAnsi="Arial" w:cs="Arial"/>
          <w:vertAlign w:val="superscript"/>
        </w:rPr>
        <w:t xml:space="preserve"> </w:t>
      </w:r>
      <w:r w:rsidRPr="00F05339">
        <w:rPr>
          <w:rFonts w:ascii="Arial" w:hAnsi="Arial" w:cs="Arial"/>
        </w:rPr>
        <w:t xml:space="preserve">project will install an alkaline electrolyser with a capacity of 20 MW. Over the same period, JU support per MW installed has reduced by a factor of 100. </w:t>
      </w:r>
    </w:p>
    <w:p w14:paraId="0B3B3EDC" w14:textId="77777777" w:rsidR="00554B16" w:rsidRPr="00F05339" w:rsidRDefault="00554B16" w:rsidP="00554B16">
      <w:pPr>
        <w:spacing w:line="240" w:lineRule="auto"/>
        <w:ind w:hanging="284"/>
        <w:jc w:val="both"/>
        <w:rPr>
          <w:rFonts w:ascii="Arial" w:hAnsi="Arial" w:cs="Arial"/>
        </w:rPr>
      </w:pPr>
      <w:r w:rsidRPr="00F05339">
        <w:rPr>
          <w:rFonts w:ascii="Arial" w:hAnsi="Arial" w:cs="Arial"/>
          <w:noProof/>
          <w:lang w:eastAsia="en-GB"/>
        </w:rPr>
        <w:drawing>
          <wp:inline distT="0" distB="0" distL="0" distR="0" wp14:anchorId="5B70CBF1" wp14:editId="114CD377">
            <wp:extent cx="5731510" cy="2833370"/>
            <wp:effectExtent l="0" t="0" r="2540" b="5080"/>
            <wp:docPr id="19" name="Picture 1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10;&#10;Description automatically generated"/>
                    <pic:cNvPicPr/>
                  </pic:nvPicPr>
                  <pic:blipFill>
                    <a:blip r:embed="rId31"/>
                    <a:stretch>
                      <a:fillRect/>
                    </a:stretch>
                  </pic:blipFill>
                  <pic:spPr>
                    <a:xfrm>
                      <a:off x="0" y="0"/>
                      <a:ext cx="5731510" cy="2833370"/>
                    </a:xfrm>
                    <a:prstGeom prst="rect">
                      <a:avLst/>
                    </a:prstGeom>
                  </pic:spPr>
                </pic:pic>
              </a:graphicData>
            </a:graphic>
          </wp:inline>
        </w:drawing>
      </w:r>
    </w:p>
    <w:p w14:paraId="7AE74493" w14:textId="007CC082" w:rsidR="00554B16" w:rsidRPr="00F05339" w:rsidRDefault="00554B16" w:rsidP="00554B16">
      <w:pPr>
        <w:pStyle w:val="Caption"/>
        <w:jc w:val="both"/>
        <w:rPr>
          <w:rFonts w:ascii="Arial" w:hAnsi="Arial" w:cs="Arial"/>
        </w:rPr>
      </w:pPr>
      <w:bookmarkStart w:id="82" w:name="_Ref98090152"/>
      <w:bookmarkStart w:id="83" w:name="_Ref62738817"/>
      <w:r w:rsidRPr="00F05339">
        <w:rPr>
          <w:rFonts w:ascii="Arial" w:hAnsi="Arial" w:cs="Arial"/>
        </w:rPr>
        <w:t xml:space="preserve">Figure </w:t>
      </w:r>
      <w:r w:rsidR="00B46C9D" w:rsidRPr="00F05339">
        <w:rPr>
          <w:rFonts w:ascii="Arial" w:hAnsi="Arial" w:cs="Arial"/>
        </w:rPr>
        <w:fldChar w:fldCharType="begin"/>
      </w:r>
      <w:r w:rsidR="00B46C9D" w:rsidRPr="00F05339">
        <w:rPr>
          <w:rFonts w:ascii="Arial" w:hAnsi="Arial" w:cs="Arial"/>
        </w:rPr>
        <w:instrText xml:space="preserve"> SEQ Figure \* ARABIC </w:instrText>
      </w:r>
      <w:r w:rsidR="00B46C9D" w:rsidRPr="00F05339">
        <w:rPr>
          <w:rFonts w:ascii="Arial" w:hAnsi="Arial" w:cs="Arial"/>
        </w:rPr>
        <w:fldChar w:fldCharType="separate"/>
      </w:r>
      <w:r w:rsidR="003068B5">
        <w:rPr>
          <w:rFonts w:ascii="Arial" w:hAnsi="Arial" w:cs="Arial"/>
          <w:noProof/>
        </w:rPr>
        <w:t>13</w:t>
      </w:r>
      <w:r w:rsidR="00B46C9D" w:rsidRPr="00F05339">
        <w:rPr>
          <w:rFonts w:ascii="Arial" w:hAnsi="Arial" w:cs="Arial"/>
          <w:noProof/>
        </w:rPr>
        <w:fldChar w:fldCharType="end"/>
      </w:r>
      <w:bookmarkEnd w:id="82"/>
      <w:r w:rsidRPr="00F05339">
        <w:rPr>
          <w:rFonts w:ascii="Arial" w:hAnsi="Arial" w:cs="Arial"/>
        </w:rPr>
        <w:t xml:space="preserve">: </w:t>
      </w:r>
      <w:bookmarkEnd w:id="83"/>
      <w:r w:rsidRPr="00F05339">
        <w:rPr>
          <w:rFonts w:ascii="Arial" w:hAnsi="Arial" w:cs="Arial"/>
        </w:rPr>
        <w:t>Funding for electrolysis projects since 2008 under FCH JU and FCH 2 JU</w:t>
      </w:r>
    </w:p>
    <w:p w14:paraId="153EC69F" w14:textId="77777777" w:rsidR="00554B16" w:rsidRPr="00F05339" w:rsidRDefault="00554B16" w:rsidP="00FF4AD3">
      <w:pPr>
        <w:rPr>
          <w:rFonts w:ascii="Arial" w:hAnsi="Arial" w:cs="Arial"/>
        </w:rPr>
      </w:pPr>
      <w:r w:rsidRPr="00F05339">
        <w:rPr>
          <w:rFonts w:ascii="Arial" w:hAnsi="Arial" w:cs="Arial"/>
          <w:noProof/>
          <w:lang w:eastAsia="en-GB"/>
        </w:rPr>
        <w:drawing>
          <wp:inline distT="0" distB="0" distL="0" distR="0" wp14:anchorId="4B5939D2" wp14:editId="390C12F8">
            <wp:extent cx="6236821" cy="3508125"/>
            <wp:effectExtent l="0" t="0" r="0" b="0"/>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6243615" cy="3511946"/>
                    </a:xfrm>
                    <a:prstGeom prst="rect">
                      <a:avLst/>
                    </a:prstGeom>
                  </pic:spPr>
                </pic:pic>
              </a:graphicData>
            </a:graphic>
          </wp:inline>
        </w:drawing>
      </w:r>
    </w:p>
    <w:p w14:paraId="2456881F" w14:textId="7DB11BB2" w:rsidR="00554B16" w:rsidRPr="00F05339" w:rsidRDefault="00554B16" w:rsidP="00554B16">
      <w:pPr>
        <w:pStyle w:val="Caption"/>
        <w:jc w:val="both"/>
        <w:rPr>
          <w:rFonts w:ascii="Arial" w:hAnsi="Arial" w:cs="Arial"/>
        </w:rPr>
      </w:pPr>
      <w:r w:rsidRPr="00F05339">
        <w:rPr>
          <w:rFonts w:ascii="Arial" w:hAnsi="Arial" w:cs="Arial"/>
        </w:rPr>
        <w:t xml:space="preserve">Figure </w:t>
      </w:r>
      <w:r w:rsidR="00B46C9D" w:rsidRPr="00F05339">
        <w:rPr>
          <w:rFonts w:ascii="Arial" w:hAnsi="Arial" w:cs="Arial"/>
        </w:rPr>
        <w:fldChar w:fldCharType="begin"/>
      </w:r>
      <w:r w:rsidR="00B46C9D" w:rsidRPr="00F05339">
        <w:rPr>
          <w:rFonts w:ascii="Arial" w:hAnsi="Arial" w:cs="Arial"/>
        </w:rPr>
        <w:instrText xml:space="preserve"> SEQ Figure \* ARABIC </w:instrText>
      </w:r>
      <w:r w:rsidR="00B46C9D" w:rsidRPr="00F05339">
        <w:rPr>
          <w:rFonts w:ascii="Arial" w:hAnsi="Arial" w:cs="Arial"/>
        </w:rPr>
        <w:fldChar w:fldCharType="separate"/>
      </w:r>
      <w:r w:rsidR="003068B5">
        <w:rPr>
          <w:rFonts w:ascii="Arial" w:hAnsi="Arial" w:cs="Arial"/>
          <w:noProof/>
        </w:rPr>
        <w:t>14</w:t>
      </w:r>
      <w:r w:rsidR="00B46C9D" w:rsidRPr="00F05339">
        <w:rPr>
          <w:rFonts w:ascii="Arial" w:hAnsi="Arial" w:cs="Arial"/>
          <w:noProof/>
        </w:rPr>
        <w:fldChar w:fldCharType="end"/>
      </w:r>
      <w:r w:rsidRPr="00F05339">
        <w:rPr>
          <w:rFonts w:ascii="Arial" w:hAnsi="Arial" w:cs="Arial"/>
        </w:rPr>
        <w:t xml:space="preserve"> Key low temperature electrolysis demonstration projects</w:t>
      </w:r>
    </w:p>
    <w:p w14:paraId="26B0D63E" w14:textId="77777777" w:rsidR="00554B16" w:rsidRPr="00F05339" w:rsidRDefault="00554B16" w:rsidP="00554B16">
      <w:pPr>
        <w:spacing w:after="0" w:line="240" w:lineRule="auto"/>
        <w:jc w:val="both"/>
        <w:rPr>
          <w:rFonts w:ascii="Arial" w:hAnsi="Arial" w:cs="Arial"/>
        </w:rPr>
      </w:pPr>
      <w:r w:rsidRPr="00F05339">
        <w:rPr>
          <w:rFonts w:ascii="Arial" w:hAnsi="Arial" w:cs="Arial"/>
        </w:rPr>
        <w:lastRenderedPageBreak/>
        <w:t xml:space="preserve">This area currently consists of 12 projects including 3 on anion exchange membrane electrolysis, 2 on alkaline electrolysis, and 6 on PEM electrolysis. One project is focused on the development of testing protocols for grid services. Hydrogen production through electrolysis has also been supported in the transport pillar, where low-temperature electrolysers have been deployed to provide hydrogen for HRS. </w:t>
      </w:r>
    </w:p>
    <w:p w14:paraId="6917DF37" w14:textId="77777777" w:rsidR="00554B16" w:rsidRPr="00F05339" w:rsidRDefault="00554B16" w:rsidP="00554B16">
      <w:pPr>
        <w:spacing w:after="0" w:line="240" w:lineRule="auto"/>
        <w:jc w:val="both"/>
        <w:rPr>
          <w:rFonts w:ascii="Arial" w:hAnsi="Arial" w:cs="Arial"/>
        </w:rPr>
      </w:pPr>
    </w:p>
    <w:p w14:paraId="53DB20E3" w14:textId="77777777" w:rsidR="00554B16" w:rsidRPr="00F05339" w:rsidRDefault="00554B16" w:rsidP="00554B16">
      <w:pPr>
        <w:spacing w:line="240" w:lineRule="auto"/>
        <w:ind w:left="720" w:hanging="720"/>
        <w:jc w:val="both"/>
        <w:rPr>
          <w:rFonts w:ascii="Arial" w:hAnsi="Arial" w:cs="Arial"/>
          <w:b/>
          <w:bCs/>
          <w:i/>
        </w:rPr>
      </w:pPr>
      <w:r w:rsidRPr="00F05339">
        <w:rPr>
          <w:rFonts w:ascii="Arial" w:hAnsi="Arial" w:cs="Arial"/>
          <w:b/>
          <w:bCs/>
          <w:i/>
        </w:rPr>
        <w:t>Alkaline electrolysis</w:t>
      </w:r>
    </w:p>
    <w:p w14:paraId="1889917D" w14:textId="7F9941D8" w:rsidR="00554B16" w:rsidRPr="00F05339" w:rsidRDefault="00554B16" w:rsidP="00554B16">
      <w:pPr>
        <w:spacing w:after="0" w:line="240" w:lineRule="auto"/>
        <w:jc w:val="both"/>
        <w:rPr>
          <w:rFonts w:ascii="Arial" w:hAnsi="Arial" w:cs="Arial"/>
        </w:rPr>
      </w:pPr>
      <w:r w:rsidRPr="00F05339">
        <w:rPr>
          <w:rFonts w:ascii="Arial" w:hAnsi="Arial" w:cs="Arial"/>
        </w:rPr>
        <w:t xml:space="preserve">The Djewels project is </w:t>
      </w:r>
      <w:r w:rsidR="00FA22FB">
        <w:rPr>
          <w:rFonts w:ascii="Arial" w:hAnsi="Arial" w:cs="Arial"/>
        </w:rPr>
        <w:t>building and demonstrating</w:t>
      </w:r>
      <w:r w:rsidR="00FA22FB" w:rsidRPr="00F05339">
        <w:rPr>
          <w:rFonts w:ascii="Arial" w:hAnsi="Arial" w:cs="Arial"/>
        </w:rPr>
        <w:t xml:space="preserve"> </w:t>
      </w:r>
      <w:r w:rsidRPr="00F05339">
        <w:rPr>
          <w:rFonts w:ascii="Arial" w:hAnsi="Arial" w:cs="Arial"/>
        </w:rPr>
        <w:t xml:space="preserve">a 20-MW electrolyser </w:t>
      </w:r>
      <w:proofErr w:type="gramStart"/>
      <w:r w:rsidRPr="00F05339">
        <w:rPr>
          <w:rFonts w:ascii="Arial" w:hAnsi="Arial" w:cs="Arial"/>
        </w:rPr>
        <w:t>for the production of</w:t>
      </w:r>
      <w:proofErr w:type="gramEnd"/>
      <w:r w:rsidRPr="00F05339">
        <w:rPr>
          <w:rFonts w:ascii="Arial" w:hAnsi="Arial" w:cs="Arial"/>
        </w:rPr>
        <w:t xml:space="preserve"> renewable methanol in Delfzijl industrial park in the Netherlands. The design foresees a system efficiency of 75 % which would make a significant contribution towards reaching the MAWP 2024 targets. The stacks should have an operating range of 20-110 %, and the system a hot ramp idle time of 30 seconds. A current density of 0.9 A/cm2 can be implemented through the development of novel electrodes. The project is currently at the engineering phase and the construction of the 1-MW stack testing facility has been completed. Once operational, Djewels may reach the 2024 electricity consumption target of 49 kWh/kg H2.</w:t>
      </w:r>
    </w:p>
    <w:p w14:paraId="709F26E6" w14:textId="77777777" w:rsidR="00554B16" w:rsidRPr="00F05339" w:rsidRDefault="00554B16" w:rsidP="00554B16">
      <w:pPr>
        <w:spacing w:after="0" w:line="240" w:lineRule="auto"/>
        <w:jc w:val="both"/>
        <w:rPr>
          <w:rFonts w:ascii="Arial" w:hAnsi="Arial" w:cs="Arial"/>
        </w:rPr>
      </w:pPr>
    </w:p>
    <w:p w14:paraId="24A43221" w14:textId="77777777" w:rsidR="00554B16" w:rsidRPr="00F05339" w:rsidRDefault="00554B16" w:rsidP="00554B16">
      <w:pPr>
        <w:spacing w:after="0" w:line="240" w:lineRule="auto"/>
        <w:jc w:val="both"/>
        <w:rPr>
          <w:rFonts w:ascii="Arial" w:hAnsi="Arial" w:cs="Arial"/>
        </w:rPr>
      </w:pPr>
      <w:r w:rsidRPr="00F05339">
        <w:rPr>
          <w:rFonts w:ascii="Arial" w:hAnsi="Arial" w:cs="Arial"/>
        </w:rPr>
        <w:t xml:space="preserve">The Demo4Grid project is preparing to install a 3.1-MW pressurised alkaline electrolyser which will supply hydrogen near Innsbruck for the demonstration of grid Services and the production of green hydrogen for industrial purposes and mobility. The project has carried out an assessment of potential business cases, with a focus on power-to-heat and mobility markets. The former will become interesting when natural gas prices are high and electricity costs low. </w:t>
      </w:r>
    </w:p>
    <w:p w14:paraId="4A23D71B" w14:textId="77777777" w:rsidR="00554B16" w:rsidRPr="00F05339" w:rsidRDefault="00554B16" w:rsidP="00554B16">
      <w:pPr>
        <w:spacing w:after="0" w:line="240" w:lineRule="auto"/>
        <w:jc w:val="both"/>
        <w:rPr>
          <w:rFonts w:ascii="Arial" w:hAnsi="Arial" w:cs="Arial"/>
        </w:rPr>
      </w:pPr>
    </w:p>
    <w:p w14:paraId="5C000CB6" w14:textId="77777777" w:rsidR="00554B16" w:rsidRPr="00F05339" w:rsidRDefault="00554B16" w:rsidP="00554B16">
      <w:pPr>
        <w:spacing w:line="240" w:lineRule="auto"/>
        <w:jc w:val="both"/>
        <w:rPr>
          <w:rFonts w:ascii="Arial" w:hAnsi="Arial" w:cs="Arial"/>
          <w:b/>
          <w:bCs/>
          <w:i/>
        </w:rPr>
      </w:pPr>
      <w:r w:rsidRPr="00F05339">
        <w:rPr>
          <w:rFonts w:ascii="Arial" w:hAnsi="Arial" w:cs="Arial"/>
          <w:b/>
          <w:bCs/>
          <w:i/>
        </w:rPr>
        <w:t xml:space="preserve">PEM electrolysis </w:t>
      </w:r>
    </w:p>
    <w:p w14:paraId="08F47D29" w14:textId="357FE651" w:rsidR="00554B16" w:rsidRPr="00F05339" w:rsidRDefault="00554B16" w:rsidP="00554B16">
      <w:pPr>
        <w:pStyle w:val="BodyText1"/>
        <w:rPr>
          <w:rFonts w:ascii="Arial" w:eastAsia="Calibri" w:hAnsi="Arial" w:cs="Arial"/>
          <w:sz w:val="22"/>
          <w:szCs w:val="22"/>
          <w:lang w:eastAsia="en-US"/>
        </w:rPr>
      </w:pPr>
      <w:r w:rsidRPr="00F05339">
        <w:rPr>
          <w:rFonts w:ascii="Arial" w:eastAsia="Calibri" w:hAnsi="Arial" w:cs="Arial"/>
          <w:sz w:val="22"/>
          <w:szCs w:val="22"/>
          <w:lang w:eastAsia="en-US"/>
        </w:rPr>
        <w:t xml:space="preserve">As intended, the electrolysers </w:t>
      </w:r>
      <w:r w:rsidR="00FA22FB">
        <w:rPr>
          <w:rFonts w:ascii="Arial" w:eastAsia="Calibri" w:hAnsi="Arial" w:cs="Arial"/>
          <w:sz w:val="22"/>
          <w:szCs w:val="22"/>
          <w:lang w:eastAsia="en-US"/>
        </w:rPr>
        <w:t>demonstrated</w:t>
      </w:r>
      <w:r w:rsidR="00FA22FB" w:rsidRPr="00F05339">
        <w:rPr>
          <w:rFonts w:ascii="Arial" w:eastAsia="Calibri" w:hAnsi="Arial" w:cs="Arial"/>
          <w:sz w:val="22"/>
          <w:szCs w:val="22"/>
          <w:lang w:eastAsia="en-US"/>
        </w:rPr>
        <w:t xml:space="preserve"> </w:t>
      </w:r>
      <w:r w:rsidRPr="00F05339">
        <w:rPr>
          <w:rFonts w:ascii="Arial" w:eastAsia="Calibri" w:hAnsi="Arial" w:cs="Arial"/>
          <w:sz w:val="22"/>
          <w:szCs w:val="22"/>
          <w:lang w:eastAsia="en-US"/>
        </w:rPr>
        <w:t xml:space="preserve">should have a rapid response time (of a few seconds) </w:t>
      </w:r>
      <w:proofErr w:type="gramStart"/>
      <w:r w:rsidRPr="00F05339">
        <w:rPr>
          <w:rFonts w:ascii="Arial" w:eastAsia="Calibri" w:hAnsi="Arial" w:cs="Arial"/>
          <w:sz w:val="22"/>
          <w:szCs w:val="22"/>
          <w:lang w:eastAsia="en-US"/>
        </w:rPr>
        <w:t>in order to</w:t>
      </w:r>
      <w:proofErr w:type="gramEnd"/>
      <w:r w:rsidRPr="00F05339">
        <w:rPr>
          <w:rFonts w:ascii="Arial" w:eastAsia="Calibri" w:hAnsi="Arial" w:cs="Arial"/>
          <w:sz w:val="22"/>
          <w:szCs w:val="22"/>
          <w:lang w:eastAsia="en-US"/>
        </w:rPr>
        <w:t xml:space="preserve"> participate in the primary and secondary grid-balancing markets. A key challenge has been </w:t>
      </w:r>
      <w:proofErr w:type="gramStart"/>
      <w:r w:rsidRPr="00F05339">
        <w:rPr>
          <w:rFonts w:ascii="Arial" w:eastAsia="Calibri" w:hAnsi="Arial" w:cs="Arial"/>
          <w:sz w:val="22"/>
          <w:szCs w:val="22"/>
          <w:lang w:eastAsia="en-US"/>
        </w:rPr>
        <w:t>to</w:t>
      </w:r>
      <w:proofErr w:type="gramEnd"/>
      <w:r w:rsidRPr="00F05339">
        <w:rPr>
          <w:rFonts w:ascii="Arial" w:eastAsia="Calibri" w:hAnsi="Arial" w:cs="Arial"/>
          <w:sz w:val="22"/>
          <w:szCs w:val="22"/>
          <w:lang w:eastAsia="en-US"/>
        </w:rPr>
        <w:t xml:space="preserve"> upscale the PEM electrolysers (PEMEL) to a multi-MW level, and much progress has been made in this respect. </w:t>
      </w:r>
    </w:p>
    <w:p w14:paraId="2672359C" w14:textId="77777777" w:rsidR="00554B16" w:rsidRPr="00F05339" w:rsidRDefault="00554B16" w:rsidP="00554B16">
      <w:pPr>
        <w:autoSpaceDE w:val="0"/>
        <w:autoSpaceDN w:val="0"/>
        <w:adjustRightInd w:val="0"/>
        <w:spacing w:line="240" w:lineRule="auto"/>
        <w:jc w:val="both"/>
        <w:rPr>
          <w:rFonts w:ascii="Arial" w:hAnsi="Arial" w:cs="Arial"/>
        </w:rPr>
      </w:pPr>
      <w:r w:rsidRPr="00F05339">
        <w:rPr>
          <w:rFonts w:ascii="Arial" w:hAnsi="Arial" w:cs="Arial"/>
        </w:rPr>
        <w:t xml:space="preserve">The HyBalance project, which ended in 2020, has installed and commissioned a 1.25-MW PEMEL in Hobro in northern Denmark, providing hydrogen for industrial and mobility customers. The stack operates at 30 </w:t>
      </w:r>
      <w:proofErr w:type="gramStart"/>
      <w:r w:rsidRPr="00F05339">
        <w:rPr>
          <w:rFonts w:ascii="Arial" w:hAnsi="Arial" w:cs="Arial"/>
        </w:rPr>
        <w:t>bar</w:t>
      </w:r>
      <w:proofErr w:type="gramEnd"/>
      <w:r w:rsidRPr="00F05339">
        <w:rPr>
          <w:rFonts w:ascii="Arial" w:hAnsi="Arial" w:cs="Arial"/>
        </w:rPr>
        <w:t xml:space="preserve"> with an efficiency of 72 %. As certified by the Danish Transmission System Operator Energinet.dk, the plant can provide grid services on the energy market. The overall energy demand of the plant per kg of hydrogen produced has reached 56.5 kWh/kg H2 in line with the project target of 57.5 kWh/kg H2.</w:t>
      </w:r>
    </w:p>
    <w:p w14:paraId="067F5F7E" w14:textId="77777777" w:rsidR="00554B16" w:rsidRPr="00F05339" w:rsidRDefault="00554B16" w:rsidP="00554B16">
      <w:pPr>
        <w:autoSpaceDE w:val="0"/>
        <w:autoSpaceDN w:val="0"/>
        <w:adjustRightInd w:val="0"/>
        <w:spacing w:line="240" w:lineRule="auto"/>
        <w:jc w:val="both"/>
        <w:rPr>
          <w:rFonts w:ascii="Arial" w:hAnsi="Arial" w:cs="Arial"/>
        </w:rPr>
      </w:pPr>
      <w:r w:rsidRPr="00F05339">
        <w:rPr>
          <w:rFonts w:ascii="Arial" w:hAnsi="Arial" w:cs="Arial"/>
        </w:rPr>
        <w:t>Through the H2FUTURE project, a 6-MW PEMEL from Siemens has been operating at the Voestalpine Linz steel plant in Austria since October 2020. The hydrogen produced will support fossil-fuel-based steelmaking technology as part of a stepwise decarbonisation approach to steel production proposed by the steel manufacturer. In future, the direct reduction of iron ore by hydrogen will lower the footprint of steelmaking significantly.</w:t>
      </w:r>
    </w:p>
    <w:p w14:paraId="5F7F12A1" w14:textId="77777777" w:rsidR="00554B16" w:rsidRPr="00F05339" w:rsidRDefault="00554B16" w:rsidP="00554B16">
      <w:pPr>
        <w:spacing w:line="240" w:lineRule="auto"/>
        <w:jc w:val="both"/>
        <w:rPr>
          <w:rFonts w:ascii="Arial" w:hAnsi="Arial" w:cs="Arial"/>
        </w:rPr>
      </w:pPr>
      <w:r w:rsidRPr="00F05339">
        <w:rPr>
          <w:rFonts w:ascii="Arial" w:hAnsi="Arial" w:cs="Arial"/>
        </w:rPr>
        <w:t>Refineries need hydrogen for upgrading fuels and removing sulphur components. The REFHYNE project will provide bulk quantities of hydrogen to the Shell Rhineland refinery in Germany (currently supplied by two steam methane reformers). With a capacity of 10 MW, it is Europe’s largest electrolyser (ITM). It began operations in July 2021 and will produce 4 000 kg H2/day at a pressure of 20 bar. The second phase of the project has been selected in the Green Deal call to expand the capacity of the electrolyser from 10 to 100 MW.</w:t>
      </w:r>
    </w:p>
    <w:p w14:paraId="28FA8A9F" w14:textId="77777777" w:rsidR="00554B16" w:rsidRPr="00F05339" w:rsidRDefault="00554B16" w:rsidP="00554B16">
      <w:pPr>
        <w:spacing w:line="240" w:lineRule="auto"/>
        <w:jc w:val="both"/>
        <w:rPr>
          <w:rFonts w:ascii="Arial" w:hAnsi="Arial" w:cs="Arial"/>
        </w:rPr>
      </w:pPr>
      <w:r w:rsidRPr="00F05339">
        <w:rPr>
          <w:rFonts w:ascii="Arial" w:hAnsi="Arial" w:cs="Arial"/>
        </w:rPr>
        <w:t>HAEOLUS is combining a 2.5-MW PEMEL and a 100-kW FC in the remote harbour of Berlevåg, Norway. The aim of the project is to test control strategies for each mode of operation in wind-hydrogen systems: energy storage, mini-</w:t>
      </w:r>
      <w:proofErr w:type="gramStart"/>
      <w:r w:rsidRPr="00F05339">
        <w:rPr>
          <w:rFonts w:ascii="Arial" w:hAnsi="Arial" w:cs="Arial"/>
        </w:rPr>
        <w:t>grid</w:t>
      </w:r>
      <w:proofErr w:type="gramEnd"/>
      <w:r w:rsidRPr="00F05339">
        <w:rPr>
          <w:rFonts w:ascii="Arial" w:hAnsi="Arial" w:cs="Arial"/>
        </w:rPr>
        <w:t xml:space="preserve"> and fuel production. The results will be relevant to many wind farms across Europe and worldwide. The two components were installed in the remote harbour in May 2021, the objective being to optimise the use of wind power for this challenging location close to the Arctic Circle. </w:t>
      </w:r>
    </w:p>
    <w:p w14:paraId="2EA4D153" w14:textId="77777777" w:rsidR="00554B16" w:rsidRPr="00F05339" w:rsidRDefault="00554B16" w:rsidP="00554B16">
      <w:pPr>
        <w:spacing w:line="240" w:lineRule="auto"/>
        <w:jc w:val="both"/>
        <w:rPr>
          <w:rFonts w:ascii="Arial" w:hAnsi="Arial" w:cs="Arial"/>
          <w:b/>
          <w:bCs/>
          <w:i/>
          <w:iCs/>
        </w:rPr>
      </w:pPr>
      <w:r w:rsidRPr="00F05339">
        <w:rPr>
          <w:rFonts w:ascii="Arial" w:hAnsi="Arial" w:cs="Arial"/>
          <w:b/>
          <w:bCs/>
          <w:i/>
          <w:iCs/>
        </w:rPr>
        <w:lastRenderedPageBreak/>
        <w:t>Game-changer PEM electrolysers</w:t>
      </w:r>
    </w:p>
    <w:p w14:paraId="03FF35A6" w14:textId="06B38C2B" w:rsidR="00554B16" w:rsidRPr="00F05339" w:rsidRDefault="00554B16" w:rsidP="00554B16">
      <w:pPr>
        <w:spacing w:line="240" w:lineRule="auto"/>
        <w:jc w:val="both"/>
        <w:rPr>
          <w:rFonts w:ascii="Arial" w:hAnsi="Arial" w:cs="Arial"/>
        </w:rPr>
      </w:pPr>
      <w:r w:rsidRPr="00F05339">
        <w:rPr>
          <w:rFonts w:ascii="Arial" w:hAnsi="Arial" w:cs="Arial"/>
        </w:rPr>
        <w:t xml:space="preserve">Hydrogen costs must be reduced for the large-scale provision of hydrogen to industry. Whilst OPEX is inextricably linked to the local cost of electricity, CAPEX reductions could be </w:t>
      </w:r>
      <w:r w:rsidR="00FA22FB">
        <w:rPr>
          <w:rFonts w:ascii="Arial" w:hAnsi="Arial" w:cs="Arial"/>
        </w:rPr>
        <w:t>realised</w:t>
      </w:r>
      <w:r w:rsidR="00FA22FB" w:rsidRPr="00F05339">
        <w:rPr>
          <w:rFonts w:ascii="Arial" w:hAnsi="Arial" w:cs="Arial"/>
        </w:rPr>
        <w:t xml:space="preserve"> </w:t>
      </w:r>
      <w:r w:rsidRPr="00F05339">
        <w:rPr>
          <w:rFonts w:ascii="Arial" w:hAnsi="Arial" w:cs="Arial"/>
        </w:rPr>
        <w:t>by increasing current density or improving efficiency by operating at higher pressures. The two projects funded – NEPTUNE and PRETZEL – focused on increasing the current density and output pressure of PEM electrolysers.</w:t>
      </w:r>
    </w:p>
    <w:p w14:paraId="70B9C245" w14:textId="77777777" w:rsidR="00554B16" w:rsidRPr="00F05339" w:rsidRDefault="00554B16" w:rsidP="00554B16">
      <w:pPr>
        <w:spacing w:line="240" w:lineRule="auto"/>
        <w:jc w:val="both"/>
        <w:rPr>
          <w:rFonts w:ascii="Arial" w:hAnsi="Arial" w:cs="Arial"/>
        </w:rPr>
      </w:pPr>
      <w:r w:rsidRPr="00F05339">
        <w:rPr>
          <w:rFonts w:ascii="Arial" w:hAnsi="Arial" w:cs="Arial"/>
        </w:rPr>
        <w:t xml:space="preserve">The NEPTUNE project aims to reduce CAPEX for PEMEL, by increasing both hydrogen production rates and the output pressure </w:t>
      </w:r>
      <w:proofErr w:type="gramStart"/>
      <w:r w:rsidRPr="00F05339">
        <w:rPr>
          <w:rFonts w:ascii="Arial" w:hAnsi="Arial" w:cs="Arial"/>
        </w:rPr>
        <w:t>in order to</w:t>
      </w:r>
      <w:proofErr w:type="gramEnd"/>
      <w:r w:rsidRPr="00F05339">
        <w:rPr>
          <w:rFonts w:ascii="Arial" w:hAnsi="Arial" w:cs="Arial"/>
        </w:rPr>
        <w:t xml:space="preserve"> enhance efficiency. The goals are to achieve a current density of 4 A/cm2 at low PGM loading and an increase in output pressure to 100 bar, while retaining the nominal energy consumption of &lt;50 kWh/kg H2. The project includes developments at cell, stack and system level resulting in a final demonstration at 48 kW capacity. Good results at small scale have already been obtained.</w:t>
      </w:r>
    </w:p>
    <w:p w14:paraId="215ECE46" w14:textId="77777777" w:rsidR="00554B16" w:rsidRPr="00F05339" w:rsidRDefault="00554B16" w:rsidP="00554B16">
      <w:pPr>
        <w:spacing w:line="240" w:lineRule="auto"/>
        <w:jc w:val="both"/>
        <w:rPr>
          <w:rFonts w:ascii="Arial" w:hAnsi="Arial" w:cs="Arial"/>
        </w:rPr>
      </w:pPr>
      <w:r w:rsidRPr="00F05339">
        <w:rPr>
          <w:rFonts w:ascii="Arial" w:hAnsi="Arial" w:cs="Arial"/>
        </w:rPr>
        <w:t>The PRETZEL</w:t>
      </w:r>
      <w:r w:rsidRPr="00F05339">
        <w:rPr>
          <w:rFonts w:ascii="Arial" w:hAnsi="Arial" w:cs="Arial"/>
          <w:vertAlign w:val="superscript"/>
        </w:rPr>
        <w:footnoteReference w:id="28"/>
      </w:r>
      <w:r w:rsidRPr="00F05339">
        <w:rPr>
          <w:rFonts w:ascii="Arial" w:hAnsi="Arial" w:cs="Arial"/>
        </w:rPr>
        <w:t xml:space="preserve"> project is aiming to develop an innovative game-changer PEMEL. A maximum 25-kW system generating 4.5 m3 h-1 of hydrogen at rated power, with a feed water temperature up to 90 °C and 100-bar output pressure are the project’s ultimate goals. The stack is based on a hydraulic system of pressurisation where it is contained within a pressure vessel, which should ensure homogeneous pressure, even current density distribution and should minimise degradation. This means that the targeted oxygen output pressure is also 100 bar. The targeted current density (4 A cm-2) required by the call goes well beyond the MAWP 2020 target (2.2 A cm-2). </w:t>
      </w:r>
    </w:p>
    <w:p w14:paraId="4D1C1AFC" w14:textId="77777777" w:rsidR="00554B16" w:rsidRPr="00F05339" w:rsidRDefault="00554B16" w:rsidP="00554B16">
      <w:pPr>
        <w:spacing w:line="240" w:lineRule="auto"/>
        <w:jc w:val="both"/>
        <w:rPr>
          <w:rFonts w:ascii="Arial" w:hAnsi="Arial" w:cs="Arial"/>
          <w:b/>
          <w:i/>
          <w:iCs/>
        </w:rPr>
      </w:pPr>
      <w:r w:rsidRPr="00F05339">
        <w:rPr>
          <w:rFonts w:ascii="Arial" w:hAnsi="Arial" w:cs="Arial"/>
          <w:b/>
          <w:i/>
          <w:iCs/>
        </w:rPr>
        <w:t>Testing protocols</w:t>
      </w:r>
    </w:p>
    <w:p w14:paraId="4A44214B" w14:textId="3114FFD3" w:rsidR="00554B16" w:rsidRPr="00F05339" w:rsidRDefault="00554B16" w:rsidP="00554B16">
      <w:pPr>
        <w:autoSpaceDE w:val="0"/>
        <w:autoSpaceDN w:val="0"/>
        <w:adjustRightInd w:val="0"/>
        <w:spacing w:after="0" w:line="240" w:lineRule="auto"/>
        <w:jc w:val="both"/>
        <w:rPr>
          <w:rFonts w:ascii="Arial" w:hAnsi="Arial" w:cs="Arial"/>
        </w:rPr>
      </w:pPr>
      <w:r w:rsidRPr="00F05339">
        <w:rPr>
          <w:rFonts w:ascii="Arial" w:hAnsi="Arial" w:cs="Arial"/>
        </w:rPr>
        <w:t xml:space="preserve">The testing and qualification of electrolysers is essential to assess their ability to operate dynamically and perform electricity-balancing grid services. The QualyGridS project has developed testing protocols for AEL and PEMEL electrolysers taking into consideration a variety of different grid services as well as multiple hydrogen end-users. The scope was to identify the systems’ capability to provide grid services as well as to indicate possible gaps. Testing protocols have been defined and applied for three alkaline and two PEMEL systems. The project ended successfully </w:t>
      </w:r>
      <w:r w:rsidR="00FA22FB">
        <w:rPr>
          <w:rFonts w:ascii="Arial" w:hAnsi="Arial" w:cs="Arial"/>
        </w:rPr>
        <w:t>in</w:t>
      </w:r>
      <w:r w:rsidRPr="00F05339">
        <w:rPr>
          <w:rFonts w:ascii="Arial" w:hAnsi="Arial" w:cs="Arial"/>
        </w:rPr>
        <w:t xml:space="preserve"> 2020. The results showed that protocols are clear and implementable, and that all proton exchange membrane water electrolysis and alkaline water electrolysis can meet most of the grid services’ requirements. A report compiling testing protocols for five different low-temperature electrolysers in various locations in Europe was submitted to the ISO/TC197 standardisation technical committee and formally approved by its members, which constitutes a great success for the project.</w:t>
      </w:r>
    </w:p>
    <w:p w14:paraId="32BE1BBB" w14:textId="77777777" w:rsidR="00554B16" w:rsidRPr="00F05339" w:rsidRDefault="00554B16" w:rsidP="00554B16">
      <w:pPr>
        <w:autoSpaceDE w:val="0"/>
        <w:autoSpaceDN w:val="0"/>
        <w:adjustRightInd w:val="0"/>
        <w:spacing w:after="0" w:line="240" w:lineRule="auto"/>
        <w:jc w:val="both"/>
        <w:rPr>
          <w:rFonts w:ascii="Arial" w:hAnsi="Arial" w:cs="Arial"/>
        </w:rPr>
      </w:pPr>
    </w:p>
    <w:p w14:paraId="423A9479" w14:textId="77777777" w:rsidR="00554B16" w:rsidRPr="00F05339" w:rsidRDefault="00554B16" w:rsidP="00554B16">
      <w:pPr>
        <w:spacing w:line="240" w:lineRule="auto"/>
        <w:jc w:val="both"/>
        <w:rPr>
          <w:rFonts w:ascii="Arial" w:hAnsi="Arial" w:cs="Arial"/>
          <w:b/>
          <w:i/>
          <w:iCs/>
        </w:rPr>
      </w:pPr>
      <w:r w:rsidRPr="00F05339">
        <w:rPr>
          <w:rFonts w:ascii="Arial" w:hAnsi="Arial" w:cs="Arial"/>
          <w:b/>
          <w:i/>
          <w:iCs/>
        </w:rPr>
        <w:t>Anion Exchange Membrane electrolysers (AEMEL)</w:t>
      </w:r>
    </w:p>
    <w:p w14:paraId="23E439AB" w14:textId="77777777" w:rsidR="004700F0" w:rsidRDefault="00554B16" w:rsidP="00554B16">
      <w:pPr>
        <w:spacing w:line="240" w:lineRule="auto"/>
        <w:jc w:val="both"/>
        <w:rPr>
          <w:rFonts w:ascii="Arial" w:hAnsi="Arial" w:cs="Arial"/>
        </w:rPr>
      </w:pPr>
      <w:r w:rsidRPr="00F05339">
        <w:rPr>
          <w:rFonts w:ascii="Arial" w:hAnsi="Arial" w:cs="Arial"/>
        </w:rPr>
        <w:t xml:space="preserve">In addition to the two main low-temperature electrolyser technologies (alkaline and PEM electrolysis), recent years have seen the development of anion exchange membrane electrolysers which operate in alkaline media but use a solid electrolyte. In principle, this means they can combine the use of non-Pt group metal catalysts with the production of high-purity hydrogen due to the presence of the solid electrolyte. </w:t>
      </w:r>
    </w:p>
    <w:p w14:paraId="5C5EC0FE" w14:textId="0E806671" w:rsidR="00554B16" w:rsidRDefault="00554B16" w:rsidP="00554B16">
      <w:pPr>
        <w:spacing w:line="240" w:lineRule="auto"/>
        <w:jc w:val="both"/>
        <w:rPr>
          <w:rFonts w:ascii="Arial" w:hAnsi="Arial" w:cs="Arial"/>
        </w:rPr>
      </w:pPr>
      <w:r w:rsidRPr="00F05339">
        <w:rPr>
          <w:rFonts w:ascii="Arial" w:hAnsi="Arial" w:cs="Arial"/>
        </w:rPr>
        <w:t>However, this technology is currently at a low TRL level and has yet to achieve the performance and durability of other water electrolysis technologies. To date, there is only one AEMEL manufacturer (Enapter) on the market and three projects are funded by JU: CHANNEL, ANIONE and NEWELY.</w:t>
      </w:r>
      <w:r w:rsidR="001D47BE">
        <w:rPr>
          <w:rFonts w:ascii="Arial" w:hAnsi="Arial" w:cs="Arial"/>
        </w:rPr>
        <w:t xml:space="preserve"> The objectives of all three projects are similar: </w:t>
      </w:r>
      <w:r w:rsidR="001D47BE" w:rsidRPr="00F05339">
        <w:rPr>
          <w:rFonts w:ascii="Arial" w:hAnsi="Arial" w:cs="Arial"/>
        </w:rPr>
        <w:t xml:space="preserve">to develop high-performance, </w:t>
      </w:r>
      <w:proofErr w:type="gramStart"/>
      <w:r w:rsidR="001D47BE" w:rsidRPr="00F05339">
        <w:rPr>
          <w:rFonts w:ascii="Arial" w:hAnsi="Arial" w:cs="Arial"/>
        </w:rPr>
        <w:t>cost-effective</w:t>
      </w:r>
      <w:proofErr w:type="gramEnd"/>
      <w:r w:rsidR="001D47BE" w:rsidRPr="00F05339">
        <w:rPr>
          <w:rFonts w:ascii="Arial" w:hAnsi="Arial" w:cs="Arial"/>
        </w:rPr>
        <w:t xml:space="preserve"> and durable AEMEL technology</w:t>
      </w:r>
      <w:r w:rsidR="003226F7">
        <w:rPr>
          <w:rFonts w:ascii="Arial" w:hAnsi="Arial" w:cs="Arial"/>
        </w:rPr>
        <w:t>, by developing 2-kW prototype stacks</w:t>
      </w:r>
      <w:r w:rsidR="001D47BE" w:rsidRPr="00F05339">
        <w:rPr>
          <w:rFonts w:ascii="Arial" w:hAnsi="Arial" w:cs="Arial"/>
        </w:rPr>
        <w:t>.</w:t>
      </w:r>
      <w:r w:rsidR="001D47BE">
        <w:rPr>
          <w:rFonts w:ascii="Arial" w:hAnsi="Arial" w:cs="Arial"/>
        </w:rPr>
        <w:t xml:space="preserve"> </w:t>
      </w:r>
    </w:p>
    <w:p w14:paraId="03C75DD5" w14:textId="69514AA9" w:rsidR="00554B16" w:rsidRPr="00F05339" w:rsidRDefault="003226F7">
      <w:pPr>
        <w:spacing w:line="240" w:lineRule="auto"/>
        <w:jc w:val="both"/>
        <w:rPr>
          <w:rFonts w:ascii="Arial" w:hAnsi="Arial" w:cs="Arial"/>
        </w:rPr>
      </w:pPr>
      <w:r>
        <w:rPr>
          <w:rFonts w:ascii="Arial" w:hAnsi="Arial" w:cs="Arial"/>
        </w:rPr>
        <w:lastRenderedPageBreak/>
        <w:t xml:space="preserve">The consortium behind CHANNEL </w:t>
      </w:r>
      <w:r w:rsidR="00554B16" w:rsidRPr="00F05339">
        <w:rPr>
          <w:rFonts w:ascii="Arial" w:hAnsi="Arial" w:cs="Arial"/>
        </w:rPr>
        <w:t>has performed a market and cost analysis of the 2-kW prototype to develop a cost-reduction strategy towards a capital cost of &lt; EUR 600 per kW for a 500-kW system.</w:t>
      </w:r>
      <w:r>
        <w:rPr>
          <w:rFonts w:ascii="Arial" w:hAnsi="Arial" w:cs="Arial"/>
        </w:rPr>
        <w:t xml:space="preserve"> ANIONE </w:t>
      </w:r>
      <w:r w:rsidR="00554B16" w:rsidRPr="00F05339">
        <w:rPr>
          <w:rFonts w:ascii="Arial" w:hAnsi="Arial" w:cs="Arial"/>
        </w:rPr>
        <w:t>has successfully developed non-CRM anode catalysts which achieve the project’s performance and durability targets</w:t>
      </w:r>
      <w:r>
        <w:rPr>
          <w:rFonts w:ascii="Arial" w:hAnsi="Arial" w:cs="Arial"/>
        </w:rPr>
        <w:t>, while w</w:t>
      </w:r>
      <w:r w:rsidR="00554B16" w:rsidRPr="00F05339">
        <w:rPr>
          <w:rFonts w:ascii="Arial" w:hAnsi="Arial" w:cs="Arial"/>
        </w:rPr>
        <w:t xml:space="preserve">ork is ongoing to improve the performance, in particular the durability, of novel cathode catalysts under investigation. </w:t>
      </w:r>
      <w:r>
        <w:rPr>
          <w:rFonts w:ascii="Arial" w:hAnsi="Arial" w:cs="Arial"/>
        </w:rPr>
        <w:t>NEWELY’s novel catalysts (but with a commercial membrane) have already achieved very good performance results, with the projected recently submitting its first patent applications and publications.</w:t>
      </w:r>
    </w:p>
    <w:p w14:paraId="12676E27" w14:textId="77777777" w:rsidR="00554B16" w:rsidRPr="00F05339" w:rsidRDefault="00554B16" w:rsidP="00554B16">
      <w:pPr>
        <w:spacing w:line="240" w:lineRule="auto"/>
        <w:jc w:val="both"/>
        <w:rPr>
          <w:rFonts w:ascii="Arial" w:hAnsi="Arial" w:cs="Arial"/>
          <w:b/>
          <w:i/>
          <w:iCs/>
        </w:rPr>
      </w:pPr>
      <w:r w:rsidRPr="00F05339">
        <w:rPr>
          <w:rFonts w:ascii="Arial" w:hAnsi="Arial" w:cs="Arial"/>
          <w:b/>
          <w:i/>
          <w:iCs/>
        </w:rPr>
        <w:t xml:space="preserve">High-temperature electrolysis </w:t>
      </w:r>
    </w:p>
    <w:p w14:paraId="24F9835E" w14:textId="77777777" w:rsidR="00554B16" w:rsidRPr="00F05339" w:rsidRDefault="00554B16" w:rsidP="00554B16">
      <w:pPr>
        <w:spacing w:after="0" w:line="240" w:lineRule="auto"/>
        <w:jc w:val="both"/>
        <w:rPr>
          <w:rFonts w:ascii="Arial" w:hAnsi="Arial" w:cs="Arial"/>
        </w:rPr>
      </w:pPr>
      <w:r w:rsidRPr="00F05339">
        <w:rPr>
          <w:rFonts w:ascii="Arial" w:hAnsi="Arial" w:cs="Arial"/>
        </w:rPr>
        <w:t>This area covers the research and development (R&amp;D) projects SElySOs, GAMER, and SWITCH, as well as the demonstration projects GrinHy2.0, MultiPLHY, REFLEX and Waste2GridS.</w:t>
      </w:r>
    </w:p>
    <w:p w14:paraId="133185A4" w14:textId="77777777" w:rsidR="00554B16" w:rsidRPr="00F05339" w:rsidRDefault="00554B16" w:rsidP="00554B16">
      <w:pPr>
        <w:spacing w:after="0" w:line="240" w:lineRule="auto"/>
        <w:jc w:val="both"/>
        <w:rPr>
          <w:rFonts w:ascii="Arial" w:hAnsi="Arial" w:cs="Arial"/>
        </w:rPr>
      </w:pPr>
    </w:p>
    <w:p w14:paraId="6DE0ABE8" w14:textId="77777777" w:rsidR="00554B16" w:rsidRPr="00F05339" w:rsidRDefault="00554B16" w:rsidP="002672A0">
      <w:pPr>
        <w:pStyle w:val="ListParagraph"/>
        <w:numPr>
          <w:ilvl w:val="0"/>
          <w:numId w:val="21"/>
        </w:numPr>
        <w:spacing w:line="240" w:lineRule="auto"/>
        <w:jc w:val="both"/>
        <w:rPr>
          <w:rFonts w:ascii="Arial" w:hAnsi="Arial" w:cs="Arial"/>
          <w:i/>
          <w:szCs w:val="24"/>
        </w:rPr>
      </w:pPr>
      <w:r w:rsidRPr="00F05339">
        <w:rPr>
          <w:rFonts w:ascii="Arial" w:hAnsi="Arial" w:cs="Arial"/>
          <w:i/>
          <w:szCs w:val="24"/>
        </w:rPr>
        <w:t>R&amp;D projects</w:t>
      </w:r>
    </w:p>
    <w:p w14:paraId="5F2FE07C" w14:textId="77777777" w:rsidR="00554B16" w:rsidRPr="00F05339" w:rsidRDefault="00554B16" w:rsidP="00554B16">
      <w:pPr>
        <w:autoSpaceDE w:val="0"/>
        <w:autoSpaceDN w:val="0"/>
        <w:adjustRightInd w:val="0"/>
        <w:spacing w:line="240" w:lineRule="auto"/>
        <w:jc w:val="both"/>
        <w:rPr>
          <w:rFonts w:ascii="Arial" w:hAnsi="Arial" w:cs="Arial"/>
        </w:rPr>
      </w:pPr>
      <w:r w:rsidRPr="00F05339">
        <w:rPr>
          <w:rFonts w:ascii="Arial" w:hAnsi="Arial" w:cs="Arial"/>
        </w:rPr>
        <w:t>The SElySOs project is testing modified nickel (Ni)-based and Ni-free cathodes and new air electrodes, seeking to enable the development of new solid oxide electrolyser cells (SOECs) less prone to degradation and with improved performance and stability. Experimental work is combined with theoretical modelling to understand reaction mechanisms and processes that cause degradation.</w:t>
      </w:r>
    </w:p>
    <w:p w14:paraId="4AC3E2F7" w14:textId="3DAB5018" w:rsidR="00554B16" w:rsidRPr="00F05339" w:rsidRDefault="00F45417" w:rsidP="00554B16">
      <w:pPr>
        <w:spacing w:line="240" w:lineRule="auto"/>
        <w:jc w:val="both"/>
        <w:rPr>
          <w:rFonts w:ascii="Arial" w:hAnsi="Arial" w:cs="Arial"/>
        </w:rPr>
      </w:pPr>
      <w:r>
        <w:rPr>
          <w:rFonts w:ascii="Arial" w:hAnsi="Arial" w:cs="Arial"/>
        </w:rPr>
        <w:t>T</w:t>
      </w:r>
      <w:r w:rsidR="00554B16" w:rsidRPr="00F05339">
        <w:rPr>
          <w:rFonts w:ascii="Arial" w:hAnsi="Arial" w:cs="Arial"/>
        </w:rPr>
        <w:t xml:space="preserve">he SWITCH projects </w:t>
      </w:r>
      <w:proofErr w:type="gramStart"/>
      <w:r w:rsidR="00554B16" w:rsidRPr="00F05339">
        <w:rPr>
          <w:rFonts w:ascii="Arial" w:hAnsi="Arial" w:cs="Arial"/>
        </w:rPr>
        <w:t>seeks</w:t>
      </w:r>
      <w:proofErr w:type="gramEnd"/>
      <w:r w:rsidR="00554B16" w:rsidRPr="00F05339">
        <w:rPr>
          <w:rFonts w:ascii="Arial" w:hAnsi="Arial" w:cs="Arial"/>
        </w:rPr>
        <w:t xml:space="preserve"> to develop a reversible system able to operate in both SOEC (solid oxide electrolysis) and SOFC</w:t>
      </w:r>
      <w:r>
        <w:rPr>
          <w:rFonts w:ascii="Arial" w:hAnsi="Arial" w:cs="Arial"/>
        </w:rPr>
        <w:t xml:space="preserve"> </w:t>
      </w:r>
      <w:r w:rsidR="00554B16" w:rsidRPr="00F05339">
        <w:rPr>
          <w:rFonts w:ascii="Arial" w:hAnsi="Arial" w:cs="Arial"/>
        </w:rPr>
        <w:t>(solid oxide fuel cell) mode, with a capacity of 25 kW (SOFC)</w:t>
      </w:r>
      <w:r>
        <w:rPr>
          <w:rFonts w:ascii="Arial" w:hAnsi="Arial" w:cs="Arial"/>
        </w:rPr>
        <w:t xml:space="preserve"> </w:t>
      </w:r>
      <w:r w:rsidR="00554B16" w:rsidRPr="00F05339">
        <w:rPr>
          <w:rFonts w:ascii="Arial" w:hAnsi="Arial" w:cs="Arial"/>
        </w:rPr>
        <w:t>/</w:t>
      </w:r>
      <w:r>
        <w:rPr>
          <w:rFonts w:ascii="Arial" w:hAnsi="Arial" w:cs="Arial"/>
        </w:rPr>
        <w:t xml:space="preserve"> </w:t>
      </w:r>
      <w:r w:rsidR="00554B16" w:rsidRPr="00F05339">
        <w:rPr>
          <w:rFonts w:ascii="Arial" w:hAnsi="Arial" w:cs="Arial"/>
        </w:rPr>
        <w:t xml:space="preserve">75 kW (SOEC) and a minimum operating time of 5 000 hours. In FC mode, other feedstocks (natural gas, biomethane, etc.) can be used to produce hydrogen when renewable electricity prices are high. </w:t>
      </w:r>
    </w:p>
    <w:p w14:paraId="57E7097A" w14:textId="1C2D6AEF" w:rsidR="00554B16" w:rsidRPr="00F05339" w:rsidRDefault="00554B16" w:rsidP="00554B16">
      <w:pPr>
        <w:spacing w:line="240" w:lineRule="auto"/>
        <w:jc w:val="both"/>
        <w:rPr>
          <w:rFonts w:ascii="Arial" w:hAnsi="Arial" w:cs="Arial"/>
          <w:highlight w:val="cyan"/>
        </w:rPr>
      </w:pPr>
      <w:r w:rsidRPr="00F05339">
        <w:rPr>
          <w:rFonts w:ascii="Arial" w:hAnsi="Arial" w:cs="Arial"/>
        </w:rPr>
        <w:t xml:space="preserve">The GAMER project seeks to develop and operate a 10-kW tubular proton ceramic electrolyser (PCEL), producing hydrogen at 30 </w:t>
      </w:r>
      <w:proofErr w:type="gramStart"/>
      <w:r w:rsidRPr="00F05339">
        <w:rPr>
          <w:rFonts w:ascii="Arial" w:hAnsi="Arial" w:cs="Arial"/>
        </w:rPr>
        <w:t>bar</w:t>
      </w:r>
      <w:proofErr w:type="gramEnd"/>
      <w:r w:rsidRPr="00F05339">
        <w:rPr>
          <w:rFonts w:ascii="Arial" w:hAnsi="Arial" w:cs="Arial"/>
        </w:rPr>
        <w:t xml:space="preserve"> at a high electrical efficiency of up to 77 % for the system, provided there is an external steam source. It has demonstrated a single engineering unit in pressurised electrolysis mode at 600 °C at up to 10 </w:t>
      </w:r>
      <w:proofErr w:type="gramStart"/>
      <w:r w:rsidRPr="00F05339">
        <w:rPr>
          <w:rFonts w:ascii="Arial" w:hAnsi="Arial" w:cs="Arial"/>
        </w:rPr>
        <w:t>bar</w:t>
      </w:r>
      <w:proofErr w:type="gramEnd"/>
      <w:r w:rsidR="00F45417">
        <w:rPr>
          <w:rFonts w:ascii="Arial" w:hAnsi="Arial" w:cs="Arial"/>
        </w:rPr>
        <w:t xml:space="preserve">. </w:t>
      </w:r>
      <w:r w:rsidRPr="00F05339">
        <w:rPr>
          <w:rFonts w:ascii="Arial" w:hAnsi="Arial" w:cs="Arial"/>
        </w:rPr>
        <w:t xml:space="preserve">If maintained at the final stage, the performance and degradation results achieved to date at the small scale would make tubular stack configuration a game changer for PCEL. </w:t>
      </w:r>
    </w:p>
    <w:p w14:paraId="55636ECD" w14:textId="77777777" w:rsidR="00554B16" w:rsidRPr="00F05339" w:rsidRDefault="00554B16" w:rsidP="002672A0">
      <w:pPr>
        <w:pStyle w:val="ListParagraph"/>
        <w:numPr>
          <w:ilvl w:val="0"/>
          <w:numId w:val="21"/>
        </w:numPr>
        <w:spacing w:line="240" w:lineRule="auto"/>
        <w:jc w:val="both"/>
        <w:rPr>
          <w:rFonts w:ascii="Arial" w:hAnsi="Arial" w:cs="Arial"/>
          <w:i/>
        </w:rPr>
      </w:pPr>
      <w:r w:rsidRPr="00F05339">
        <w:rPr>
          <w:rFonts w:ascii="Arial" w:hAnsi="Arial" w:cs="Arial"/>
          <w:i/>
        </w:rPr>
        <w:t>Demonstration projects</w:t>
      </w:r>
    </w:p>
    <w:p w14:paraId="6CE93C15" w14:textId="1404A800" w:rsidR="00554B16" w:rsidRPr="00F05339" w:rsidRDefault="00554B16" w:rsidP="00FF4AD3">
      <w:pPr>
        <w:rPr>
          <w:rFonts w:ascii="Arial" w:hAnsi="Arial" w:cs="Arial"/>
        </w:rPr>
      </w:pPr>
      <w:r w:rsidRPr="00F05339">
        <w:rPr>
          <w:rFonts w:ascii="Arial" w:hAnsi="Arial" w:cs="Arial"/>
        </w:rPr>
        <w:t xml:space="preserve">In recent years, there has been a marked increase in the capacity of HTE demonstration projects, while receiving lower funding per MW (see </w:t>
      </w:r>
      <w:r w:rsidRPr="00F05339">
        <w:rPr>
          <w:rFonts w:ascii="Arial" w:hAnsi="Arial" w:cs="Arial"/>
        </w:rPr>
        <w:fldChar w:fldCharType="begin"/>
      </w:r>
      <w:r w:rsidRPr="00F05339">
        <w:rPr>
          <w:rFonts w:ascii="Arial" w:hAnsi="Arial" w:cs="Arial"/>
        </w:rPr>
        <w:instrText xml:space="preserve"> REF _Ref98090520 \h </w:instrText>
      </w:r>
      <w:r w:rsidR="00FF4AD3" w:rsidRPr="00F05339">
        <w:rPr>
          <w:rFonts w:ascii="Arial" w:hAnsi="Arial" w:cs="Arial"/>
        </w:rPr>
        <w:instrText xml:space="preserve"> \* MERGEFORMAT </w:instrText>
      </w:r>
      <w:r w:rsidRPr="00F05339">
        <w:rPr>
          <w:rFonts w:ascii="Arial" w:hAnsi="Arial" w:cs="Arial"/>
        </w:rPr>
      </w:r>
      <w:r w:rsidRPr="00F05339">
        <w:rPr>
          <w:rFonts w:ascii="Arial" w:hAnsi="Arial" w:cs="Arial"/>
        </w:rPr>
        <w:fldChar w:fldCharType="separate"/>
      </w:r>
      <w:r w:rsidR="003068B5" w:rsidRPr="00F05339">
        <w:rPr>
          <w:rFonts w:ascii="Arial" w:hAnsi="Arial" w:cs="Arial"/>
        </w:rPr>
        <w:t xml:space="preserve">Figure </w:t>
      </w:r>
      <w:r w:rsidR="003068B5">
        <w:rPr>
          <w:rFonts w:ascii="Arial" w:hAnsi="Arial" w:cs="Arial"/>
          <w:noProof/>
        </w:rPr>
        <w:t>15</w:t>
      </w:r>
      <w:r w:rsidRPr="00F05339">
        <w:rPr>
          <w:rFonts w:ascii="Arial" w:hAnsi="Arial" w:cs="Arial"/>
        </w:rPr>
        <w:fldChar w:fldCharType="end"/>
      </w:r>
      <w:r w:rsidRPr="00F05339">
        <w:rPr>
          <w:rFonts w:ascii="Arial" w:hAnsi="Arial" w:cs="Arial"/>
        </w:rPr>
        <w:t xml:space="preserve">). HTEs are now being demonstrated in industrial environments such as a steel plant and a bio-refinery. </w:t>
      </w:r>
      <w:r w:rsidRPr="00F05339">
        <w:rPr>
          <w:rFonts w:ascii="Arial" w:hAnsi="Arial" w:cs="Arial"/>
          <w:noProof/>
          <w:lang w:eastAsia="en-GB"/>
        </w:rPr>
        <w:drawing>
          <wp:inline distT="0" distB="0" distL="0" distR="0" wp14:anchorId="1F407A3B" wp14:editId="484AEB5B">
            <wp:extent cx="4062215" cy="2203231"/>
            <wp:effectExtent l="0" t="0" r="14605" b="6985"/>
            <wp:docPr id="31379" name="Chart 3137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AB2D5F5" w14:textId="154BC036" w:rsidR="00554B16" w:rsidRPr="00F05339" w:rsidRDefault="00554B16" w:rsidP="00554B16">
      <w:pPr>
        <w:pStyle w:val="Caption"/>
        <w:jc w:val="both"/>
        <w:rPr>
          <w:rFonts w:ascii="Arial" w:hAnsi="Arial" w:cs="Arial"/>
        </w:rPr>
      </w:pPr>
      <w:bookmarkStart w:id="84" w:name="_Ref98090520"/>
      <w:r w:rsidRPr="00F05339">
        <w:rPr>
          <w:rFonts w:ascii="Arial" w:hAnsi="Arial" w:cs="Arial"/>
        </w:rPr>
        <w:lastRenderedPageBreak/>
        <w:t xml:space="preserve">Figure </w:t>
      </w:r>
      <w:r w:rsidR="00B46C9D" w:rsidRPr="00F05339">
        <w:rPr>
          <w:rFonts w:ascii="Arial" w:hAnsi="Arial" w:cs="Arial"/>
        </w:rPr>
        <w:fldChar w:fldCharType="begin"/>
      </w:r>
      <w:r w:rsidR="00B46C9D" w:rsidRPr="00F05339">
        <w:rPr>
          <w:rFonts w:ascii="Arial" w:hAnsi="Arial" w:cs="Arial"/>
        </w:rPr>
        <w:instrText xml:space="preserve"> SEQ Figure \* ARABIC </w:instrText>
      </w:r>
      <w:r w:rsidR="00B46C9D" w:rsidRPr="00F05339">
        <w:rPr>
          <w:rFonts w:ascii="Arial" w:hAnsi="Arial" w:cs="Arial"/>
        </w:rPr>
        <w:fldChar w:fldCharType="separate"/>
      </w:r>
      <w:r w:rsidR="003068B5">
        <w:rPr>
          <w:rFonts w:ascii="Arial" w:hAnsi="Arial" w:cs="Arial"/>
          <w:noProof/>
        </w:rPr>
        <w:t>15</w:t>
      </w:r>
      <w:r w:rsidR="00B46C9D" w:rsidRPr="00F05339">
        <w:rPr>
          <w:rFonts w:ascii="Arial" w:hAnsi="Arial" w:cs="Arial"/>
          <w:noProof/>
        </w:rPr>
        <w:fldChar w:fldCharType="end"/>
      </w:r>
      <w:bookmarkEnd w:id="84"/>
      <w:r w:rsidRPr="00F05339">
        <w:rPr>
          <w:rFonts w:ascii="Arial" w:hAnsi="Arial" w:cs="Arial"/>
        </w:rPr>
        <w:t>: Capacity of HTE demonstration projects in MW versus funding in MEUR per MW</w:t>
      </w:r>
    </w:p>
    <w:p w14:paraId="49C6FA3C" w14:textId="77777777" w:rsidR="00554B16" w:rsidRPr="00F05339" w:rsidRDefault="00554B16" w:rsidP="00554B16">
      <w:pPr>
        <w:autoSpaceDE w:val="0"/>
        <w:autoSpaceDN w:val="0"/>
        <w:adjustRightInd w:val="0"/>
        <w:spacing w:after="0" w:line="240" w:lineRule="auto"/>
        <w:jc w:val="both"/>
        <w:rPr>
          <w:rFonts w:ascii="Arial" w:hAnsi="Arial" w:cs="Arial"/>
        </w:rPr>
      </w:pPr>
      <w:r w:rsidRPr="00F05339">
        <w:rPr>
          <w:rFonts w:ascii="Arial" w:hAnsi="Arial" w:cs="Arial"/>
        </w:rPr>
        <w:t>The GrinHy2.0 project is the successor to the GrinHy project’s electrolyser installed at the Salzgitter steel production plant. This will be the world’s biggest high-temperature electrolyser with a capacity of 720 kW AC and an electrical efficiency of 84 % LHV. The aim is to achieve production of at least 100 tonnes of hydrogen over 13 000 operational hours with a system availability of 95 % by the end of 2022.</w:t>
      </w:r>
    </w:p>
    <w:p w14:paraId="717AAEA7" w14:textId="77777777" w:rsidR="00554B16" w:rsidRPr="00F05339" w:rsidRDefault="00554B16" w:rsidP="00554B16">
      <w:pPr>
        <w:autoSpaceDE w:val="0"/>
        <w:autoSpaceDN w:val="0"/>
        <w:adjustRightInd w:val="0"/>
        <w:spacing w:after="0" w:line="240" w:lineRule="auto"/>
        <w:jc w:val="both"/>
        <w:rPr>
          <w:rFonts w:ascii="Arial" w:hAnsi="Arial" w:cs="Arial"/>
        </w:rPr>
      </w:pPr>
      <w:r w:rsidRPr="00F05339">
        <w:rPr>
          <w:rFonts w:ascii="Arial" w:hAnsi="Arial" w:cs="Arial"/>
        </w:rPr>
        <w:t>To date, the</w:t>
      </w:r>
      <w:r w:rsidRPr="00F05339">
        <w:rPr>
          <w:rFonts w:ascii="Arial" w:hAnsi="Arial" w:cs="Arial"/>
          <w:b/>
          <w:lang w:eastAsia="bg-BG"/>
        </w:rPr>
        <w:t xml:space="preserve"> </w:t>
      </w:r>
      <w:r w:rsidRPr="00F05339">
        <w:rPr>
          <w:rFonts w:ascii="Arial" w:hAnsi="Arial" w:cs="Arial"/>
        </w:rPr>
        <w:t xml:space="preserve">manufacturing of the system units’ ‘electrolyser’ and ‘hydrogen processing’ have been completed and they have been installed onsite. The first-time injection of about 100 Nm³/h of hydrogen took place during commissioning. The CAPEX target of 4 500 EUR/(kg/d) was met by the project mainly due to the integration of multiple stacks in one system </w:t>
      </w:r>
    </w:p>
    <w:p w14:paraId="0A8B3B3A" w14:textId="77777777" w:rsidR="00554B16" w:rsidRPr="00F05339" w:rsidRDefault="00554B16" w:rsidP="00554B16">
      <w:pPr>
        <w:autoSpaceDE w:val="0"/>
        <w:autoSpaceDN w:val="0"/>
        <w:adjustRightInd w:val="0"/>
        <w:spacing w:after="0" w:line="240" w:lineRule="auto"/>
        <w:jc w:val="both"/>
        <w:rPr>
          <w:rFonts w:ascii="Arial" w:hAnsi="Arial" w:cs="Arial"/>
        </w:rPr>
      </w:pPr>
    </w:p>
    <w:p w14:paraId="1A6BCB9B" w14:textId="77777777" w:rsidR="00554B16" w:rsidRPr="00F05339" w:rsidRDefault="00554B16" w:rsidP="00554B16">
      <w:pPr>
        <w:autoSpaceDE w:val="0"/>
        <w:autoSpaceDN w:val="0"/>
        <w:adjustRightInd w:val="0"/>
        <w:spacing w:after="0" w:line="240" w:lineRule="auto"/>
        <w:jc w:val="both"/>
        <w:rPr>
          <w:rFonts w:ascii="Arial" w:hAnsi="Arial" w:cs="Arial"/>
        </w:rPr>
      </w:pPr>
      <w:r w:rsidRPr="00F05339">
        <w:rPr>
          <w:rFonts w:ascii="Arial" w:hAnsi="Arial" w:cs="Arial"/>
        </w:rPr>
        <w:t>Building on GrinHy and GrinHy2 results, the MULTIPLHY</w:t>
      </w:r>
      <w:r w:rsidRPr="00F05339">
        <w:rPr>
          <w:rFonts w:ascii="Arial" w:hAnsi="Arial" w:cs="Arial"/>
          <w:vertAlign w:val="superscript"/>
        </w:rPr>
        <w:footnoteReference w:id="29"/>
      </w:r>
      <w:r w:rsidRPr="00F05339">
        <w:rPr>
          <w:rFonts w:ascii="Arial" w:hAnsi="Arial" w:cs="Arial"/>
        </w:rPr>
        <w:t xml:space="preserve"> project aims to install and operate the world’s first high-temperature electrolyser system at the multi-megawatt-scale (~2.4 MW), at a chemical refinery in Salzbergen (DE) to produce hydrogen (≥ 60 kg/h) for the refinery’s processes.</w:t>
      </w:r>
    </w:p>
    <w:p w14:paraId="346EC13E" w14:textId="77777777" w:rsidR="00554B16" w:rsidRPr="00F05339" w:rsidRDefault="00554B16" w:rsidP="00554B16">
      <w:pPr>
        <w:autoSpaceDE w:val="0"/>
        <w:autoSpaceDN w:val="0"/>
        <w:adjustRightInd w:val="0"/>
        <w:spacing w:after="0" w:line="240" w:lineRule="auto"/>
        <w:jc w:val="both"/>
        <w:rPr>
          <w:rFonts w:ascii="Arial" w:hAnsi="Arial" w:cs="Arial"/>
        </w:rPr>
      </w:pPr>
    </w:p>
    <w:p w14:paraId="17F82963" w14:textId="31BBB827" w:rsidR="00554B16" w:rsidRPr="00F05339" w:rsidRDefault="00554B16" w:rsidP="00554B16">
      <w:pPr>
        <w:spacing w:line="240" w:lineRule="auto"/>
        <w:jc w:val="both"/>
        <w:rPr>
          <w:rFonts w:ascii="Arial" w:hAnsi="Arial" w:cs="Arial"/>
        </w:rPr>
      </w:pPr>
      <w:r w:rsidRPr="00F05339">
        <w:rPr>
          <w:rFonts w:ascii="Arial" w:hAnsi="Arial" w:cs="Arial"/>
        </w:rPr>
        <w:t>In May 2021, the MultiPLHY project successfully tested a 225-kW HT electrolysis module, consisting of 60 stacks with 1 800 cells. This module will be part of a 2.7 MW system for a total of 12 modules for the 2.2 MW electrolyser, with a power consumption of less than 40 kWh/kg H</w:t>
      </w:r>
      <w:r w:rsidRPr="00F05339">
        <w:rPr>
          <w:rFonts w:ascii="Arial" w:hAnsi="Arial" w:cs="Arial"/>
          <w:vertAlign w:val="subscript"/>
        </w:rPr>
        <w:t>2</w:t>
      </w:r>
      <w:r w:rsidRPr="00F05339">
        <w:rPr>
          <w:rFonts w:ascii="Arial" w:hAnsi="Arial" w:cs="Arial"/>
        </w:rPr>
        <w:t xml:space="preserve">. The electrolyser will be </w:t>
      </w:r>
      <w:r w:rsidR="002905BC">
        <w:rPr>
          <w:rFonts w:ascii="Arial" w:hAnsi="Arial" w:cs="Arial"/>
        </w:rPr>
        <w:t>demonstrated</w:t>
      </w:r>
      <w:r w:rsidR="002905BC" w:rsidRPr="00F05339">
        <w:rPr>
          <w:rFonts w:ascii="Arial" w:hAnsi="Arial" w:cs="Arial"/>
        </w:rPr>
        <w:t xml:space="preserve"> </w:t>
      </w:r>
      <w:r w:rsidRPr="00F05339">
        <w:rPr>
          <w:rFonts w:ascii="Arial" w:hAnsi="Arial" w:cs="Arial"/>
        </w:rPr>
        <w:t>in a biorefinery in Rotterdam (NL). The project is seeking to demonstrate that SOE technology is reducing the TRL gap (by bringing it to TRL 8) to PEMEL and AEL by installing and operating a multi-MW system. It is aiming for a design enabling a CAPEX of ≤ 2 400 EUR/(kgH</w:t>
      </w:r>
      <w:r w:rsidRPr="00F05339">
        <w:rPr>
          <w:rFonts w:ascii="Arial" w:hAnsi="Arial" w:cs="Arial"/>
          <w:vertAlign w:val="subscript"/>
        </w:rPr>
        <w:t>2</w:t>
      </w:r>
      <w:r w:rsidRPr="00F05339">
        <w:rPr>
          <w:rFonts w:ascii="Arial" w:hAnsi="Arial" w:cs="Arial"/>
        </w:rPr>
        <w:t xml:space="preserve">/d), in line with the 2024 MAWP target. </w:t>
      </w:r>
    </w:p>
    <w:p w14:paraId="265887D8" w14:textId="77777777" w:rsidR="00554B16" w:rsidRPr="00F05339" w:rsidRDefault="00554B16" w:rsidP="00554B16">
      <w:pPr>
        <w:autoSpaceDE w:val="0"/>
        <w:autoSpaceDN w:val="0"/>
        <w:adjustRightInd w:val="0"/>
        <w:spacing w:after="0" w:line="240" w:lineRule="auto"/>
        <w:jc w:val="both"/>
        <w:rPr>
          <w:rFonts w:ascii="Arial" w:hAnsi="Arial" w:cs="Arial"/>
        </w:rPr>
      </w:pPr>
      <w:r w:rsidRPr="00F05339">
        <w:rPr>
          <w:rFonts w:ascii="Arial" w:hAnsi="Arial" w:cs="Arial"/>
        </w:rPr>
        <w:t>The REFLEX project is developing reversible solid oxide cell technology (rSOC) to be implemented as an integrated energy-storage solution (Smart Energy Hub) at community/district level. The project has developed improved rSOC component cells, stacks, power electronics and heat exchangers. The performance and durability target were achieved in rSOC operation at cell scale as well as with enlarged cells (200 cm²). A current density of 1.25 A/cm² was achieved in SOEC mode (target 1.2 A/cm²). Several other objectives were partially achieved, such as durability in the SOEC step during rSOC operation at 0.58 A/cm² and SC=68 % power range in SOEC and SOFC.</w:t>
      </w:r>
    </w:p>
    <w:p w14:paraId="2D602AE2" w14:textId="77777777" w:rsidR="00554B16" w:rsidRPr="00F05339" w:rsidRDefault="00554B16" w:rsidP="00554B16">
      <w:pPr>
        <w:autoSpaceDE w:val="0"/>
        <w:autoSpaceDN w:val="0"/>
        <w:adjustRightInd w:val="0"/>
        <w:spacing w:after="0" w:line="240" w:lineRule="auto"/>
        <w:jc w:val="both"/>
        <w:rPr>
          <w:rFonts w:ascii="Arial" w:hAnsi="Arial" w:cs="Arial"/>
        </w:rPr>
      </w:pPr>
    </w:p>
    <w:p w14:paraId="5D59E988" w14:textId="42883A03" w:rsidR="00554B16" w:rsidRPr="00F05339" w:rsidRDefault="00554B16" w:rsidP="00554B16">
      <w:pPr>
        <w:autoSpaceDE w:val="0"/>
        <w:autoSpaceDN w:val="0"/>
        <w:adjustRightInd w:val="0"/>
        <w:spacing w:after="0" w:line="240" w:lineRule="auto"/>
        <w:jc w:val="both"/>
        <w:rPr>
          <w:rFonts w:ascii="Arial" w:hAnsi="Arial" w:cs="Arial"/>
        </w:rPr>
      </w:pPr>
      <w:r w:rsidRPr="00F05339">
        <w:rPr>
          <w:rFonts w:ascii="Arial" w:hAnsi="Arial" w:cs="Arial"/>
        </w:rPr>
        <w:t>The aim of the Waste2GridS project is to identify the most promising industrial pathways for waste gasification and solid-oxide-technology integrated plants. Biomass sources being considered are agricultural wastes, forest residues and municipal solid waste. Waste2GridS is proposing a novel concept of a triple-mode grid-balancing plant enabled by biomass gasification and rSOC technology. These plants can provide a grid-balancing service by switching between: (i) power-generation mode, converting waste to electricity for the grid; (ii) power-storage mode, using the grid electricity to convert waste into methane; and (iii) power-neutral mode, converting waste into methane with no grid interaction. Feasible business cases were identified for power generation and power storage operations of over 3 500 hours. The project concluded that Waste2GridS plants could be feasible economically with 5 years payback time with a significant cost reduction &lt; 1 600 EUR/kWe-SOFC in stack costs.</w:t>
      </w:r>
    </w:p>
    <w:p w14:paraId="7F26648C" w14:textId="77777777" w:rsidR="00FF4AD3" w:rsidRPr="00F05339" w:rsidRDefault="00FF4AD3" w:rsidP="00554B16">
      <w:pPr>
        <w:autoSpaceDE w:val="0"/>
        <w:autoSpaceDN w:val="0"/>
        <w:adjustRightInd w:val="0"/>
        <w:spacing w:after="0" w:line="240" w:lineRule="auto"/>
        <w:jc w:val="both"/>
        <w:rPr>
          <w:rFonts w:ascii="Arial" w:hAnsi="Arial" w:cs="Arial"/>
        </w:rPr>
      </w:pPr>
    </w:p>
    <w:p w14:paraId="5D60E08B" w14:textId="77777777" w:rsidR="00554B16" w:rsidRPr="00F05339" w:rsidRDefault="00554B16" w:rsidP="00FF4AD3">
      <w:pPr>
        <w:rPr>
          <w:rFonts w:ascii="Arial" w:hAnsi="Arial" w:cs="Arial"/>
          <w:b/>
          <w:bCs/>
          <w:i/>
          <w:iCs/>
        </w:rPr>
      </w:pPr>
      <w:r w:rsidRPr="00F05339">
        <w:rPr>
          <w:rFonts w:ascii="Arial" w:hAnsi="Arial" w:cs="Arial"/>
          <w:b/>
          <w:bCs/>
          <w:i/>
          <w:iCs/>
        </w:rPr>
        <w:t xml:space="preserve"> Other hydrogen production routes</w:t>
      </w:r>
    </w:p>
    <w:p w14:paraId="6893220A" w14:textId="77777777" w:rsidR="00554B16" w:rsidRPr="00F05339" w:rsidRDefault="00554B16" w:rsidP="00554B16">
      <w:pPr>
        <w:spacing w:line="240" w:lineRule="auto"/>
        <w:jc w:val="both"/>
        <w:rPr>
          <w:rFonts w:ascii="Arial" w:hAnsi="Arial" w:cs="Arial"/>
        </w:rPr>
      </w:pPr>
      <w:r w:rsidRPr="00F05339">
        <w:rPr>
          <w:rFonts w:ascii="Arial" w:hAnsi="Arial" w:cs="Arial"/>
          <w:bCs/>
          <w:iCs/>
        </w:rPr>
        <w:t xml:space="preserve">In addition to electrolysis, FCH2 JU is supporting R&amp;D projects to explore alternative hydrogen production technologies, such as  </w:t>
      </w:r>
      <w:r w:rsidRPr="00F05339">
        <w:rPr>
          <w:rFonts w:ascii="Arial" w:hAnsi="Arial" w:cs="Arial"/>
        </w:rPr>
        <w:t xml:space="preserve"> the projects BioROBURplus, BIONICO, HYDROSOL- beyond and PECSYS.</w:t>
      </w:r>
    </w:p>
    <w:p w14:paraId="6F8DC8E6" w14:textId="77777777" w:rsidR="00554B16" w:rsidRPr="00F05339" w:rsidRDefault="00554B16" w:rsidP="002672A0">
      <w:pPr>
        <w:pStyle w:val="ListParagraph"/>
        <w:numPr>
          <w:ilvl w:val="0"/>
          <w:numId w:val="21"/>
        </w:numPr>
        <w:spacing w:line="240" w:lineRule="auto"/>
        <w:jc w:val="both"/>
        <w:rPr>
          <w:rFonts w:ascii="Arial" w:hAnsi="Arial" w:cs="Arial"/>
          <w:i/>
        </w:rPr>
      </w:pPr>
      <w:r w:rsidRPr="00F05339">
        <w:rPr>
          <w:rFonts w:ascii="Arial" w:hAnsi="Arial" w:cs="Arial"/>
          <w:i/>
        </w:rPr>
        <w:lastRenderedPageBreak/>
        <w:t>Reforming</w:t>
      </w:r>
    </w:p>
    <w:p w14:paraId="2D6115A5" w14:textId="77777777" w:rsidR="00554B16" w:rsidRPr="00F05339" w:rsidRDefault="00554B16" w:rsidP="00554B16">
      <w:pPr>
        <w:spacing w:line="240" w:lineRule="auto"/>
        <w:jc w:val="both"/>
        <w:rPr>
          <w:rFonts w:ascii="Arial" w:hAnsi="Arial" w:cs="Arial"/>
          <w:i/>
        </w:rPr>
      </w:pPr>
      <w:r w:rsidRPr="00F05339">
        <w:rPr>
          <w:rFonts w:ascii="Arial" w:hAnsi="Arial" w:cs="Arial"/>
        </w:rPr>
        <w:t xml:space="preserve"> The BIONICO and BioROBURplus projects are aiming to develop the decentralised production of renewable hydrogen by reforming biogas at capacities of around 100 kg H</w:t>
      </w:r>
      <w:r w:rsidRPr="00F05339">
        <w:rPr>
          <w:rFonts w:ascii="Arial" w:hAnsi="Arial" w:cs="Arial"/>
          <w:vertAlign w:val="subscript"/>
        </w:rPr>
        <w:t>2</w:t>
      </w:r>
      <w:r w:rsidRPr="00F05339">
        <w:rPr>
          <w:rFonts w:ascii="Arial" w:hAnsi="Arial" w:cs="Arial"/>
        </w:rPr>
        <w:t>/day. The goal of the BioROBURplus project is to demonstrate a biogas fuel processor for decentralised hydrogen production based on oxidative steam reforming. Focus is on increasing the efficiency of the reactor to 72 % (higher heating value).</w:t>
      </w:r>
      <w:r w:rsidRPr="00F05339">
        <w:rPr>
          <w:rFonts w:ascii="Arial" w:hAnsi="Arial" w:cs="Arial"/>
          <w:i/>
        </w:rPr>
        <w:t xml:space="preserve"> </w:t>
      </w:r>
      <w:r w:rsidRPr="00F05339">
        <w:rPr>
          <w:rFonts w:ascii="Arial" w:hAnsi="Arial" w:cs="Arial"/>
        </w:rPr>
        <w:t>An extensive testing programme was carried out to identify a suitable catalyst. If the testing campaign proves successful, this technology should reach TRL 6. The demonstration unit has been installed in a biogas facility and is being commissioned.</w:t>
      </w:r>
    </w:p>
    <w:p w14:paraId="0088189D" w14:textId="77777777" w:rsidR="00554B16" w:rsidRPr="00F05339" w:rsidRDefault="00554B16" w:rsidP="00554B16">
      <w:pPr>
        <w:spacing w:line="240" w:lineRule="auto"/>
        <w:jc w:val="both"/>
        <w:rPr>
          <w:rFonts w:ascii="Arial" w:hAnsi="Arial" w:cs="Arial"/>
        </w:rPr>
      </w:pPr>
      <w:r w:rsidRPr="00F05339">
        <w:rPr>
          <w:rFonts w:ascii="Arial" w:hAnsi="Arial" w:cs="Arial"/>
        </w:rPr>
        <w:t>The BIONICO project (ended in 2019) developed and tested a catalytic membrane reactor system to produce pure hydrogen from raw biogas (CO</w:t>
      </w:r>
      <w:r w:rsidRPr="00F05339">
        <w:rPr>
          <w:rFonts w:ascii="Arial" w:hAnsi="Arial" w:cs="Arial"/>
          <w:vertAlign w:val="subscript"/>
        </w:rPr>
        <w:t>2</w:t>
      </w:r>
      <w:r w:rsidRPr="00F05339">
        <w:rPr>
          <w:rFonts w:ascii="Arial" w:hAnsi="Arial" w:cs="Arial"/>
        </w:rPr>
        <w:t xml:space="preserve"> containing) in a single step (reforming and purification). The project’s achievements include the development of a novel reforming catalyst and support. The lab experiments demonstrated the stability of both catalyst and membrane in fluidised bed conditions. The performance of palladium-silver-gold membranes were measured in the presence of hydrogen sulphide, showing improved performance for the membrane with higher gold content. </w:t>
      </w:r>
    </w:p>
    <w:p w14:paraId="0024DEF5" w14:textId="77777777" w:rsidR="00554B16" w:rsidRPr="00F05339" w:rsidRDefault="00554B16" w:rsidP="002672A0">
      <w:pPr>
        <w:pStyle w:val="ListParagraph"/>
        <w:numPr>
          <w:ilvl w:val="0"/>
          <w:numId w:val="21"/>
        </w:numPr>
        <w:spacing w:line="240" w:lineRule="auto"/>
        <w:jc w:val="both"/>
        <w:rPr>
          <w:rFonts w:ascii="Arial" w:hAnsi="Arial" w:cs="Arial"/>
        </w:rPr>
      </w:pPr>
      <w:bookmarkStart w:id="85" w:name="_Toc78388423"/>
      <w:bookmarkStart w:id="86" w:name="_Toc80099062"/>
      <w:r w:rsidRPr="00F05339">
        <w:rPr>
          <w:rFonts w:ascii="Arial" w:hAnsi="Arial" w:cs="Arial"/>
          <w:i/>
        </w:rPr>
        <w:t>Thermochemical hydrogen production</w:t>
      </w:r>
      <w:bookmarkEnd w:id="85"/>
      <w:bookmarkEnd w:id="86"/>
    </w:p>
    <w:p w14:paraId="218A1F05" w14:textId="77777777" w:rsidR="00554B16" w:rsidRPr="00F05339" w:rsidRDefault="00554B16" w:rsidP="00554B16">
      <w:pPr>
        <w:autoSpaceDE w:val="0"/>
        <w:autoSpaceDN w:val="0"/>
        <w:adjustRightInd w:val="0"/>
        <w:spacing w:after="0" w:line="240" w:lineRule="auto"/>
        <w:jc w:val="both"/>
        <w:rPr>
          <w:rFonts w:ascii="Arial" w:hAnsi="Arial" w:cs="Arial"/>
        </w:rPr>
      </w:pPr>
      <w:r w:rsidRPr="00F05339">
        <w:rPr>
          <w:rFonts w:ascii="Arial" w:hAnsi="Arial" w:cs="Arial"/>
        </w:rPr>
        <w:t xml:space="preserve">Solar thermochemical production has much promise due to the potentially high solar to hydrogen efficiency (35-50%, compared to PV+EL efficiency of around 12%).  </w:t>
      </w:r>
      <w:r w:rsidRPr="00F05339">
        <w:rPr>
          <w:rFonts w:ascii="Arial" w:hAnsi="Arial" w:cs="Arial"/>
          <w:lang w:eastAsia="bg-BG"/>
        </w:rPr>
        <w:t xml:space="preserve">The HYDROSOL-beyond project, a </w:t>
      </w:r>
      <w:r w:rsidRPr="00F05339">
        <w:rPr>
          <w:rFonts w:ascii="Arial" w:hAnsi="Arial" w:cs="Arial"/>
        </w:rPr>
        <w:t>750-kW solar plant in Almeria, Spain</w:t>
      </w:r>
      <w:r w:rsidRPr="00F05339">
        <w:rPr>
          <w:rFonts w:ascii="Arial" w:hAnsi="Arial" w:cs="Arial"/>
          <w:lang w:eastAsia="bg-BG"/>
        </w:rPr>
        <w:t>, is currently the only large-scale solar thermochemical hydrogen production unit in the world</w:t>
      </w:r>
      <w:r w:rsidRPr="00F05339">
        <w:rPr>
          <w:rFonts w:ascii="Arial" w:hAnsi="Arial" w:cs="Arial"/>
        </w:rPr>
        <w:t xml:space="preserve">. The concept is based on redox-structured monolithic solar reactors </w:t>
      </w:r>
      <w:proofErr w:type="gramStart"/>
      <w:r w:rsidRPr="00F05339">
        <w:rPr>
          <w:rFonts w:ascii="Arial" w:hAnsi="Arial" w:cs="Arial"/>
        </w:rPr>
        <w:t>for the production of</w:t>
      </w:r>
      <w:proofErr w:type="gramEnd"/>
      <w:r w:rsidRPr="00F05339">
        <w:rPr>
          <w:rFonts w:ascii="Arial" w:hAnsi="Arial" w:cs="Arial"/>
        </w:rPr>
        <w:t xml:space="preserve"> hydrogen from water. HYDROSOL-beyond is aiming to address material and component issues encountered in its predecessor HYDROSOL-PLANT. The project should double the current SoA of 5 % solar-to-hydrogen efficiency through novel design solutions, </w:t>
      </w:r>
      <w:proofErr w:type="gramStart"/>
      <w:r w:rsidRPr="00F05339">
        <w:rPr>
          <w:rFonts w:ascii="Arial" w:hAnsi="Arial" w:cs="Arial"/>
        </w:rPr>
        <w:t>in particular a</w:t>
      </w:r>
      <w:proofErr w:type="gramEnd"/>
      <w:r w:rsidRPr="00F05339">
        <w:rPr>
          <w:rFonts w:ascii="Arial" w:hAnsi="Arial" w:cs="Arial"/>
        </w:rPr>
        <w:t xml:space="preserve"> more efficient heat exchanger</w:t>
      </w:r>
      <w:r w:rsidRPr="00F05339" w:rsidDel="00C05B1A">
        <w:rPr>
          <w:rFonts w:ascii="Arial" w:hAnsi="Arial" w:cs="Arial"/>
        </w:rPr>
        <w:t xml:space="preserve"> </w:t>
      </w:r>
      <w:r w:rsidRPr="00F05339">
        <w:rPr>
          <w:rFonts w:ascii="Arial" w:hAnsi="Arial" w:cs="Arial"/>
        </w:rPr>
        <w:t xml:space="preserve">to improve heat recovery. </w:t>
      </w:r>
    </w:p>
    <w:p w14:paraId="4AD4C2C4" w14:textId="77777777" w:rsidR="00554B16" w:rsidRPr="00F05339" w:rsidRDefault="00554B16" w:rsidP="00554B16">
      <w:pPr>
        <w:autoSpaceDE w:val="0"/>
        <w:autoSpaceDN w:val="0"/>
        <w:adjustRightInd w:val="0"/>
        <w:spacing w:after="0" w:line="240" w:lineRule="auto"/>
        <w:jc w:val="both"/>
        <w:rPr>
          <w:rFonts w:ascii="Arial" w:hAnsi="Arial" w:cs="Arial"/>
        </w:rPr>
      </w:pPr>
    </w:p>
    <w:p w14:paraId="5F40B344" w14:textId="77777777" w:rsidR="00554B16" w:rsidRPr="00F05339" w:rsidRDefault="00554B16" w:rsidP="002672A0">
      <w:pPr>
        <w:pStyle w:val="ListParagraph"/>
        <w:numPr>
          <w:ilvl w:val="0"/>
          <w:numId w:val="21"/>
        </w:numPr>
        <w:spacing w:line="240" w:lineRule="auto"/>
        <w:jc w:val="both"/>
        <w:rPr>
          <w:rFonts w:ascii="Arial" w:hAnsi="Arial" w:cs="Arial"/>
          <w:i/>
        </w:rPr>
      </w:pPr>
      <w:r w:rsidRPr="00F05339">
        <w:rPr>
          <w:rFonts w:ascii="Arial" w:hAnsi="Arial" w:cs="Arial"/>
          <w:i/>
        </w:rPr>
        <w:t>Photoelectrochemical hydrogen production</w:t>
      </w:r>
    </w:p>
    <w:p w14:paraId="502A1E47" w14:textId="3C3E2E3E" w:rsidR="00554B16" w:rsidRPr="00F05339" w:rsidRDefault="00554B16" w:rsidP="00554B16">
      <w:pPr>
        <w:spacing w:line="240" w:lineRule="auto"/>
        <w:jc w:val="both"/>
        <w:rPr>
          <w:rFonts w:ascii="Arial" w:hAnsi="Arial" w:cs="Arial"/>
        </w:rPr>
      </w:pPr>
      <w:r w:rsidRPr="00F05339">
        <w:rPr>
          <w:rFonts w:ascii="Arial" w:hAnsi="Arial" w:cs="Arial"/>
        </w:rPr>
        <w:t>The</w:t>
      </w:r>
      <w:r w:rsidRPr="00F05339">
        <w:rPr>
          <w:rFonts w:ascii="Arial" w:hAnsi="Arial" w:cs="Arial"/>
          <w:b/>
        </w:rPr>
        <w:t xml:space="preserve"> </w:t>
      </w:r>
      <w:r w:rsidRPr="00F05339">
        <w:rPr>
          <w:rFonts w:ascii="Arial" w:hAnsi="Arial" w:cs="Arial"/>
        </w:rPr>
        <w:t xml:space="preserve">PECSYS project, which ended in 2020, developed and tested an integrated </w:t>
      </w:r>
      <w:r w:rsidRPr="00F05339">
        <w:rPr>
          <w:rFonts w:ascii="Arial" w:hAnsi="Arial" w:cs="Arial"/>
          <w:bCs/>
          <w:iCs/>
        </w:rPr>
        <w:t xml:space="preserve">photo- </w:t>
      </w:r>
      <w:r w:rsidRPr="00F05339">
        <w:rPr>
          <w:rFonts w:ascii="Arial" w:hAnsi="Arial" w:cs="Arial"/>
        </w:rPr>
        <w:t xml:space="preserve">electrochemical cell hydrogen generator at various prototype scales. Several concepts were explored for the direct coupling of an electrolyser to photovoltaic panels (see </w:t>
      </w:r>
      <w:r w:rsidRPr="00F05339">
        <w:rPr>
          <w:rFonts w:ascii="Arial" w:hAnsi="Arial" w:cs="Arial"/>
        </w:rPr>
        <w:fldChar w:fldCharType="begin"/>
      </w:r>
      <w:r w:rsidRPr="00F05339">
        <w:rPr>
          <w:rFonts w:ascii="Arial" w:hAnsi="Arial" w:cs="Arial"/>
        </w:rPr>
        <w:instrText xml:space="preserve"> REF _Ref98090598 \h </w:instrText>
      </w:r>
      <w:r w:rsidR="00F05339">
        <w:rPr>
          <w:rFonts w:ascii="Arial" w:hAnsi="Arial" w:cs="Arial"/>
        </w:rPr>
        <w:instrText xml:space="preserve"> \* MERGEFORMAT </w:instrText>
      </w:r>
      <w:r w:rsidRPr="00F05339">
        <w:rPr>
          <w:rFonts w:ascii="Arial" w:hAnsi="Arial" w:cs="Arial"/>
        </w:rPr>
      </w:r>
      <w:r w:rsidRPr="00F05339">
        <w:rPr>
          <w:rFonts w:ascii="Arial" w:hAnsi="Arial" w:cs="Arial"/>
        </w:rPr>
        <w:fldChar w:fldCharType="separate"/>
      </w:r>
      <w:r w:rsidR="003068B5" w:rsidRPr="00F05339">
        <w:rPr>
          <w:rFonts w:ascii="Arial" w:hAnsi="Arial" w:cs="Arial"/>
        </w:rPr>
        <w:t xml:space="preserve">Figure </w:t>
      </w:r>
      <w:r w:rsidR="003068B5">
        <w:rPr>
          <w:rFonts w:ascii="Arial" w:hAnsi="Arial" w:cs="Arial"/>
          <w:noProof/>
        </w:rPr>
        <w:t>16</w:t>
      </w:r>
      <w:r w:rsidRPr="00F05339">
        <w:rPr>
          <w:rFonts w:ascii="Arial" w:hAnsi="Arial" w:cs="Arial"/>
        </w:rPr>
        <w:fldChar w:fldCharType="end"/>
      </w:r>
      <w:r w:rsidRPr="00F05339">
        <w:rPr>
          <w:rFonts w:ascii="Arial" w:hAnsi="Arial" w:cs="Arial"/>
          <w:noProof/>
        </w:rPr>
        <w:t>)</w:t>
      </w:r>
      <w:r w:rsidRPr="00F05339">
        <w:rPr>
          <w:rFonts w:ascii="Arial" w:hAnsi="Arial" w:cs="Arial"/>
          <w:i/>
        </w:rPr>
        <w:t xml:space="preserve">. </w:t>
      </w:r>
      <w:r w:rsidRPr="00F05339">
        <w:rPr>
          <w:rFonts w:ascii="Arial" w:hAnsi="Arial" w:cs="Arial"/>
        </w:rPr>
        <w:t>For a smaller device, a solar to hydrogen conversion efficiency of up to 13 % (ambient conditions 1 000 W/m², 25 °C) for a 100 cm</w:t>
      </w:r>
      <w:r w:rsidRPr="00F05339">
        <w:rPr>
          <w:rFonts w:ascii="Arial" w:hAnsi="Arial" w:cs="Arial"/>
          <w:vertAlign w:val="superscript"/>
        </w:rPr>
        <w:t>2</w:t>
      </w:r>
      <w:r w:rsidRPr="00F05339">
        <w:rPr>
          <w:rFonts w:ascii="Arial" w:hAnsi="Arial" w:cs="Arial"/>
        </w:rPr>
        <w:t xml:space="preserve"> CIGS/NiO|NiMoV unit has been reached. Overall, the project achieved TRL 6; the demonstrator achieved an average efficiency of 10 % and produced 22 kg of hydrogen during its 9 months of operation. The final 10 m² demonstrator consisted of an array of CIGS and SHJ photovoltaic modules directly coupled to an electrolyser stack. A hydrogen production rate which is almost double that of the current SoA of 2.3 g/h m</w:t>
      </w:r>
      <w:r w:rsidRPr="00F05339">
        <w:rPr>
          <w:rFonts w:ascii="Arial" w:hAnsi="Arial" w:cs="Arial"/>
          <w:vertAlign w:val="superscript"/>
        </w:rPr>
        <w:t>2</w:t>
      </w:r>
      <w:r w:rsidRPr="00F05339">
        <w:rPr>
          <w:rFonts w:ascii="Arial" w:hAnsi="Arial" w:cs="Arial"/>
        </w:rPr>
        <w:t xml:space="preserve"> has been achieved. </w:t>
      </w:r>
    </w:p>
    <w:p w14:paraId="7AD87D2E" w14:textId="3880D14C" w:rsidR="00554B16" w:rsidRPr="00F05339" w:rsidRDefault="00554B16" w:rsidP="00554B16">
      <w:pPr>
        <w:spacing w:line="240" w:lineRule="auto"/>
        <w:jc w:val="both"/>
        <w:rPr>
          <w:rFonts w:ascii="Arial" w:hAnsi="Arial" w:cs="Arial"/>
        </w:rPr>
      </w:pPr>
      <w:r w:rsidRPr="00F05339">
        <w:rPr>
          <w:rFonts w:ascii="Arial" w:hAnsi="Arial" w:cs="Arial"/>
        </w:rPr>
        <w:t xml:space="preserve">The cost and lifetime issues may limit the potential of this technology for its intended application, namely, to be deployed on residential rooftops in remote areas. More operational data would be needed for the JU programme to assess the prospects of this technology. </w:t>
      </w:r>
    </w:p>
    <w:p w14:paraId="5E47436C" w14:textId="77777777" w:rsidR="00554B16" w:rsidRPr="00F05339" w:rsidRDefault="00554B16" w:rsidP="00554B16">
      <w:pPr>
        <w:keepNext/>
        <w:spacing w:line="240" w:lineRule="auto"/>
        <w:jc w:val="both"/>
        <w:rPr>
          <w:rFonts w:ascii="Arial" w:hAnsi="Arial" w:cs="Arial"/>
        </w:rPr>
      </w:pPr>
      <w:r w:rsidRPr="00F05339">
        <w:rPr>
          <w:rFonts w:ascii="Arial" w:hAnsi="Arial" w:cs="Arial"/>
          <w:noProof/>
          <w:lang w:eastAsia="en-GB"/>
        </w:rPr>
        <w:lastRenderedPageBreak/>
        <w:drawing>
          <wp:inline distT="0" distB="0" distL="0" distR="0" wp14:anchorId="4E47A748" wp14:editId="2DE953F1">
            <wp:extent cx="5237363" cy="2819400"/>
            <wp:effectExtent l="0" t="0" r="1905" b="0"/>
            <wp:docPr id="116" name="Picture 11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Graphical user interface&#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57772" cy="2830387"/>
                    </a:xfrm>
                    <a:prstGeom prst="rect">
                      <a:avLst/>
                    </a:prstGeom>
                    <a:noFill/>
                  </pic:spPr>
                </pic:pic>
              </a:graphicData>
            </a:graphic>
          </wp:inline>
        </w:drawing>
      </w:r>
    </w:p>
    <w:p w14:paraId="6EF26DDC" w14:textId="62DF3EE1" w:rsidR="00554B16" w:rsidRPr="00F05339" w:rsidRDefault="00554B16" w:rsidP="00554B16">
      <w:pPr>
        <w:pStyle w:val="Caption"/>
        <w:jc w:val="both"/>
        <w:rPr>
          <w:rFonts w:ascii="Arial" w:hAnsi="Arial" w:cs="Arial"/>
        </w:rPr>
      </w:pPr>
      <w:bookmarkStart w:id="87" w:name="_Ref98090598"/>
      <w:r w:rsidRPr="00F05339">
        <w:rPr>
          <w:rFonts w:ascii="Arial" w:hAnsi="Arial" w:cs="Arial"/>
        </w:rPr>
        <w:t xml:space="preserve">Figure </w:t>
      </w:r>
      <w:r w:rsidR="00B46C9D" w:rsidRPr="00F05339">
        <w:rPr>
          <w:rFonts w:ascii="Arial" w:hAnsi="Arial" w:cs="Arial"/>
        </w:rPr>
        <w:fldChar w:fldCharType="begin"/>
      </w:r>
      <w:r w:rsidR="00B46C9D" w:rsidRPr="00F05339">
        <w:rPr>
          <w:rFonts w:ascii="Arial" w:hAnsi="Arial" w:cs="Arial"/>
        </w:rPr>
        <w:instrText xml:space="preserve"> SEQ Figure \* ARABIC </w:instrText>
      </w:r>
      <w:r w:rsidR="00B46C9D" w:rsidRPr="00F05339">
        <w:rPr>
          <w:rFonts w:ascii="Arial" w:hAnsi="Arial" w:cs="Arial"/>
        </w:rPr>
        <w:fldChar w:fldCharType="separate"/>
      </w:r>
      <w:r w:rsidR="003068B5">
        <w:rPr>
          <w:rFonts w:ascii="Arial" w:hAnsi="Arial" w:cs="Arial"/>
          <w:noProof/>
        </w:rPr>
        <w:t>16</w:t>
      </w:r>
      <w:r w:rsidR="00B46C9D" w:rsidRPr="00F05339">
        <w:rPr>
          <w:rFonts w:ascii="Arial" w:hAnsi="Arial" w:cs="Arial"/>
          <w:noProof/>
        </w:rPr>
        <w:fldChar w:fldCharType="end"/>
      </w:r>
      <w:bookmarkEnd w:id="87"/>
      <w:r w:rsidRPr="00F05339">
        <w:rPr>
          <w:rFonts w:ascii="Arial" w:hAnsi="Arial" w:cs="Arial"/>
        </w:rPr>
        <w:t xml:space="preserve">: PECSYS </w:t>
      </w:r>
      <w:r w:rsidRPr="00F05339">
        <w:rPr>
          <w:rFonts w:ascii="Arial" w:hAnsi="Arial" w:cs="Arial"/>
          <w:smallCaps w:val="0"/>
        </w:rPr>
        <w:t>Concepts</w:t>
      </w:r>
      <w:r w:rsidRPr="00F05339">
        <w:rPr>
          <w:rFonts w:ascii="Arial" w:hAnsi="Arial" w:cs="Arial"/>
        </w:rPr>
        <w:t xml:space="preserve">. </w:t>
      </w:r>
      <w:r w:rsidRPr="00F05339">
        <w:rPr>
          <w:rFonts w:ascii="Arial" w:hAnsi="Arial" w:cs="Arial"/>
          <w:smallCaps w:val="0"/>
        </w:rPr>
        <w:t xml:space="preserve">Source: </w:t>
      </w:r>
      <w:hyperlink r:id="rId36" w:history="1">
        <w:r w:rsidRPr="00F05339">
          <w:rPr>
            <w:rStyle w:val="Hyperlink"/>
            <w:rFonts w:ascii="Arial" w:hAnsi="Arial" w:cs="Arial"/>
            <w:smallCaps w:val="0"/>
          </w:rPr>
          <w:t>HTTPS://WWW.HELMHOLTZ-BERLIN.DE/PROJECTS/PECSYS/</w:t>
        </w:r>
      </w:hyperlink>
      <w:r w:rsidRPr="00F05339">
        <w:rPr>
          <w:rFonts w:ascii="Arial" w:hAnsi="Arial" w:cs="Arial"/>
        </w:rPr>
        <w:t xml:space="preserve"> </w:t>
      </w:r>
    </w:p>
    <w:p w14:paraId="656D72C7" w14:textId="77777777" w:rsidR="00554B16" w:rsidRPr="00F05339" w:rsidRDefault="00554B16" w:rsidP="00243CE5">
      <w:pPr>
        <w:pStyle w:val="Heading3"/>
        <w:numPr>
          <w:ilvl w:val="3"/>
          <w:numId w:val="1"/>
        </w:numPr>
        <w:jc w:val="both"/>
        <w:rPr>
          <w:rFonts w:ascii="Arial" w:hAnsi="Arial" w:cs="Arial"/>
        </w:rPr>
      </w:pPr>
      <w:bookmarkStart w:id="88" w:name="_Toc98496332"/>
      <w:bookmarkStart w:id="89" w:name="_Toc101516055"/>
      <w:r w:rsidRPr="00F05339">
        <w:rPr>
          <w:rFonts w:ascii="Arial" w:hAnsi="Arial" w:cs="Arial"/>
        </w:rPr>
        <w:t xml:space="preserve">Hydrogen storage, </w:t>
      </w:r>
      <w:proofErr w:type="gramStart"/>
      <w:r w:rsidRPr="00F05339">
        <w:rPr>
          <w:rFonts w:ascii="Arial" w:hAnsi="Arial" w:cs="Arial"/>
        </w:rPr>
        <w:t>distribution</w:t>
      </w:r>
      <w:proofErr w:type="gramEnd"/>
      <w:r w:rsidRPr="00F05339">
        <w:rPr>
          <w:rFonts w:ascii="Arial" w:hAnsi="Arial" w:cs="Arial"/>
        </w:rPr>
        <w:t xml:space="preserve"> and purification</w:t>
      </w:r>
      <w:bookmarkEnd w:id="88"/>
      <w:bookmarkEnd w:id="89"/>
    </w:p>
    <w:p w14:paraId="32D91ED3" w14:textId="77777777" w:rsidR="00554B16" w:rsidRPr="00F05339" w:rsidRDefault="00554B16" w:rsidP="00554B16">
      <w:pPr>
        <w:spacing w:line="240" w:lineRule="auto"/>
        <w:jc w:val="both"/>
        <w:rPr>
          <w:rFonts w:ascii="Arial" w:hAnsi="Arial" w:cs="Arial"/>
        </w:rPr>
      </w:pPr>
      <w:r w:rsidRPr="00F05339">
        <w:rPr>
          <w:rFonts w:ascii="Arial" w:hAnsi="Arial" w:cs="Arial"/>
        </w:rPr>
        <w:t>This area covers the projects HySTOC, HyCARE, HyGrid, MEMPHYS and HIGGS.</w:t>
      </w:r>
    </w:p>
    <w:p w14:paraId="4E805905" w14:textId="77777777" w:rsidR="00554B16" w:rsidRPr="00F05339" w:rsidRDefault="00554B16" w:rsidP="00554B16">
      <w:pPr>
        <w:spacing w:line="240" w:lineRule="auto"/>
        <w:jc w:val="both"/>
        <w:rPr>
          <w:rFonts w:ascii="Arial" w:hAnsi="Arial" w:cs="Arial"/>
        </w:rPr>
      </w:pPr>
      <w:r w:rsidRPr="00F05339">
        <w:rPr>
          <w:rFonts w:ascii="Arial" w:hAnsi="Arial" w:cs="Arial"/>
        </w:rPr>
        <w:t>The HYSTOC</w:t>
      </w:r>
      <w:r w:rsidRPr="00F05339">
        <w:rPr>
          <w:rFonts w:ascii="Arial" w:hAnsi="Arial" w:cs="Arial"/>
          <w:vertAlign w:val="superscript"/>
        </w:rPr>
        <w:footnoteReference w:id="30"/>
      </w:r>
      <w:r w:rsidRPr="00F05339">
        <w:rPr>
          <w:rFonts w:ascii="Arial" w:hAnsi="Arial" w:cs="Arial"/>
        </w:rPr>
        <w:t xml:space="preserve"> project aims to develop and demonstrate a transport and storage system for HRS using a liquid organic hydrogen </w:t>
      </w:r>
      <w:proofErr w:type="gramStart"/>
      <w:r w:rsidRPr="00F05339">
        <w:rPr>
          <w:rFonts w:ascii="Arial" w:hAnsi="Arial" w:cs="Arial"/>
        </w:rPr>
        <w:t>carriers (LOHC)</w:t>
      </w:r>
      <w:proofErr w:type="gramEnd"/>
      <w:r w:rsidRPr="00F05339">
        <w:rPr>
          <w:rFonts w:ascii="Arial" w:hAnsi="Arial" w:cs="Arial"/>
        </w:rPr>
        <w:t xml:space="preserve">. These compounds, which </w:t>
      </w:r>
      <w:proofErr w:type="gramStart"/>
      <w:r w:rsidRPr="00F05339">
        <w:rPr>
          <w:rFonts w:ascii="Arial" w:hAnsi="Arial" w:cs="Arial"/>
        </w:rPr>
        <w:t>are able to</w:t>
      </w:r>
      <w:proofErr w:type="gramEnd"/>
      <w:r w:rsidRPr="00F05339">
        <w:rPr>
          <w:rFonts w:ascii="Arial" w:hAnsi="Arial" w:cs="Arial"/>
        </w:rPr>
        <w:t xml:space="preserve"> release or accept hydrogen, have similar properties to crude oil and can be stored and transported over long distances at ambient conditions in large oil tankers without significant losses. According to a recent study by the JRC</w:t>
      </w:r>
      <w:r w:rsidRPr="00F05339">
        <w:rPr>
          <w:rFonts w:ascii="Arial" w:hAnsi="Arial" w:cs="Arial"/>
          <w:vertAlign w:val="superscript"/>
        </w:rPr>
        <w:fldChar w:fldCharType="begin" w:fldLock="1"/>
      </w:r>
      <w:r w:rsidRPr="00F05339">
        <w:rPr>
          <w:rFonts w:ascii="Arial" w:hAnsi="Arial" w:cs="Arial"/>
          <w:vertAlign w:val="superscript"/>
        </w:rPr>
        <w:instrText>ADDIN CSL_CITATION {"citationItems":[{"id":"ITEM-1","itemData":{"author":[{"dropping-particle":"","family":"Ortiz Cebolla","given":"Rafael","non-dropping-particle":"","parse-names":false,"suffix":""},{"dropping-particle":"","family":"Dolci","given":"Francesco","non-dropping-particle":"","parse-names":false,"suffix":""},{"dropping-particle":"","family":"Weidner","given":"Eveline","non-dropping-particle":"","parse-names":false,"suffix":""}],"container-title":"EU , JRC124206","id":"ITEM-1","issued":{"date-parts":[["2021"]]},"title":"Assessment of Hydrogen Delivery Options","type":"report"},"uris":["http://www.mendeley.com/documents/?uuid=ac04826f-ee5c-49b5-8d7c-87fd2f67589b"]}],"mendeley":{"formattedCitation":"[4]","plainTextFormattedCitation":"[4]","previouslyFormattedCitation":"[4]"},"properties":{"noteIndex":0},"schema":"https://github.com/citation-style-language/schema/raw/master/csl-citation.json"}</w:instrText>
      </w:r>
      <w:r w:rsidRPr="00F05339">
        <w:rPr>
          <w:rFonts w:ascii="Arial" w:hAnsi="Arial" w:cs="Arial"/>
          <w:vertAlign w:val="superscript"/>
        </w:rPr>
        <w:fldChar w:fldCharType="end"/>
      </w:r>
      <w:r w:rsidRPr="00F05339">
        <w:rPr>
          <w:rFonts w:ascii="Arial" w:hAnsi="Arial" w:cs="Arial"/>
          <w:vertAlign w:val="superscript"/>
        </w:rPr>
        <w:footnoteReference w:id="31"/>
      </w:r>
      <w:r w:rsidRPr="00F05339">
        <w:rPr>
          <w:rFonts w:ascii="Arial" w:hAnsi="Arial" w:cs="Arial"/>
        </w:rPr>
        <w:t>, hydrogen carrier systems can be among the lowest cost options for the long-distance transportation of hydrogen. the LOHC under consideration is dibenzyltoluene (DBT) which has advantageous properties in terms of storage and transport efficiency: a high storage density and little or no need for cooling and compression or purification. Currently, the project is close to finalising the commissioning of a hydrogen release plant which will be able to release up to 20 kg of hydrogen per day, with the hydrogenation plant already operational.</w:t>
      </w:r>
    </w:p>
    <w:p w14:paraId="2CE402E3" w14:textId="77777777" w:rsidR="00554B16" w:rsidRPr="00F05339" w:rsidRDefault="00554B16" w:rsidP="00554B16">
      <w:pPr>
        <w:pStyle w:val="Default"/>
        <w:jc w:val="both"/>
        <w:rPr>
          <w:rFonts w:ascii="Arial" w:hAnsi="Arial" w:cs="Arial"/>
          <w:color w:val="auto"/>
          <w:sz w:val="22"/>
          <w:szCs w:val="22"/>
        </w:rPr>
      </w:pPr>
      <w:r w:rsidRPr="00F05339">
        <w:rPr>
          <w:rFonts w:ascii="Arial" w:hAnsi="Arial" w:cs="Arial"/>
          <w:color w:val="auto"/>
          <w:sz w:val="22"/>
          <w:szCs w:val="22"/>
        </w:rPr>
        <w:t>The HYCARE</w:t>
      </w:r>
      <w:r w:rsidRPr="00F05339">
        <w:rPr>
          <w:rStyle w:val="FootnoteReference"/>
          <w:rFonts w:ascii="Arial" w:hAnsi="Arial" w:cs="Arial"/>
          <w:color w:val="auto"/>
          <w:sz w:val="22"/>
          <w:szCs w:val="22"/>
        </w:rPr>
        <w:footnoteReference w:id="32"/>
      </w:r>
      <w:r w:rsidRPr="00F05339">
        <w:rPr>
          <w:rFonts w:ascii="Arial" w:hAnsi="Arial" w:cs="Arial"/>
          <w:color w:val="auto"/>
          <w:sz w:val="22"/>
          <w:szCs w:val="22"/>
        </w:rPr>
        <w:t xml:space="preserve"> project is developing a prototype large scale hydrogen storage tank based on solid-state storage (ferro-titanium). If successful, this system will be the largest demonstration of stationary solid state hydrogen storage, with a capacity of 50 kg of hydrogen stored. This storage technology has also </w:t>
      </w:r>
      <w:proofErr w:type="gramStart"/>
      <w:r w:rsidRPr="00F05339">
        <w:rPr>
          <w:rFonts w:ascii="Arial" w:hAnsi="Arial" w:cs="Arial"/>
          <w:color w:val="auto"/>
          <w:sz w:val="22"/>
          <w:szCs w:val="22"/>
        </w:rPr>
        <w:t>advantages</w:t>
      </w:r>
      <w:proofErr w:type="gramEnd"/>
      <w:r w:rsidRPr="00F05339">
        <w:rPr>
          <w:rFonts w:ascii="Arial" w:hAnsi="Arial" w:cs="Arial"/>
          <w:color w:val="auto"/>
          <w:sz w:val="22"/>
          <w:szCs w:val="22"/>
        </w:rPr>
        <w:t xml:space="preserve"> in terms of safety due to the low storage pressure of less than 50 bars. </w:t>
      </w:r>
    </w:p>
    <w:p w14:paraId="424F91C9" w14:textId="77777777" w:rsidR="00554B16" w:rsidRPr="00F05339" w:rsidRDefault="00554B16" w:rsidP="00554B16">
      <w:pPr>
        <w:pStyle w:val="Default"/>
        <w:jc w:val="both"/>
        <w:rPr>
          <w:rFonts w:ascii="Arial" w:hAnsi="Arial" w:cs="Arial"/>
          <w:color w:val="auto"/>
          <w:sz w:val="22"/>
          <w:szCs w:val="22"/>
        </w:rPr>
      </w:pPr>
    </w:p>
    <w:p w14:paraId="0198A543" w14:textId="77777777" w:rsidR="00554B16" w:rsidRPr="00F05339" w:rsidRDefault="00554B16" w:rsidP="00554B16">
      <w:pPr>
        <w:spacing w:line="240" w:lineRule="auto"/>
        <w:jc w:val="both"/>
        <w:rPr>
          <w:rFonts w:ascii="Arial" w:hAnsi="Arial" w:cs="Arial"/>
        </w:rPr>
      </w:pPr>
      <w:r w:rsidRPr="00F05339">
        <w:rPr>
          <w:rFonts w:ascii="Arial" w:eastAsia="Times New Roman" w:hAnsi="Arial" w:cs="Arial"/>
          <w:lang w:eastAsia="en-GB"/>
        </w:rPr>
        <w:t>The HYGRID</w:t>
      </w:r>
      <w:r w:rsidRPr="00F05339">
        <w:rPr>
          <w:rStyle w:val="FootnoteReference"/>
          <w:rFonts w:ascii="Arial" w:eastAsia="Times New Roman" w:hAnsi="Arial" w:cs="Arial"/>
          <w:lang w:eastAsia="en-GB"/>
        </w:rPr>
        <w:footnoteReference w:id="33"/>
      </w:r>
      <w:r w:rsidRPr="00F05339">
        <w:rPr>
          <w:rFonts w:ascii="Arial" w:eastAsia="Times New Roman" w:hAnsi="Arial" w:cs="Arial"/>
          <w:lang w:eastAsia="en-GB"/>
        </w:rPr>
        <w:t xml:space="preserve"> project aims to develop, scale-up and demonstrate a novel membrane-based hybrid technology </w:t>
      </w:r>
      <w:r w:rsidRPr="00F05339">
        <w:rPr>
          <w:rFonts w:ascii="Arial" w:hAnsi="Arial" w:cs="Arial"/>
        </w:rPr>
        <w:t xml:space="preserve">combining </w:t>
      </w:r>
      <w:r w:rsidRPr="00F05339">
        <w:rPr>
          <w:rFonts w:ascii="Arial" w:hAnsi="Arial" w:cs="Arial"/>
          <w:color w:val="000000" w:themeColor="text1"/>
        </w:rPr>
        <w:t>membranes, electrochemical separation, and temperature swing adsorption</w:t>
      </w:r>
      <w:r w:rsidRPr="00F05339">
        <w:rPr>
          <w:rFonts w:ascii="Arial" w:eastAsia="Times New Roman" w:hAnsi="Arial" w:cs="Arial"/>
          <w:lang w:eastAsia="en-GB"/>
        </w:rPr>
        <w:t xml:space="preserve"> for the direct separation of hydrogen from natural gas grids. </w:t>
      </w:r>
      <w:r w:rsidRPr="00F05339">
        <w:rPr>
          <w:rFonts w:ascii="Arial" w:hAnsi="Arial" w:cs="Arial"/>
          <w:color w:val="000000" w:themeColor="text1"/>
        </w:rPr>
        <w:t xml:space="preserve">The objective is </w:t>
      </w:r>
      <w:r w:rsidRPr="00F05339">
        <w:rPr>
          <w:rFonts w:ascii="Arial" w:hAnsi="Arial" w:cs="Arial"/>
        </w:rPr>
        <w:t>to reduce the cost of hydrogen separation to &lt; 1.5 EUR/kg H</w:t>
      </w:r>
      <w:r w:rsidRPr="00F05339">
        <w:rPr>
          <w:rFonts w:ascii="Arial" w:hAnsi="Arial" w:cs="Arial"/>
          <w:vertAlign w:val="subscript"/>
        </w:rPr>
        <w:t>2</w:t>
      </w:r>
      <w:r w:rsidRPr="00F05339">
        <w:rPr>
          <w:rFonts w:ascii="Arial" w:hAnsi="Arial" w:cs="Arial"/>
        </w:rPr>
        <w:t xml:space="preserve"> for recovery rates &gt; 95 % and with an energy consumption of &lt; 5kWh/kg H</w:t>
      </w:r>
      <w:r w:rsidRPr="00F05339">
        <w:rPr>
          <w:rFonts w:ascii="Arial" w:hAnsi="Arial" w:cs="Arial"/>
          <w:vertAlign w:val="subscript"/>
        </w:rPr>
        <w:t>2</w:t>
      </w:r>
      <w:r w:rsidRPr="00F05339">
        <w:rPr>
          <w:rFonts w:ascii="Arial" w:hAnsi="Arial" w:cs="Arial"/>
        </w:rPr>
        <w:t xml:space="preserve">. These targets are for hydrogen concentrations of &lt; 10 vol % in natural gas. All relevant components of the prototype are </w:t>
      </w:r>
      <w:proofErr w:type="gramStart"/>
      <w:r w:rsidRPr="00F05339">
        <w:rPr>
          <w:rFonts w:ascii="Arial" w:hAnsi="Arial" w:cs="Arial"/>
        </w:rPr>
        <w:t>ready</w:t>
      </w:r>
      <w:proofErr w:type="gramEnd"/>
      <w:r w:rsidRPr="00F05339">
        <w:rPr>
          <w:rFonts w:ascii="Arial" w:hAnsi="Arial" w:cs="Arial"/>
        </w:rPr>
        <w:t xml:space="preserve"> and the project </w:t>
      </w:r>
      <w:r w:rsidRPr="00F05339">
        <w:rPr>
          <w:rFonts w:ascii="Arial" w:hAnsi="Arial" w:cs="Arial"/>
        </w:rPr>
        <w:lastRenderedPageBreak/>
        <w:t>can start to test the concept. The development of membranes has led to the creation of a new company involving TECNALIA and TUE, namely H2SITE, for the manufacturing and commercialisation of the technology.</w:t>
      </w:r>
    </w:p>
    <w:p w14:paraId="5808BBA1" w14:textId="77777777" w:rsidR="00554B16" w:rsidRPr="00F05339" w:rsidRDefault="00554B16" w:rsidP="00554B16">
      <w:pPr>
        <w:spacing w:line="240" w:lineRule="auto"/>
        <w:jc w:val="both"/>
        <w:rPr>
          <w:rFonts w:ascii="Arial" w:hAnsi="Arial" w:cs="Arial"/>
          <w:color w:val="000000" w:themeColor="text1"/>
        </w:rPr>
      </w:pPr>
      <w:r w:rsidRPr="00F05339">
        <w:rPr>
          <w:rFonts w:ascii="Arial" w:eastAsia="Times New Roman" w:hAnsi="Arial" w:cs="Arial"/>
          <w:lang w:eastAsia="en-GB"/>
        </w:rPr>
        <w:t>The MEMPHYS</w:t>
      </w:r>
      <w:r w:rsidRPr="00F05339">
        <w:rPr>
          <w:rStyle w:val="FootnoteReference"/>
          <w:rFonts w:ascii="Arial" w:eastAsia="Times New Roman" w:hAnsi="Arial" w:cs="Arial"/>
          <w:lang w:eastAsia="en-GB"/>
        </w:rPr>
        <w:footnoteReference w:id="34"/>
      </w:r>
      <w:r w:rsidRPr="00F05339">
        <w:rPr>
          <w:rFonts w:ascii="Arial" w:eastAsia="Times New Roman" w:hAnsi="Arial" w:cs="Arial"/>
          <w:lang w:eastAsia="en-GB"/>
        </w:rPr>
        <w:t xml:space="preserve"> project, which ended in 2019, targeted the development of a low-energy hydrogen purification system based on electrochemical hydrogen purification (EHP). The focus was on high contaminant tolerance (carbon monoxide) at low system cost, making the system suitable for different applications. The main project targets were to purify 5 kg H</w:t>
      </w:r>
      <w:r w:rsidRPr="00F05339">
        <w:rPr>
          <w:rFonts w:ascii="Arial" w:eastAsia="Times New Roman" w:hAnsi="Arial" w:cs="Arial"/>
          <w:vertAlign w:val="subscript"/>
          <w:lang w:eastAsia="en-GB"/>
        </w:rPr>
        <w:t>2</w:t>
      </w:r>
      <w:r w:rsidRPr="00F05339">
        <w:rPr>
          <w:rFonts w:ascii="Arial" w:eastAsia="Times New Roman" w:hAnsi="Arial" w:cs="Arial"/>
          <w:lang w:eastAsia="en-GB"/>
        </w:rPr>
        <w:t>/day with an energy consumption of &lt;5 kWh/kg H</w:t>
      </w:r>
      <w:r w:rsidRPr="00F05339">
        <w:rPr>
          <w:rFonts w:ascii="Arial" w:eastAsia="Times New Roman" w:hAnsi="Arial" w:cs="Arial"/>
          <w:vertAlign w:val="subscript"/>
          <w:lang w:eastAsia="en-GB"/>
        </w:rPr>
        <w:t>2</w:t>
      </w:r>
      <w:r w:rsidRPr="00F05339">
        <w:rPr>
          <w:rFonts w:ascii="Arial" w:eastAsia="Times New Roman" w:hAnsi="Arial" w:cs="Arial"/>
          <w:lang w:eastAsia="en-GB"/>
        </w:rPr>
        <w:t xml:space="preserve"> with a hydrogen recovery rate of &gt;90 %.  </w:t>
      </w:r>
      <w:r w:rsidRPr="00F05339">
        <w:rPr>
          <w:rFonts w:ascii="Arial" w:hAnsi="Arial" w:cs="Arial"/>
          <w:color w:val="000000" w:themeColor="text1"/>
        </w:rPr>
        <w:t>The best performance of the third-generation stack fell significantly short of the project targets (recovery rate of 95 % and energy demand of 3 kWh/kg H</w:t>
      </w:r>
      <w:r w:rsidRPr="00F05339">
        <w:rPr>
          <w:rFonts w:ascii="Arial" w:hAnsi="Arial" w:cs="Arial"/>
          <w:color w:val="000000" w:themeColor="text1"/>
          <w:vertAlign w:val="subscript"/>
        </w:rPr>
        <w:t>2</w:t>
      </w:r>
      <w:r w:rsidRPr="00F05339">
        <w:rPr>
          <w:rFonts w:ascii="Arial" w:hAnsi="Arial" w:cs="Arial"/>
          <w:color w:val="000000" w:themeColor="text1"/>
        </w:rPr>
        <w:t>) with an energy demand of 6.4 kWh/kg H</w:t>
      </w:r>
      <w:r w:rsidRPr="00F05339">
        <w:rPr>
          <w:rFonts w:ascii="Arial" w:hAnsi="Arial" w:cs="Arial"/>
          <w:color w:val="000000" w:themeColor="text1"/>
          <w:vertAlign w:val="subscript"/>
        </w:rPr>
        <w:t>2</w:t>
      </w:r>
      <w:r w:rsidRPr="00F05339">
        <w:rPr>
          <w:rFonts w:ascii="Arial" w:hAnsi="Arial" w:cs="Arial"/>
          <w:color w:val="000000" w:themeColor="text1"/>
        </w:rPr>
        <w:t xml:space="preserve"> at an 83 % recovery rate. </w:t>
      </w:r>
    </w:p>
    <w:p w14:paraId="6212E37B" w14:textId="77777777" w:rsidR="00554B16" w:rsidRPr="00F05339" w:rsidRDefault="00554B16" w:rsidP="00243CE5">
      <w:pPr>
        <w:pStyle w:val="Heading3"/>
        <w:numPr>
          <w:ilvl w:val="3"/>
          <w:numId w:val="1"/>
        </w:numPr>
        <w:jc w:val="both"/>
        <w:rPr>
          <w:rFonts w:ascii="Arial" w:hAnsi="Arial" w:cs="Arial"/>
        </w:rPr>
      </w:pPr>
      <w:bookmarkStart w:id="90" w:name="_Toc98496333"/>
      <w:bookmarkStart w:id="91" w:name="_Toc101516056"/>
      <w:r w:rsidRPr="00F05339">
        <w:rPr>
          <w:rFonts w:ascii="Arial" w:hAnsi="Arial" w:cs="Arial"/>
        </w:rPr>
        <w:t>Hydrogen territories</w:t>
      </w:r>
      <w:bookmarkEnd w:id="90"/>
      <w:bookmarkEnd w:id="91"/>
    </w:p>
    <w:p w14:paraId="6EE04C91" w14:textId="0001FBAD" w:rsidR="00554B16" w:rsidRPr="00F05339" w:rsidRDefault="009B379E" w:rsidP="00554B16">
      <w:pPr>
        <w:spacing w:after="0" w:line="240" w:lineRule="auto"/>
        <w:jc w:val="both"/>
        <w:rPr>
          <w:rFonts w:ascii="Arial" w:hAnsi="Arial" w:cs="Arial"/>
          <w:color w:val="000000" w:themeColor="text1"/>
        </w:rPr>
      </w:pPr>
      <w:r>
        <w:rPr>
          <w:rFonts w:ascii="Arial" w:hAnsi="Arial" w:cs="Arial"/>
          <w:color w:val="000000" w:themeColor="text1"/>
        </w:rPr>
        <w:t xml:space="preserve">The </w:t>
      </w:r>
      <w:r w:rsidR="00554B16" w:rsidRPr="00F05339">
        <w:rPr>
          <w:rFonts w:ascii="Arial" w:hAnsi="Arial" w:cs="Arial"/>
          <w:color w:val="000000" w:themeColor="text1"/>
        </w:rPr>
        <w:t xml:space="preserve">JU is working together with European regions to realise their potential to </w:t>
      </w:r>
      <w:r w:rsidR="002905BC">
        <w:rPr>
          <w:rFonts w:ascii="Arial" w:hAnsi="Arial" w:cs="Arial"/>
        </w:rPr>
        <w:t>demonstrate</w:t>
      </w:r>
      <w:r w:rsidR="002905BC" w:rsidRPr="00F05339" w:rsidDel="002905BC">
        <w:rPr>
          <w:rFonts w:ascii="Arial" w:hAnsi="Arial" w:cs="Arial"/>
          <w:color w:val="000000" w:themeColor="text1"/>
        </w:rPr>
        <w:t xml:space="preserve"> </w:t>
      </w:r>
      <w:r w:rsidR="00554B16" w:rsidRPr="00F05339">
        <w:rPr>
          <w:rFonts w:ascii="Arial" w:hAnsi="Arial" w:cs="Arial"/>
          <w:color w:val="000000" w:themeColor="text1"/>
        </w:rPr>
        <w:t xml:space="preserve">hydrogen technologies. Part of a larger regional initiative in the Netherlands, the HEAVENN hydrogen valley is seeking to promote and enable the use of green hydrogen across the whole value production chain, distribution, storage and end-use. The project comprises four clusters (see </w:t>
      </w:r>
      <w:r w:rsidR="00554B16" w:rsidRPr="00F05339">
        <w:rPr>
          <w:rFonts w:ascii="Arial" w:hAnsi="Arial" w:cs="Arial"/>
          <w:color w:val="000000" w:themeColor="text1"/>
        </w:rPr>
        <w:fldChar w:fldCharType="begin"/>
      </w:r>
      <w:r w:rsidR="00554B16" w:rsidRPr="00F05339">
        <w:rPr>
          <w:rFonts w:ascii="Arial" w:hAnsi="Arial" w:cs="Arial"/>
          <w:color w:val="000000" w:themeColor="text1"/>
        </w:rPr>
        <w:instrText xml:space="preserve"> REF _Ref98090688 \h  \* MERGEFORMAT </w:instrText>
      </w:r>
      <w:r w:rsidR="00554B16" w:rsidRPr="00F05339">
        <w:rPr>
          <w:rFonts w:ascii="Arial" w:hAnsi="Arial" w:cs="Arial"/>
          <w:color w:val="000000" w:themeColor="text1"/>
        </w:rPr>
      </w:r>
      <w:r w:rsidR="00554B16" w:rsidRPr="00F05339">
        <w:rPr>
          <w:rFonts w:ascii="Arial" w:hAnsi="Arial" w:cs="Arial"/>
          <w:color w:val="000000" w:themeColor="text1"/>
        </w:rPr>
        <w:fldChar w:fldCharType="separate"/>
      </w:r>
      <w:r w:rsidR="003068B5" w:rsidRPr="00F05339">
        <w:rPr>
          <w:rFonts w:ascii="Arial" w:hAnsi="Arial" w:cs="Arial"/>
        </w:rPr>
        <w:t xml:space="preserve">Figure </w:t>
      </w:r>
      <w:r w:rsidR="003068B5">
        <w:rPr>
          <w:rFonts w:ascii="Arial" w:hAnsi="Arial" w:cs="Arial"/>
          <w:noProof/>
        </w:rPr>
        <w:t>17</w:t>
      </w:r>
      <w:r w:rsidR="00554B16" w:rsidRPr="00F05339">
        <w:rPr>
          <w:rFonts w:ascii="Arial" w:hAnsi="Arial" w:cs="Arial"/>
          <w:color w:val="000000" w:themeColor="text1"/>
        </w:rPr>
        <w:fldChar w:fldCharType="end"/>
      </w:r>
      <w:r w:rsidR="00554B16" w:rsidRPr="00F05339">
        <w:rPr>
          <w:rFonts w:ascii="Arial" w:hAnsi="Arial" w:cs="Arial"/>
          <w:color w:val="000000" w:themeColor="text1"/>
        </w:rPr>
        <w:t>) which are at various stages of implementation. For cluster IV, the first vehicles have been procured, including garbage trucks, and the HRS will open soon. A 4-MW electrolyser</w:t>
      </w:r>
      <w:r w:rsidR="00554B16" w:rsidRPr="00F05339">
        <w:rPr>
          <w:rFonts w:ascii="Arial" w:hAnsi="Arial" w:cs="Arial"/>
        </w:rPr>
        <w:t xml:space="preserve">, </w:t>
      </w:r>
      <w:r w:rsidR="00554B16" w:rsidRPr="00F05339">
        <w:rPr>
          <w:rFonts w:ascii="Arial" w:hAnsi="Arial" w:cs="Arial"/>
          <w:color w:val="000000" w:themeColor="text1"/>
        </w:rPr>
        <w:t>for which the concept design has been completed, will be deployed</w:t>
      </w:r>
      <w:r w:rsidR="00554B16" w:rsidRPr="00F05339">
        <w:rPr>
          <w:rFonts w:ascii="Arial" w:hAnsi="Arial" w:cs="Arial"/>
        </w:rPr>
        <w:t xml:space="preserve"> as part of cluster III. </w:t>
      </w:r>
      <w:r w:rsidR="00554B16" w:rsidRPr="00F05339">
        <w:rPr>
          <w:rFonts w:ascii="Arial" w:hAnsi="Arial" w:cs="Arial"/>
          <w:color w:val="000000" w:themeColor="text1"/>
        </w:rPr>
        <w:t xml:space="preserve">The hydrogen pipeline will be designed to enable a future connection to the hydrogen backbone. In cluster II, activities for the salt-cavern hydrogen storage have commenced with first test set-ups. </w:t>
      </w:r>
    </w:p>
    <w:p w14:paraId="2DE643B3" w14:textId="77777777" w:rsidR="00554B16" w:rsidRPr="00F05339" w:rsidRDefault="00554B16" w:rsidP="00554B16">
      <w:pPr>
        <w:spacing w:after="0" w:line="240" w:lineRule="auto"/>
        <w:jc w:val="both"/>
        <w:rPr>
          <w:rFonts w:ascii="Arial" w:hAnsi="Arial" w:cs="Arial"/>
          <w:color w:val="000000" w:themeColor="text1"/>
        </w:rPr>
      </w:pPr>
    </w:p>
    <w:p w14:paraId="75BFE897" w14:textId="77777777" w:rsidR="00554B16" w:rsidRPr="00F05339" w:rsidRDefault="00554B16" w:rsidP="00554B16">
      <w:pPr>
        <w:keepNext/>
        <w:spacing w:line="240" w:lineRule="auto"/>
        <w:jc w:val="both"/>
        <w:rPr>
          <w:rFonts w:ascii="Arial" w:hAnsi="Arial" w:cs="Arial"/>
        </w:rPr>
      </w:pPr>
      <w:r w:rsidRPr="00F05339">
        <w:rPr>
          <w:rFonts w:ascii="Arial" w:hAnsi="Arial" w:cs="Arial"/>
          <w:noProof/>
          <w:lang w:eastAsia="en-GB"/>
        </w:rPr>
        <w:drawing>
          <wp:inline distT="0" distB="0" distL="0" distR="0" wp14:anchorId="6B4615C5" wp14:editId="7ABE22DF">
            <wp:extent cx="5731510" cy="2753995"/>
            <wp:effectExtent l="0" t="0" r="2540" b="8255"/>
            <wp:docPr id="112" name="Picture 1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Diagram&#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31510" cy="2753995"/>
                    </a:xfrm>
                    <a:prstGeom prst="rect">
                      <a:avLst/>
                    </a:prstGeom>
                  </pic:spPr>
                </pic:pic>
              </a:graphicData>
            </a:graphic>
          </wp:inline>
        </w:drawing>
      </w:r>
    </w:p>
    <w:p w14:paraId="5E4ADC65" w14:textId="0CE68A83" w:rsidR="00554B16" w:rsidRPr="00F05339" w:rsidRDefault="00554B16" w:rsidP="00554B16">
      <w:pPr>
        <w:pStyle w:val="Caption"/>
        <w:jc w:val="both"/>
        <w:rPr>
          <w:rFonts w:ascii="Arial" w:hAnsi="Arial" w:cs="Arial"/>
        </w:rPr>
      </w:pPr>
      <w:bookmarkStart w:id="92" w:name="_Ref98090688"/>
      <w:r w:rsidRPr="00F05339">
        <w:rPr>
          <w:rFonts w:ascii="Arial" w:hAnsi="Arial" w:cs="Arial"/>
        </w:rPr>
        <w:t xml:space="preserve">Figure </w:t>
      </w:r>
      <w:r w:rsidR="00B46C9D" w:rsidRPr="00F05339">
        <w:rPr>
          <w:rFonts w:ascii="Arial" w:hAnsi="Arial" w:cs="Arial"/>
        </w:rPr>
        <w:fldChar w:fldCharType="begin"/>
      </w:r>
      <w:r w:rsidR="00B46C9D" w:rsidRPr="00F05339">
        <w:rPr>
          <w:rFonts w:ascii="Arial" w:hAnsi="Arial" w:cs="Arial"/>
        </w:rPr>
        <w:instrText xml:space="preserve"> SEQ Figure \* ARABIC </w:instrText>
      </w:r>
      <w:r w:rsidR="00B46C9D" w:rsidRPr="00F05339">
        <w:rPr>
          <w:rFonts w:ascii="Arial" w:hAnsi="Arial" w:cs="Arial"/>
        </w:rPr>
        <w:fldChar w:fldCharType="separate"/>
      </w:r>
      <w:r w:rsidR="003068B5">
        <w:rPr>
          <w:rFonts w:ascii="Arial" w:hAnsi="Arial" w:cs="Arial"/>
          <w:noProof/>
        </w:rPr>
        <w:t>17</w:t>
      </w:r>
      <w:r w:rsidR="00B46C9D" w:rsidRPr="00F05339">
        <w:rPr>
          <w:rFonts w:ascii="Arial" w:hAnsi="Arial" w:cs="Arial"/>
          <w:noProof/>
        </w:rPr>
        <w:fldChar w:fldCharType="end"/>
      </w:r>
      <w:bookmarkEnd w:id="92"/>
      <w:r w:rsidRPr="00F05339">
        <w:rPr>
          <w:rFonts w:ascii="Arial" w:hAnsi="Arial" w:cs="Arial"/>
        </w:rPr>
        <w:t xml:space="preserve">: </w:t>
      </w:r>
      <w:r w:rsidRPr="00F05339">
        <w:rPr>
          <w:rFonts w:ascii="Arial" w:hAnsi="Arial" w:cs="Arial"/>
          <w:smallCaps w:val="0"/>
        </w:rPr>
        <w:t>Schematic of the HEAVENN project</w:t>
      </w:r>
    </w:p>
    <w:p w14:paraId="2FC229FC" w14:textId="70FE9D68" w:rsidR="0038672F" w:rsidRDefault="0038672F" w:rsidP="0038672F">
      <w:pPr>
        <w:autoSpaceDE w:val="0"/>
        <w:autoSpaceDN w:val="0"/>
        <w:adjustRightInd w:val="0"/>
        <w:spacing w:after="0" w:line="240" w:lineRule="auto"/>
        <w:jc w:val="both"/>
        <w:rPr>
          <w:rFonts w:ascii="Arial" w:hAnsi="Arial" w:cs="Arial"/>
        </w:rPr>
      </w:pPr>
      <w:r w:rsidRPr="0038672F">
        <w:rPr>
          <w:rFonts w:ascii="Arial" w:hAnsi="Arial" w:cs="Arial"/>
        </w:rPr>
        <w:t>Green Hysland is the first Hydrogen Valley in a European Island and will showcase the ability of hydrogen to decarbonise islands at an unprecedented scale</w:t>
      </w:r>
      <w:r w:rsidR="00CC5664">
        <w:rPr>
          <w:rFonts w:ascii="Arial" w:hAnsi="Arial" w:cs="Arial"/>
        </w:rPr>
        <w:t>.</w:t>
      </w:r>
      <w:r w:rsidRPr="0038672F">
        <w:rPr>
          <w:rFonts w:ascii="Arial" w:hAnsi="Arial" w:cs="Arial"/>
        </w:rPr>
        <w:t xml:space="preserve"> </w:t>
      </w:r>
      <w:r w:rsidR="00CC5664">
        <w:rPr>
          <w:rFonts w:ascii="Arial" w:hAnsi="Arial" w:cs="Arial"/>
        </w:rPr>
        <w:t>It</w:t>
      </w:r>
      <w:r w:rsidRPr="0038672F">
        <w:rPr>
          <w:rFonts w:ascii="Arial" w:hAnsi="Arial" w:cs="Arial"/>
        </w:rPr>
        <w:t xml:space="preserve"> will generate, </w:t>
      </w:r>
      <w:proofErr w:type="gramStart"/>
      <w:r w:rsidRPr="0038672F">
        <w:rPr>
          <w:rFonts w:ascii="Arial" w:hAnsi="Arial" w:cs="Arial"/>
        </w:rPr>
        <w:t>distribute</w:t>
      </w:r>
      <w:proofErr w:type="gramEnd"/>
      <w:r w:rsidRPr="0038672F">
        <w:rPr>
          <w:rFonts w:ascii="Arial" w:hAnsi="Arial" w:cs="Arial"/>
        </w:rPr>
        <w:t xml:space="preserve"> and use at least 300 tonnes of renewable hydrogen locally per year, produced from solar energy on the island of Mallorca. Green hydrogen will have multiple applications on the island, including the fuel supply to a fleet of fuel cell buses and fuel cell rental vehicles, the generation of heat and power for commercial and public buildings, the supply of auxiliary power for ferries and port operations and the creation of a hydrogen refuelling station. The estimated duration </w:t>
      </w:r>
      <w:r w:rsidRPr="0038672F">
        <w:rPr>
          <w:rFonts w:ascii="Arial" w:hAnsi="Arial" w:cs="Arial"/>
        </w:rPr>
        <w:lastRenderedPageBreak/>
        <w:t>for the Green Hysland project will be from 2021 to 2025 and will aim to reduce the CO2 emissions of Mallorca up to 20,700 tonnes per year by the end of the project.</w:t>
      </w:r>
    </w:p>
    <w:p w14:paraId="72E9971D" w14:textId="77777777" w:rsidR="00CC5664" w:rsidRDefault="00CC5664" w:rsidP="0038672F">
      <w:pPr>
        <w:autoSpaceDE w:val="0"/>
        <w:autoSpaceDN w:val="0"/>
        <w:adjustRightInd w:val="0"/>
        <w:spacing w:after="0" w:line="240" w:lineRule="auto"/>
        <w:jc w:val="both"/>
        <w:rPr>
          <w:rFonts w:ascii="Arial" w:hAnsi="Arial" w:cs="Arial"/>
        </w:rPr>
      </w:pPr>
    </w:p>
    <w:p w14:paraId="78F5EC20" w14:textId="6A7BF064" w:rsidR="00554B16" w:rsidRPr="00F05339" w:rsidRDefault="00554B16" w:rsidP="0038672F">
      <w:pPr>
        <w:autoSpaceDE w:val="0"/>
        <w:autoSpaceDN w:val="0"/>
        <w:adjustRightInd w:val="0"/>
        <w:spacing w:after="0" w:line="240" w:lineRule="auto"/>
        <w:jc w:val="both"/>
        <w:rPr>
          <w:rFonts w:ascii="Arial" w:hAnsi="Arial" w:cs="Arial"/>
        </w:rPr>
      </w:pPr>
      <w:r w:rsidRPr="00F05339">
        <w:rPr>
          <w:rFonts w:ascii="Arial" w:hAnsi="Arial" w:cs="Arial"/>
        </w:rPr>
        <w:t>The Building Innovative Green Hydrogen Systems in Isolated Territories (BIG HIT) project is in the process of creating a hydrogen ecosystem in the Orkney Islands (Scotland), which will help to minimise the curtailment of renewable electricity. The hydrogen produced is used locally in cogeneration and transport applications.</w:t>
      </w:r>
      <w:r w:rsidRPr="00F05339">
        <w:rPr>
          <w:rFonts w:ascii="Arial" w:hAnsi="Arial" w:cs="Arial"/>
          <w:color w:val="943634" w:themeColor="accent2" w:themeShade="BF"/>
        </w:rPr>
        <w:t xml:space="preserve"> </w:t>
      </w:r>
      <w:r w:rsidRPr="00F05339">
        <w:rPr>
          <w:rFonts w:ascii="Arial" w:hAnsi="Arial" w:cs="Arial"/>
        </w:rPr>
        <w:t>The project has achieved several milestones by deploying 5 hydrogen trailers (250 kg hydrogen storage), a hydrogen catalytic boiler (30 kW), 1-MW electrolyser (ITM Power), 5 hydrogen FC vans, and a 75-kW FC system for cogeneration. The electrolyser is operating and capable of providing hydrogen for the FC vans,</w:t>
      </w:r>
      <w:r w:rsidRPr="00F05339">
        <w:rPr>
          <w:rFonts w:ascii="Arial" w:hAnsi="Arial" w:cs="Arial"/>
          <w:color w:val="943634" w:themeColor="accent2" w:themeShade="BF"/>
        </w:rPr>
        <w:t xml:space="preserve"> </w:t>
      </w:r>
      <w:r w:rsidRPr="00F05339">
        <w:rPr>
          <w:rFonts w:ascii="Arial" w:hAnsi="Arial" w:cs="Arial"/>
        </w:rPr>
        <w:t xml:space="preserve">and 833 refuelling actions were performed in 2020. </w:t>
      </w:r>
    </w:p>
    <w:p w14:paraId="0D7074E0" w14:textId="77777777" w:rsidR="00554B16" w:rsidRPr="00F05339" w:rsidRDefault="00554B16" w:rsidP="00243CE5">
      <w:pPr>
        <w:pStyle w:val="Heading3"/>
        <w:numPr>
          <w:ilvl w:val="3"/>
          <w:numId w:val="1"/>
        </w:numPr>
        <w:jc w:val="both"/>
        <w:rPr>
          <w:rFonts w:ascii="Arial" w:hAnsi="Arial" w:cs="Arial"/>
        </w:rPr>
      </w:pPr>
      <w:bookmarkStart w:id="93" w:name="_Toc98496334"/>
      <w:bookmarkStart w:id="94" w:name="_Toc101516057"/>
      <w:r w:rsidRPr="00F05339">
        <w:rPr>
          <w:rFonts w:ascii="Arial" w:hAnsi="Arial" w:cs="Arial"/>
        </w:rPr>
        <w:t>Support for market uptake - cross-cutting activities</w:t>
      </w:r>
      <w:bookmarkEnd w:id="93"/>
      <w:bookmarkEnd w:id="94"/>
    </w:p>
    <w:p w14:paraId="2E40628F" w14:textId="77777777" w:rsidR="00554B16" w:rsidRPr="00F05339" w:rsidRDefault="00554B16" w:rsidP="00FF4AD3">
      <w:pPr>
        <w:rPr>
          <w:rFonts w:ascii="Arial" w:hAnsi="Arial" w:cs="Arial"/>
        </w:rPr>
      </w:pPr>
      <w:r w:rsidRPr="00F05339">
        <w:rPr>
          <w:rFonts w:ascii="Arial" w:hAnsi="Arial" w:cs="Arial"/>
        </w:rPr>
        <w:t>Cross-cutting activities are related to:</w:t>
      </w:r>
    </w:p>
    <w:p w14:paraId="7711CFBA" w14:textId="77777777" w:rsidR="00554B16" w:rsidRPr="00F05339" w:rsidRDefault="00554B16" w:rsidP="002672A0">
      <w:pPr>
        <w:pStyle w:val="ListParagraph"/>
        <w:numPr>
          <w:ilvl w:val="0"/>
          <w:numId w:val="21"/>
        </w:numPr>
        <w:rPr>
          <w:rFonts w:ascii="Arial" w:hAnsi="Arial" w:cs="Arial"/>
        </w:rPr>
      </w:pPr>
      <w:r w:rsidRPr="00F05339">
        <w:rPr>
          <w:rFonts w:ascii="Arial" w:hAnsi="Arial" w:cs="Arial"/>
        </w:rPr>
        <w:t>Pre-Normative Research (PNR) and input in Regulations Codes and Standards (RCS)</w:t>
      </w:r>
    </w:p>
    <w:p w14:paraId="015B133A" w14:textId="77777777" w:rsidR="00554B16" w:rsidRPr="00F05339" w:rsidRDefault="00554B16" w:rsidP="002672A0">
      <w:pPr>
        <w:pStyle w:val="ListParagraph"/>
        <w:numPr>
          <w:ilvl w:val="0"/>
          <w:numId w:val="21"/>
        </w:numPr>
        <w:rPr>
          <w:rFonts w:ascii="Arial" w:hAnsi="Arial" w:cs="Arial"/>
        </w:rPr>
      </w:pPr>
      <w:r w:rsidRPr="00F05339">
        <w:rPr>
          <w:rFonts w:ascii="Arial" w:hAnsi="Arial" w:cs="Arial"/>
        </w:rPr>
        <w:t>Education and training</w:t>
      </w:r>
    </w:p>
    <w:p w14:paraId="46E1A013" w14:textId="69C72EF3" w:rsidR="00554B16" w:rsidRPr="00E85707" w:rsidRDefault="00554B16" w:rsidP="00E85707">
      <w:pPr>
        <w:pStyle w:val="ListParagraph"/>
        <w:numPr>
          <w:ilvl w:val="0"/>
          <w:numId w:val="21"/>
        </w:numPr>
        <w:rPr>
          <w:rFonts w:ascii="Arial" w:hAnsi="Arial" w:cs="Arial"/>
        </w:rPr>
      </w:pPr>
      <w:r w:rsidRPr="00E85707">
        <w:rPr>
          <w:rFonts w:ascii="Arial" w:hAnsi="Arial" w:cs="Arial"/>
        </w:rPr>
        <w:t>Safety aspects.</w:t>
      </w:r>
    </w:p>
    <w:p w14:paraId="29F48D8A" w14:textId="7E09BA8F" w:rsidR="00554B16" w:rsidRPr="00F05339" w:rsidRDefault="00554B16" w:rsidP="00554B16">
      <w:pPr>
        <w:spacing w:line="240" w:lineRule="auto"/>
        <w:jc w:val="both"/>
        <w:rPr>
          <w:rFonts w:ascii="Arial" w:hAnsi="Arial" w:cs="Arial"/>
          <w:i/>
        </w:rPr>
      </w:pPr>
      <w:bookmarkStart w:id="95" w:name="_Toc83906482"/>
      <w:r w:rsidRPr="00F05339">
        <w:rPr>
          <w:rFonts w:ascii="Arial" w:hAnsi="Arial" w:cs="Arial"/>
        </w:rPr>
        <w:t>To date (2008 to 2020 calls), the JU has supported 48 projects relevant to these activities with a total contribution of EUR 67.5 million complemented by EUR 28.8 million of other contributions</w:t>
      </w:r>
      <w:r w:rsidRPr="00F05339" w:rsidDel="009416CC">
        <w:rPr>
          <w:rFonts w:ascii="Arial" w:hAnsi="Arial" w:cs="Arial"/>
        </w:rPr>
        <w:t>.</w:t>
      </w:r>
    </w:p>
    <w:p w14:paraId="25E6A8B2" w14:textId="77777777" w:rsidR="00554B16" w:rsidRPr="00F05339" w:rsidRDefault="00554B16" w:rsidP="00554B16">
      <w:pPr>
        <w:spacing w:line="240" w:lineRule="auto"/>
        <w:jc w:val="both"/>
        <w:rPr>
          <w:rFonts w:ascii="Arial" w:hAnsi="Arial" w:cs="Arial"/>
          <w:b/>
          <w:bCs/>
          <w:i/>
        </w:rPr>
      </w:pPr>
      <w:r w:rsidRPr="00F05339">
        <w:rPr>
          <w:rFonts w:ascii="Arial" w:hAnsi="Arial" w:cs="Arial"/>
          <w:b/>
          <w:bCs/>
          <w:i/>
        </w:rPr>
        <w:t>Pre-Normative Research/ Safety Codes and Standards (PNR /RCS</w:t>
      </w:r>
      <w:bookmarkEnd w:id="95"/>
      <w:r w:rsidRPr="00F05339">
        <w:rPr>
          <w:rFonts w:ascii="Arial" w:hAnsi="Arial" w:cs="Arial"/>
          <w:b/>
          <w:bCs/>
          <w:i/>
        </w:rPr>
        <w:t>)</w:t>
      </w:r>
    </w:p>
    <w:p w14:paraId="1CE28C08" w14:textId="77777777" w:rsidR="00554B16" w:rsidRPr="00F05339" w:rsidRDefault="00554B16" w:rsidP="00554B16">
      <w:pPr>
        <w:pStyle w:val="BodyText"/>
        <w:jc w:val="both"/>
        <w:rPr>
          <w:rFonts w:ascii="Arial" w:eastAsia="Calibri" w:hAnsi="Arial" w:cs="Arial"/>
          <w:sz w:val="22"/>
          <w:szCs w:val="22"/>
          <w:lang w:eastAsia="en-US"/>
        </w:rPr>
      </w:pPr>
      <w:r w:rsidRPr="00F05339">
        <w:rPr>
          <w:rFonts w:ascii="Arial" w:eastAsia="Calibri" w:hAnsi="Arial" w:cs="Arial"/>
          <w:sz w:val="22"/>
          <w:szCs w:val="22"/>
          <w:lang w:eastAsia="en-US"/>
        </w:rPr>
        <w:t xml:space="preserve">This area PNR/RCS comprises five pre-normative research projects: HYDRAITE, ID-FAST, AD ASTRA, THyGA and PRHYDE. </w:t>
      </w:r>
    </w:p>
    <w:p w14:paraId="3A22E0CE" w14:textId="4927DFFB" w:rsidR="00554B16" w:rsidRPr="00F05339" w:rsidRDefault="00554B16" w:rsidP="00554B16">
      <w:pPr>
        <w:pStyle w:val="BodyText"/>
        <w:jc w:val="both"/>
        <w:rPr>
          <w:rFonts w:ascii="Arial" w:eastAsia="Calibri" w:hAnsi="Arial" w:cs="Arial"/>
          <w:sz w:val="22"/>
          <w:szCs w:val="22"/>
          <w:lang w:eastAsia="en-US"/>
        </w:rPr>
      </w:pPr>
      <w:r w:rsidRPr="00F05339">
        <w:rPr>
          <w:rFonts w:ascii="Arial" w:eastAsia="Calibri" w:hAnsi="Arial" w:cs="Arial"/>
          <w:sz w:val="22"/>
          <w:szCs w:val="22"/>
          <w:lang w:eastAsia="en-US"/>
        </w:rPr>
        <w:t xml:space="preserve">HYDRAITE (2018-2021) is studying the effects of hydrogen contaminants on FC systems in automotive applications, building on the results of the previous project HyCORA. A major achievement of the HYDRAITE project is the development of three laboratories in Europe capable of measuring hydrogen quality according to the European </w:t>
      </w:r>
      <w:r w:rsidR="00231CEA">
        <w:rPr>
          <w:rFonts w:ascii="Arial" w:eastAsia="Calibri" w:hAnsi="Arial" w:cs="Arial"/>
          <w:sz w:val="22"/>
          <w:szCs w:val="22"/>
          <w:lang w:eastAsia="en-US"/>
        </w:rPr>
        <w:t xml:space="preserve">and international </w:t>
      </w:r>
      <w:r w:rsidRPr="00F05339">
        <w:rPr>
          <w:rFonts w:ascii="Arial" w:eastAsia="Calibri" w:hAnsi="Arial" w:cs="Arial"/>
          <w:sz w:val="22"/>
          <w:szCs w:val="22"/>
          <w:lang w:eastAsia="en-US"/>
        </w:rPr>
        <w:t>harmonised standard</w:t>
      </w:r>
      <w:r w:rsidR="00231CEA">
        <w:rPr>
          <w:rFonts w:ascii="Arial" w:eastAsia="Calibri" w:hAnsi="Arial" w:cs="Arial"/>
          <w:sz w:val="22"/>
          <w:szCs w:val="22"/>
          <w:lang w:eastAsia="en-US"/>
        </w:rPr>
        <w:t>s</w:t>
      </w:r>
      <w:r w:rsidRPr="00F05339">
        <w:rPr>
          <w:rFonts w:ascii="Arial" w:eastAsia="Calibri" w:hAnsi="Arial" w:cs="Arial"/>
          <w:sz w:val="22"/>
          <w:szCs w:val="22"/>
          <w:lang w:eastAsia="en-US"/>
        </w:rPr>
        <w:t xml:space="preserve">. </w:t>
      </w:r>
    </w:p>
    <w:p w14:paraId="796B756D" w14:textId="6D8A3114" w:rsidR="00554B16" w:rsidRPr="00F05339" w:rsidRDefault="00554B16" w:rsidP="00554B16">
      <w:pPr>
        <w:spacing w:line="240" w:lineRule="auto"/>
        <w:jc w:val="both"/>
        <w:rPr>
          <w:rFonts w:ascii="Arial" w:hAnsi="Arial" w:cs="Arial"/>
        </w:rPr>
      </w:pPr>
      <w:r w:rsidRPr="00F05339">
        <w:rPr>
          <w:rFonts w:ascii="Arial" w:hAnsi="Arial" w:cs="Arial"/>
        </w:rPr>
        <w:t xml:space="preserve">Project ID-FAST (2018-2021) is developing accelerated stress tests (AST) for PEMFC for automotive applications and a methodology able to predict ageing. The test carried out in the ID-FAST project will contribute to the development of a new standard by IEC/TC 105 on FC technologies. With a similar approach to ID-FAST (2019-2022), the AD ASTRA project is developing AST protocols for SOC stacks, operating in both FC and electrolysis modes. The final product will test protocols able to predict the degradation of SOC and their integration into a future standard. </w:t>
      </w:r>
    </w:p>
    <w:p w14:paraId="2A84C9D7" w14:textId="6989B649" w:rsidR="00554B16" w:rsidRPr="00F05339" w:rsidRDefault="00554B16" w:rsidP="00554B16">
      <w:pPr>
        <w:spacing w:line="240" w:lineRule="auto"/>
        <w:jc w:val="both"/>
        <w:rPr>
          <w:rFonts w:ascii="Arial" w:hAnsi="Arial" w:cs="Arial"/>
        </w:rPr>
      </w:pPr>
      <w:r w:rsidRPr="00F05339">
        <w:rPr>
          <w:rFonts w:ascii="Arial" w:hAnsi="Arial" w:cs="Arial"/>
        </w:rPr>
        <w:t xml:space="preserve">Project THyGA is testing how domestic and commercial gas appliances perform in the presence of hydrogen up to 60% in volume of the natural gas. It will then establish the hydrogen concentration limit below which hydrogen can be added to natural gas without changing the current certification of boilers, </w:t>
      </w:r>
      <w:proofErr w:type="gramStart"/>
      <w:r w:rsidRPr="00F05339">
        <w:rPr>
          <w:rFonts w:ascii="Arial" w:hAnsi="Arial" w:cs="Arial"/>
        </w:rPr>
        <w:t>burners</w:t>
      </w:r>
      <w:proofErr w:type="gramEnd"/>
      <w:r w:rsidRPr="00F05339">
        <w:rPr>
          <w:rFonts w:ascii="Arial" w:hAnsi="Arial" w:cs="Arial"/>
        </w:rPr>
        <w:t xml:space="preserve"> and cookers. THyGA will propose revisions of the existing standards section within the European RCS framework covered by the Gas Appliances Regulation 2016/426.</w:t>
      </w:r>
      <w:r w:rsidRPr="00F05339">
        <w:rPr>
          <w:rFonts w:ascii="Arial" w:hAnsi="Arial" w:cs="Arial"/>
          <w:i/>
        </w:rPr>
        <w:t xml:space="preserve"> </w:t>
      </w:r>
    </w:p>
    <w:p w14:paraId="433FFEAB" w14:textId="63230F9F" w:rsidR="00554B16" w:rsidRPr="00F05339" w:rsidRDefault="00554B16" w:rsidP="00554B16">
      <w:pPr>
        <w:spacing w:line="240" w:lineRule="auto"/>
        <w:jc w:val="both"/>
        <w:rPr>
          <w:rFonts w:ascii="Arial" w:hAnsi="Arial" w:cs="Arial"/>
        </w:rPr>
      </w:pPr>
      <w:r w:rsidRPr="00F05339">
        <w:rPr>
          <w:rFonts w:ascii="Arial" w:hAnsi="Arial" w:cs="Arial"/>
        </w:rPr>
        <w:t>PRHYDE is studying the parameters and components required for the hydrogen refuelling of heavy-duty vehicles, such as trucks and buses, to identify the optimal solutions for minimising filling time, maximising travel autonomy and, at the same time, guaranteeing safety. The final output will be the recommendation of a non-proprietary filling protocol</w:t>
      </w:r>
      <w:r w:rsidR="00B762A5">
        <w:rPr>
          <w:rFonts w:ascii="Arial" w:hAnsi="Arial" w:cs="Arial"/>
        </w:rPr>
        <w:t>.</w:t>
      </w:r>
      <w:r w:rsidRPr="00F05339">
        <w:rPr>
          <w:rFonts w:ascii="Arial" w:hAnsi="Arial" w:cs="Arial"/>
        </w:rPr>
        <w:t xml:space="preserve"> </w:t>
      </w:r>
    </w:p>
    <w:p w14:paraId="0919BD7E" w14:textId="77777777" w:rsidR="00554B16" w:rsidRPr="00F05339" w:rsidRDefault="00554B16" w:rsidP="00554B16">
      <w:pPr>
        <w:spacing w:line="240" w:lineRule="auto"/>
        <w:jc w:val="both"/>
        <w:rPr>
          <w:rFonts w:ascii="Arial" w:hAnsi="Arial" w:cs="Arial"/>
          <w:b/>
          <w:bCs/>
          <w:i/>
        </w:rPr>
      </w:pPr>
      <w:bookmarkStart w:id="96" w:name="_Toc83906483"/>
      <w:r w:rsidRPr="00F05339">
        <w:rPr>
          <w:rFonts w:ascii="Arial" w:hAnsi="Arial" w:cs="Arial"/>
          <w:b/>
          <w:bCs/>
          <w:i/>
        </w:rPr>
        <w:t>Education and training</w:t>
      </w:r>
      <w:bookmarkEnd w:id="96"/>
    </w:p>
    <w:p w14:paraId="3B87364F" w14:textId="77777777" w:rsidR="00554B16" w:rsidRPr="00F05339" w:rsidRDefault="00554B16" w:rsidP="00554B16">
      <w:pPr>
        <w:spacing w:line="240" w:lineRule="auto"/>
        <w:jc w:val="both"/>
        <w:rPr>
          <w:rFonts w:ascii="Arial" w:hAnsi="Arial" w:cs="Arial"/>
        </w:rPr>
      </w:pPr>
      <w:r w:rsidRPr="00F05339">
        <w:rPr>
          <w:rFonts w:ascii="Arial" w:hAnsi="Arial" w:cs="Arial"/>
        </w:rPr>
        <w:lastRenderedPageBreak/>
        <w:t xml:space="preserve">Four projects are dedicated to education and training: NET-Tools, TeacHy, FCHgo! and HyResponder. </w:t>
      </w:r>
    </w:p>
    <w:p w14:paraId="4D3B3CA1" w14:textId="531B1F53" w:rsidR="00554B16" w:rsidRPr="00F05339" w:rsidRDefault="00554B16" w:rsidP="00554B16">
      <w:pPr>
        <w:spacing w:line="240" w:lineRule="auto"/>
        <w:jc w:val="both"/>
        <w:rPr>
          <w:rFonts w:ascii="Arial" w:hAnsi="Arial" w:cs="Arial"/>
        </w:rPr>
      </w:pPr>
      <w:r w:rsidRPr="00F05339">
        <w:rPr>
          <w:rFonts w:ascii="Arial" w:hAnsi="Arial" w:cs="Arial"/>
        </w:rPr>
        <w:t xml:space="preserve">The NET-Tools project focuses on the development of new e-education methods based on ICT tools, enhancing knowledge, </w:t>
      </w:r>
      <w:proofErr w:type="gramStart"/>
      <w:r w:rsidRPr="00F05339">
        <w:rPr>
          <w:rFonts w:ascii="Arial" w:hAnsi="Arial" w:cs="Arial"/>
        </w:rPr>
        <w:t>productivity</w:t>
      </w:r>
      <w:proofErr w:type="gramEnd"/>
      <w:r w:rsidRPr="00F05339">
        <w:rPr>
          <w:rFonts w:ascii="Arial" w:hAnsi="Arial" w:cs="Arial"/>
        </w:rPr>
        <w:t xml:space="preserve"> and competitiveness of those interested in FCH technology deployment. The project’s tangible output is an e-learning platform based on open-source software.</w:t>
      </w:r>
    </w:p>
    <w:p w14:paraId="7491D4B6" w14:textId="77777777" w:rsidR="00554B16" w:rsidRPr="00F05339" w:rsidRDefault="00554B16" w:rsidP="00554B16">
      <w:pPr>
        <w:spacing w:line="240" w:lineRule="auto"/>
        <w:jc w:val="both"/>
        <w:rPr>
          <w:rFonts w:ascii="Arial" w:hAnsi="Arial" w:cs="Arial"/>
        </w:rPr>
      </w:pPr>
      <w:r w:rsidRPr="00F05339">
        <w:rPr>
          <w:rFonts w:ascii="Arial" w:hAnsi="Arial" w:cs="Arial"/>
        </w:rPr>
        <w:t>The TeacHy project is developing learning tools and materials mainly for university students (undergraduates and postgraduates) although it also includes vocational training. Its overarching goal is to give students across Europe access to high-quality and harmonised training material. Its major aim is a European MSc course on FCH technologies.</w:t>
      </w:r>
    </w:p>
    <w:p w14:paraId="199A3D5C" w14:textId="77777777" w:rsidR="00554B16" w:rsidRPr="00F05339" w:rsidRDefault="00554B16" w:rsidP="00554B16">
      <w:pPr>
        <w:spacing w:line="240" w:lineRule="auto"/>
        <w:jc w:val="both"/>
        <w:rPr>
          <w:rFonts w:ascii="Arial" w:hAnsi="Arial" w:cs="Arial"/>
        </w:rPr>
      </w:pPr>
      <w:r w:rsidRPr="00F05339">
        <w:rPr>
          <w:rFonts w:ascii="Arial" w:hAnsi="Arial" w:cs="Arial"/>
        </w:rPr>
        <w:t xml:space="preserve">The project FCHgo! is focusing on school pupils by developing educational tools directed at future generations. FCHgo! outputs range from a toolkit with narrative explanations of the technology to workshops in classrooms, a </w:t>
      </w:r>
      <w:proofErr w:type="gramStart"/>
      <w:r w:rsidRPr="00F05339">
        <w:rPr>
          <w:rFonts w:ascii="Arial" w:hAnsi="Arial" w:cs="Arial"/>
        </w:rPr>
        <w:t>website</w:t>
      </w:r>
      <w:proofErr w:type="gramEnd"/>
      <w:r w:rsidRPr="00F05339">
        <w:rPr>
          <w:rFonts w:ascii="Arial" w:hAnsi="Arial" w:cs="Arial"/>
        </w:rPr>
        <w:t xml:space="preserve"> and an annual award for the best ideas. </w:t>
      </w:r>
    </w:p>
    <w:p w14:paraId="4D30B3FC" w14:textId="77777777" w:rsidR="00554B16" w:rsidRPr="00F05339" w:rsidRDefault="00554B16" w:rsidP="00554B16">
      <w:pPr>
        <w:spacing w:line="240" w:lineRule="auto"/>
        <w:jc w:val="both"/>
        <w:rPr>
          <w:rFonts w:ascii="Arial" w:hAnsi="Arial" w:cs="Arial"/>
        </w:rPr>
      </w:pPr>
      <w:r w:rsidRPr="00F05339">
        <w:rPr>
          <w:rFonts w:ascii="Arial" w:hAnsi="Arial" w:cs="Arial"/>
        </w:rPr>
        <w:t xml:space="preserve">The HyResponder project builds on the previous project HyResponse (2013-2016) which targeted first responders and developed a physical platform for this purpose. This new project will provide a ‘train the trainer’ programme in hydrogen safety for responders across Europe. The European Emergency Response Guide developed by HyResponse will be revised and expanded to include strategies and tactics for liquefied hydrogen applications. </w:t>
      </w:r>
    </w:p>
    <w:p w14:paraId="1BD15FE8" w14:textId="77777777" w:rsidR="00554B16" w:rsidRPr="00F05339" w:rsidRDefault="00554B16" w:rsidP="00554B16">
      <w:pPr>
        <w:spacing w:line="240" w:lineRule="auto"/>
        <w:jc w:val="both"/>
        <w:rPr>
          <w:rFonts w:ascii="Arial" w:hAnsi="Arial" w:cs="Arial"/>
          <w:b/>
          <w:bCs/>
          <w:i/>
        </w:rPr>
      </w:pPr>
      <w:bookmarkStart w:id="97" w:name="_Toc83906484"/>
      <w:r w:rsidRPr="00F05339">
        <w:rPr>
          <w:rFonts w:ascii="Arial" w:hAnsi="Arial" w:cs="Arial"/>
          <w:b/>
          <w:bCs/>
          <w:i/>
        </w:rPr>
        <w:t>Safety</w:t>
      </w:r>
      <w:bookmarkEnd w:id="97"/>
    </w:p>
    <w:p w14:paraId="4A590F36" w14:textId="77777777" w:rsidR="00554B16" w:rsidRPr="00F05339" w:rsidRDefault="00554B16" w:rsidP="00554B16">
      <w:pPr>
        <w:spacing w:line="240" w:lineRule="auto"/>
        <w:jc w:val="both"/>
        <w:rPr>
          <w:rFonts w:ascii="Arial" w:hAnsi="Arial" w:cs="Arial"/>
        </w:rPr>
      </w:pPr>
      <w:r w:rsidRPr="00F05339">
        <w:rPr>
          <w:rFonts w:ascii="Arial" w:hAnsi="Arial" w:cs="Arial"/>
        </w:rPr>
        <w:t xml:space="preserve">The two projects on safety issues are PRESLHY and HyTunnel-CS. PRESLHY, the first European project in over 10 years completely dedicated to the study of liquid hydrogen, </w:t>
      </w:r>
      <w:proofErr w:type="gramStart"/>
      <w:r w:rsidRPr="00F05339">
        <w:rPr>
          <w:rFonts w:ascii="Arial" w:hAnsi="Arial" w:cs="Arial"/>
        </w:rPr>
        <w:t>looked into</w:t>
      </w:r>
      <w:proofErr w:type="gramEnd"/>
      <w:r w:rsidRPr="00F05339">
        <w:rPr>
          <w:rFonts w:ascii="Arial" w:hAnsi="Arial" w:cs="Arial"/>
        </w:rPr>
        <w:t xml:space="preserve"> the safety of liquid hydrogen release under accidental conditions. It provided information and data on release, ignition and combustion under realistic conditions which have been used to improve and validate the physical models and simulations used for describing releases. The results will be used by the newly formed ISO/TC 197 WG 29 to review and update obsolete ISO standard(s) on liquid and cryogenic hydrogen.</w:t>
      </w:r>
    </w:p>
    <w:p w14:paraId="55A972D7" w14:textId="77777777" w:rsidR="00554B16" w:rsidRPr="00F05339" w:rsidRDefault="00554B16" w:rsidP="00554B16">
      <w:pPr>
        <w:spacing w:line="240" w:lineRule="auto"/>
        <w:jc w:val="both"/>
        <w:rPr>
          <w:rFonts w:ascii="Arial" w:hAnsi="Arial" w:cs="Arial"/>
        </w:rPr>
      </w:pPr>
      <w:r w:rsidRPr="00F05339">
        <w:rPr>
          <w:rFonts w:ascii="Arial" w:hAnsi="Arial" w:cs="Arial"/>
        </w:rPr>
        <w:t xml:space="preserve">HYTUNNEL-CS is focusing on the public and environmental safety of hydrogen vehicles in semi-confined spaces, such as tunnels and public garages. The project identifies hazards and risks and reviews the safety measures already in place, including emergency response strategies. The final goal is to propose a new safety approach to this public infrastructure, which could become the basis for a standard within the framework of the CEN-CENELEC Joint Technical Committee 6 on </w:t>
      </w:r>
      <w:r w:rsidRPr="00F05339">
        <w:rPr>
          <w:rFonts w:ascii="Arial" w:hAnsi="Arial" w:cs="Arial"/>
          <w:iCs/>
        </w:rPr>
        <w:t>Hydrogen in the energy systems</w:t>
      </w:r>
      <w:r w:rsidRPr="00F05339">
        <w:rPr>
          <w:rFonts w:ascii="Arial" w:hAnsi="Arial" w:cs="Arial"/>
        </w:rPr>
        <w:t xml:space="preserve">. </w:t>
      </w:r>
    </w:p>
    <w:p w14:paraId="678C5B6F" w14:textId="77777777" w:rsidR="00E86B5F" w:rsidRPr="00F05339" w:rsidRDefault="00E86B5F" w:rsidP="002672A0">
      <w:pPr>
        <w:pStyle w:val="Heading3"/>
        <w:numPr>
          <w:ilvl w:val="2"/>
          <w:numId w:val="22"/>
        </w:numPr>
        <w:tabs>
          <w:tab w:val="num" w:pos="360"/>
        </w:tabs>
        <w:ind w:left="0" w:firstLine="0"/>
        <w:rPr>
          <w:rFonts w:ascii="Arial" w:hAnsi="Arial" w:cs="Arial"/>
        </w:rPr>
      </w:pPr>
      <w:bookmarkStart w:id="98" w:name="_Toc1656548"/>
      <w:bookmarkStart w:id="99" w:name="_Toc32570469"/>
      <w:bookmarkStart w:id="100" w:name="_Toc32570832"/>
      <w:bookmarkStart w:id="101" w:name="_Toc98496335"/>
      <w:bookmarkStart w:id="102" w:name="_Toc101516058"/>
      <w:r w:rsidRPr="00F05339">
        <w:rPr>
          <w:rFonts w:ascii="Arial" w:hAnsi="Arial" w:cs="Arial"/>
        </w:rPr>
        <w:t>Knowledge management</w:t>
      </w:r>
      <w:bookmarkEnd w:id="98"/>
      <w:bookmarkEnd w:id="99"/>
      <w:bookmarkEnd w:id="100"/>
      <w:bookmarkEnd w:id="101"/>
      <w:bookmarkEnd w:id="102"/>
    </w:p>
    <w:p w14:paraId="0E9CA4B8" w14:textId="77777777" w:rsidR="00E86B5F" w:rsidRPr="00F05339" w:rsidRDefault="00E86B5F" w:rsidP="00E86B5F">
      <w:pPr>
        <w:autoSpaceDE w:val="0"/>
        <w:autoSpaceDN w:val="0"/>
        <w:adjustRightInd w:val="0"/>
        <w:spacing w:after="0" w:line="240" w:lineRule="auto"/>
        <w:jc w:val="both"/>
        <w:rPr>
          <w:rFonts w:ascii="Arial" w:hAnsi="Arial" w:cs="Arial"/>
          <w:color w:val="4D4D4F"/>
        </w:rPr>
      </w:pPr>
    </w:p>
    <w:p w14:paraId="2A67CFD5" w14:textId="3A1421C7" w:rsidR="00E86B5F" w:rsidRPr="00F05339" w:rsidRDefault="00E86B5F" w:rsidP="00E86B5F">
      <w:pPr>
        <w:spacing w:line="240" w:lineRule="auto"/>
        <w:jc w:val="both"/>
        <w:rPr>
          <w:rFonts w:ascii="Arial" w:hAnsi="Arial" w:cs="Arial"/>
        </w:rPr>
      </w:pPr>
      <w:r w:rsidRPr="00F05339">
        <w:rPr>
          <w:rFonts w:ascii="Arial" w:hAnsi="Arial" w:cs="Arial"/>
        </w:rPr>
        <w:t>Knowledge management activities have continued</w:t>
      </w:r>
      <w:r w:rsidR="00075F1E">
        <w:rPr>
          <w:rFonts w:ascii="Arial" w:hAnsi="Arial" w:cs="Arial"/>
        </w:rPr>
        <w:t xml:space="preserve"> to monitor technology progress</w:t>
      </w:r>
      <w:r w:rsidRPr="00F05339">
        <w:rPr>
          <w:rFonts w:ascii="Arial" w:hAnsi="Arial" w:cs="Arial"/>
        </w:rPr>
        <w:t xml:space="preserve"> with TRUST</w:t>
      </w:r>
      <w:r w:rsidR="00075F1E">
        <w:rPr>
          <w:rStyle w:val="FootnoteReference"/>
          <w:rFonts w:ascii="Arial" w:hAnsi="Arial" w:cs="Arial"/>
        </w:rPr>
        <w:footnoteReference w:id="35"/>
      </w:r>
      <w:r w:rsidRPr="00F05339">
        <w:rPr>
          <w:rFonts w:ascii="Arial" w:hAnsi="Arial" w:cs="Arial"/>
        </w:rPr>
        <w:t xml:space="preserve"> being used as the central data-collection </w:t>
      </w:r>
      <w:r w:rsidR="00DC7B94" w:rsidRPr="00F05339">
        <w:rPr>
          <w:rFonts w:ascii="Arial" w:hAnsi="Arial" w:cs="Arial"/>
        </w:rPr>
        <w:t>platform</w:t>
      </w:r>
      <w:r w:rsidRPr="00F05339">
        <w:rPr>
          <w:rFonts w:ascii="Arial" w:hAnsi="Arial" w:cs="Arial"/>
        </w:rPr>
        <w:t xml:space="preserve"> enabling comprehensive data collection and analysis, complemented by </w:t>
      </w:r>
      <w:r w:rsidR="006231C9" w:rsidRPr="00F05339">
        <w:rPr>
          <w:rFonts w:ascii="Arial" w:hAnsi="Arial" w:cs="Arial"/>
        </w:rPr>
        <w:t>the Fuel Cell and Hydrogen Observatory</w:t>
      </w:r>
      <w:r w:rsidR="006231C9" w:rsidRPr="00F05339">
        <w:rPr>
          <w:rStyle w:val="FootnoteReference"/>
          <w:rFonts w:ascii="Arial" w:hAnsi="Arial" w:cs="Arial"/>
        </w:rPr>
        <w:footnoteReference w:id="36"/>
      </w:r>
      <w:r w:rsidR="00D14D9E" w:rsidRPr="00D14D9E">
        <w:rPr>
          <w:rFonts w:ascii="Arial" w:hAnsi="Arial" w:cs="Arial"/>
        </w:rPr>
        <w:t xml:space="preserve"> </w:t>
      </w:r>
      <w:r w:rsidR="00D14D9E" w:rsidRPr="00F05339">
        <w:rPr>
          <w:rFonts w:ascii="Arial" w:hAnsi="Arial" w:cs="Arial"/>
        </w:rPr>
        <w:t>monitoring of the deployment of hydrogen technologies</w:t>
      </w:r>
      <w:r w:rsidR="00D14D9E">
        <w:rPr>
          <w:rFonts w:ascii="Arial" w:hAnsi="Arial" w:cs="Arial"/>
        </w:rPr>
        <w:t xml:space="preserve"> and the developments in the sector</w:t>
      </w:r>
      <w:r w:rsidR="006231C9" w:rsidRPr="00F05339">
        <w:rPr>
          <w:rFonts w:ascii="Arial" w:hAnsi="Arial" w:cs="Arial"/>
        </w:rPr>
        <w:t>.</w:t>
      </w:r>
    </w:p>
    <w:p w14:paraId="74F346BC" w14:textId="78F3D2FF" w:rsidR="006231C9" w:rsidRPr="00F05339" w:rsidRDefault="006231C9" w:rsidP="00E86B5F">
      <w:pPr>
        <w:spacing w:line="240" w:lineRule="auto"/>
        <w:jc w:val="both"/>
        <w:rPr>
          <w:rFonts w:ascii="Arial" w:hAnsi="Arial" w:cs="Arial"/>
          <w:b/>
          <w:bCs/>
        </w:rPr>
      </w:pPr>
      <w:r w:rsidRPr="00F05339">
        <w:rPr>
          <w:rFonts w:ascii="Arial" w:hAnsi="Arial" w:cs="Arial"/>
          <w:b/>
          <w:bCs/>
        </w:rPr>
        <w:t>Programme Review</w:t>
      </w:r>
      <w:r w:rsidR="003555ED">
        <w:rPr>
          <w:rFonts w:ascii="Arial" w:hAnsi="Arial" w:cs="Arial"/>
          <w:b/>
          <w:bCs/>
        </w:rPr>
        <w:t>/</w:t>
      </w:r>
      <w:r w:rsidR="003555ED" w:rsidRPr="00F05339">
        <w:rPr>
          <w:rFonts w:ascii="Arial" w:hAnsi="Arial" w:cs="Arial"/>
          <w:b/>
          <w:bCs/>
        </w:rPr>
        <w:t>Annual Data Collection Exercise</w:t>
      </w:r>
    </w:p>
    <w:p w14:paraId="1716E7B8" w14:textId="31609354" w:rsidR="00826FD1" w:rsidRPr="00F05339" w:rsidRDefault="003555ED" w:rsidP="00E86B5F">
      <w:pPr>
        <w:spacing w:line="240" w:lineRule="auto"/>
        <w:jc w:val="both"/>
        <w:rPr>
          <w:rFonts w:ascii="Arial" w:hAnsi="Arial" w:cs="Arial"/>
        </w:rPr>
      </w:pPr>
      <w:r>
        <w:rPr>
          <w:rFonts w:ascii="Arial" w:hAnsi="Arial" w:cs="Arial"/>
        </w:rPr>
        <w:t>The annual Programme Review exercise (supported by JRC</w:t>
      </w:r>
      <w:r w:rsidR="00791964">
        <w:rPr>
          <w:rFonts w:ascii="Arial" w:hAnsi="Arial" w:cs="Arial"/>
        </w:rPr>
        <w:t xml:space="preserve"> – see details under JRC Rolling Plan chapter too</w:t>
      </w:r>
      <w:r>
        <w:rPr>
          <w:rFonts w:ascii="Arial" w:hAnsi="Arial" w:cs="Arial"/>
        </w:rPr>
        <w:t>)</w:t>
      </w:r>
      <w:r w:rsidR="00F7107D">
        <w:rPr>
          <w:rFonts w:ascii="Arial" w:hAnsi="Arial" w:cs="Arial"/>
        </w:rPr>
        <w:t>,</w:t>
      </w:r>
      <w:r>
        <w:rPr>
          <w:rFonts w:ascii="Arial" w:hAnsi="Arial" w:cs="Arial"/>
        </w:rPr>
        <w:t xml:space="preserve"> including t</w:t>
      </w:r>
      <w:r w:rsidR="00DC7B94" w:rsidRPr="00F05339">
        <w:rPr>
          <w:rFonts w:ascii="Arial" w:hAnsi="Arial" w:cs="Arial"/>
        </w:rPr>
        <w:t xml:space="preserve">he annual data collection exercise, monitoring the progress towards the technology KPI targets, and the Programme Review report, presenting the findings </w:t>
      </w:r>
      <w:r w:rsidR="00DC7B94" w:rsidRPr="00F05339">
        <w:rPr>
          <w:rFonts w:ascii="Arial" w:hAnsi="Arial" w:cs="Arial"/>
        </w:rPr>
        <w:lastRenderedPageBreak/>
        <w:t xml:space="preserve">of the exercise, continued to be the main source of knowledge for </w:t>
      </w:r>
      <w:r w:rsidR="009B379E">
        <w:rPr>
          <w:rFonts w:ascii="Arial" w:hAnsi="Arial" w:cs="Arial"/>
        </w:rPr>
        <w:t xml:space="preserve">the </w:t>
      </w:r>
      <w:r w:rsidR="00DC7B94" w:rsidRPr="00F05339">
        <w:rPr>
          <w:rFonts w:ascii="Arial" w:hAnsi="Arial" w:cs="Arial"/>
        </w:rPr>
        <w:t>JU. An effort was made to reduce the duration of the exercise, bringing the reporting period forward and enriching the report with more information valuable to its readers. In practice, the ongoing projects (85 in total) were requested to provide data concerning their research and innovation results generated in 2020</w:t>
      </w:r>
      <w:r w:rsidR="00826FD1" w:rsidRPr="00F05339">
        <w:rPr>
          <w:rFonts w:ascii="Arial" w:hAnsi="Arial" w:cs="Arial"/>
        </w:rPr>
        <w:t xml:space="preserve"> almost 1.5 month earlier, on March 1</w:t>
      </w:r>
      <w:r w:rsidR="00826FD1" w:rsidRPr="00F05339">
        <w:rPr>
          <w:rFonts w:ascii="Arial" w:hAnsi="Arial" w:cs="Arial"/>
          <w:vertAlign w:val="superscript"/>
        </w:rPr>
        <w:t>st</w:t>
      </w:r>
      <w:r w:rsidR="00826FD1" w:rsidRPr="00F05339">
        <w:rPr>
          <w:rFonts w:ascii="Arial" w:hAnsi="Arial" w:cs="Arial"/>
        </w:rPr>
        <w:t>. This allow</w:t>
      </w:r>
      <w:r w:rsidR="005C0C5A" w:rsidRPr="00F05339">
        <w:rPr>
          <w:rFonts w:ascii="Arial" w:hAnsi="Arial" w:cs="Arial"/>
        </w:rPr>
        <w:t>ed</w:t>
      </w:r>
      <w:r w:rsidR="00826FD1" w:rsidRPr="00F05339">
        <w:rPr>
          <w:rFonts w:ascii="Arial" w:hAnsi="Arial" w:cs="Arial"/>
        </w:rPr>
        <w:t xml:space="preserve"> JRC to start working much earlier on the Programme Review</w:t>
      </w:r>
      <w:r w:rsidR="007A4C92" w:rsidRPr="00F05339">
        <w:rPr>
          <w:rFonts w:ascii="Arial" w:hAnsi="Arial" w:cs="Arial"/>
        </w:rPr>
        <w:t xml:space="preserve">, thus </w:t>
      </w:r>
      <w:r w:rsidR="005C0C5A" w:rsidRPr="00F05339">
        <w:rPr>
          <w:rFonts w:ascii="Arial" w:hAnsi="Arial" w:cs="Arial"/>
        </w:rPr>
        <w:t>permitting</w:t>
      </w:r>
      <w:r w:rsidR="007A4C92" w:rsidRPr="00F05339">
        <w:rPr>
          <w:rFonts w:ascii="Arial" w:hAnsi="Arial" w:cs="Arial"/>
        </w:rPr>
        <w:t xml:space="preserve"> the </w:t>
      </w:r>
      <w:r w:rsidR="00911551" w:rsidRPr="00F05339">
        <w:rPr>
          <w:rFonts w:ascii="Arial" w:hAnsi="Arial" w:cs="Arial"/>
        </w:rPr>
        <w:t xml:space="preserve">Programme Review Report to be published </w:t>
      </w:r>
      <w:r w:rsidR="005C0C5A" w:rsidRPr="00F05339">
        <w:rPr>
          <w:rFonts w:ascii="Arial" w:hAnsi="Arial" w:cs="Arial"/>
        </w:rPr>
        <w:t>on</w:t>
      </w:r>
      <w:r w:rsidR="00911551" w:rsidRPr="00F05339">
        <w:rPr>
          <w:rFonts w:ascii="Arial" w:hAnsi="Arial" w:cs="Arial"/>
        </w:rPr>
        <w:t xml:space="preserve"> the Programme Review Days, in the end of November 2021 (</w:t>
      </w:r>
      <w:r w:rsidR="006231C9" w:rsidRPr="00F05339">
        <w:rPr>
          <w:rFonts w:ascii="Arial" w:hAnsi="Arial" w:cs="Arial"/>
        </w:rPr>
        <w:t>more than</w:t>
      </w:r>
      <w:r w:rsidR="00911551" w:rsidRPr="00F05339">
        <w:rPr>
          <w:rFonts w:ascii="Arial" w:hAnsi="Arial" w:cs="Arial"/>
        </w:rPr>
        <w:t xml:space="preserve"> 6 months earlier than previous reports). </w:t>
      </w:r>
      <w:r w:rsidR="00791964">
        <w:rPr>
          <w:rFonts w:ascii="Arial" w:hAnsi="Arial" w:cs="Arial"/>
        </w:rPr>
        <w:t>Consequently</w:t>
      </w:r>
      <w:r w:rsidR="00075F1E">
        <w:rPr>
          <w:rFonts w:ascii="Arial" w:hAnsi="Arial" w:cs="Arial"/>
        </w:rPr>
        <w:t>,</w:t>
      </w:r>
      <w:r w:rsidR="00911551" w:rsidRPr="00F05339">
        <w:rPr>
          <w:rFonts w:ascii="Arial" w:hAnsi="Arial" w:cs="Arial"/>
        </w:rPr>
        <w:t xml:space="preserve"> a single Programme Review Report </w:t>
      </w:r>
      <w:r w:rsidR="00791964">
        <w:rPr>
          <w:rFonts w:ascii="Arial" w:hAnsi="Arial" w:cs="Arial"/>
        </w:rPr>
        <w:t>was</w:t>
      </w:r>
      <w:r w:rsidR="00911551" w:rsidRPr="00F05339">
        <w:rPr>
          <w:rFonts w:ascii="Arial" w:hAnsi="Arial" w:cs="Arial"/>
        </w:rPr>
        <w:t xml:space="preserve"> published for the years 2020-21 (one report for both years).</w:t>
      </w:r>
    </w:p>
    <w:p w14:paraId="6B9CDF90" w14:textId="5D46E051" w:rsidR="00E86B5F" w:rsidRPr="00F05339" w:rsidRDefault="00E86B5F" w:rsidP="00E86B5F">
      <w:pPr>
        <w:spacing w:line="240" w:lineRule="auto"/>
        <w:jc w:val="both"/>
        <w:rPr>
          <w:rFonts w:ascii="Arial" w:hAnsi="Arial" w:cs="Arial"/>
        </w:rPr>
      </w:pPr>
      <w:r w:rsidRPr="00F05339">
        <w:rPr>
          <w:rFonts w:ascii="Arial" w:hAnsi="Arial" w:cs="Arial"/>
        </w:rPr>
        <w:t xml:space="preserve">The submission </w:t>
      </w:r>
      <w:r w:rsidR="00911551" w:rsidRPr="00F05339">
        <w:rPr>
          <w:rFonts w:ascii="Arial" w:hAnsi="Arial" w:cs="Arial"/>
        </w:rPr>
        <w:t xml:space="preserve">of the data </w:t>
      </w:r>
      <w:r w:rsidRPr="00F05339">
        <w:rPr>
          <w:rFonts w:ascii="Arial" w:hAnsi="Arial" w:cs="Arial"/>
        </w:rPr>
        <w:t>was performed through TRUST, concerning technology related indicators (</w:t>
      </w:r>
      <w:r w:rsidR="00826FD1" w:rsidRPr="00F05339">
        <w:rPr>
          <w:rFonts w:ascii="Arial" w:hAnsi="Arial" w:cs="Arial"/>
        </w:rPr>
        <w:t>7</w:t>
      </w:r>
      <w:r w:rsidRPr="00F05339">
        <w:rPr>
          <w:rFonts w:ascii="Arial" w:hAnsi="Arial" w:cs="Arial"/>
        </w:rPr>
        <w:t xml:space="preserve">8 projects reporting), </w:t>
      </w:r>
      <w:r w:rsidR="00E67385" w:rsidRPr="00F05339">
        <w:rPr>
          <w:rFonts w:ascii="Arial" w:hAnsi="Arial" w:cs="Arial"/>
        </w:rPr>
        <w:t>and</w:t>
      </w:r>
      <w:r w:rsidRPr="00F05339">
        <w:rPr>
          <w:rFonts w:ascii="Arial" w:hAnsi="Arial" w:cs="Arial"/>
        </w:rPr>
        <w:t xml:space="preserve"> through an EU Survey questionnaire (</w:t>
      </w:r>
      <w:r w:rsidR="00826FD1" w:rsidRPr="00F05339">
        <w:rPr>
          <w:rFonts w:ascii="Arial" w:hAnsi="Arial" w:cs="Arial"/>
        </w:rPr>
        <w:t>85</w:t>
      </w:r>
      <w:r w:rsidRPr="00F05339">
        <w:rPr>
          <w:rFonts w:ascii="Arial" w:hAnsi="Arial" w:cs="Arial"/>
        </w:rPr>
        <w:t xml:space="preserve"> projects reporting). Projects </w:t>
      </w:r>
      <w:r w:rsidR="00826FD1" w:rsidRPr="00F05339">
        <w:rPr>
          <w:rFonts w:ascii="Arial" w:hAnsi="Arial" w:cs="Arial"/>
        </w:rPr>
        <w:t>we</w:t>
      </w:r>
      <w:r w:rsidRPr="00F05339">
        <w:rPr>
          <w:rFonts w:ascii="Arial" w:hAnsi="Arial" w:cs="Arial"/>
        </w:rPr>
        <w:t xml:space="preserve">re encouraged to </w:t>
      </w:r>
      <w:r w:rsidR="00826FD1" w:rsidRPr="00F05339">
        <w:rPr>
          <w:rFonts w:ascii="Arial" w:hAnsi="Arial" w:cs="Arial"/>
        </w:rPr>
        <w:t>share their</w:t>
      </w:r>
      <w:r w:rsidRPr="00F05339">
        <w:rPr>
          <w:rFonts w:ascii="Arial" w:hAnsi="Arial" w:cs="Arial"/>
        </w:rPr>
        <w:t xml:space="preserve"> data</w:t>
      </w:r>
      <w:r w:rsidR="00826FD1" w:rsidRPr="00F05339">
        <w:rPr>
          <w:rFonts w:ascii="Arial" w:hAnsi="Arial" w:cs="Arial"/>
        </w:rPr>
        <w:t xml:space="preserve"> as public</w:t>
      </w:r>
      <w:r w:rsidRPr="00F05339">
        <w:rPr>
          <w:rFonts w:ascii="Arial" w:hAnsi="Arial" w:cs="Arial"/>
        </w:rPr>
        <w:t xml:space="preserve"> </w:t>
      </w:r>
      <w:r w:rsidR="00826FD1" w:rsidRPr="00F05339">
        <w:rPr>
          <w:rFonts w:ascii="Arial" w:hAnsi="Arial" w:cs="Arial"/>
        </w:rPr>
        <w:t xml:space="preserve">as much as possible </w:t>
      </w:r>
      <w:r w:rsidRPr="00F05339">
        <w:rPr>
          <w:rFonts w:ascii="Arial" w:hAnsi="Arial" w:cs="Arial"/>
        </w:rPr>
        <w:t>(</w:t>
      </w:r>
      <w:r w:rsidR="00826FD1" w:rsidRPr="00F05339">
        <w:rPr>
          <w:rFonts w:ascii="Arial" w:hAnsi="Arial" w:cs="Arial"/>
        </w:rPr>
        <w:t xml:space="preserve">facilitating the effort to </w:t>
      </w:r>
      <w:r w:rsidRPr="00F05339">
        <w:rPr>
          <w:rFonts w:ascii="Arial" w:hAnsi="Arial" w:cs="Arial"/>
        </w:rPr>
        <w:t xml:space="preserve">make public the relevant KPIs reached), while all confidential data </w:t>
      </w:r>
      <w:r w:rsidR="00826FD1" w:rsidRPr="00F05339">
        <w:rPr>
          <w:rFonts w:ascii="Arial" w:hAnsi="Arial" w:cs="Arial"/>
        </w:rPr>
        <w:t>we</w:t>
      </w:r>
      <w:r w:rsidRPr="00F05339">
        <w:rPr>
          <w:rFonts w:ascii="Arial" w:hAnsi="Arial" w:cs="Arial"/>
        </w:rPr>
        <w:t xml:space="preserve">re appropriately cleaned and anonymised. </w:t>
      </w:r>
    </w:p>
    <w:p w14:paraId="7C39988F" w14:textId="1FA89E02" w:rsidR="00E86B5F" w:rsidRPr="00F05339" w:rsidRDefault="00E86B5F" w:rsidP="00E86B5F">
      <w:pPr>
        <w:spacing w:line="240" w:lineRule="auto"/>
        <w:jc w:val="both"/>
        <w:rPr>
          <w:rFonts w:ascii="Arial" w:hAnsi="Arial" w:cs="Arial"/>
        </w:rPr>
      </w:pPr>
      <w:r w:rsidRPr="00F05339">
        <w:rPr>
          <w:rFonts w:ascii="Arial" w:hAnsi="Arial" w:cs="Arial"/>
        </w:rPr>
        <w:t xml:space="preserve">The data collection exercise was completed successfully, with all projects answering the questionnaires and providing timely input on most of the queries. TRUST data-collection activities continued to be streamlined with the annual Programme Review exercise, which provides a detailed analysis of the projects’ results. </w:t>
      </w:r>
    </w:p>
    <w:p w14:paraId="489EB2E4" w14:textId="736D0CD0" w:rsidR="00E86B5F" w:rsidRPr="00F05339" w:rsidRDefault="00E86B5F" w:rsidP="00E86B5F">
      <w:pPr>
        <w:spacing w:line="240" w:lineRule="auto"/>
        <w:jc w:val="both"/>
        <w:rPr>
          <w:rFonts w:ascii="Arial" w:hAnsi="Arial" w:cs="Arial"/>
        </w:rPr>
      </w:pPr>
      <w:r w:rsidRPr="00F05339">
        <w:rPr>
          <w:rFonts w:ascii="Arial" w:hAnsi="Arial" w:cs="Arial"/>
        </w:rPr>
        <w:t>The results and reported progress were included as content during the portfolio analysis part of the Programme Review 202</w:t>
      </w:r>
      <w:r w:rsidR="00911551" w:rsidRPr="00F05339">
        <w:rPr>
          <w:rFonts w:ascii="Arial" w:hAnsi="Arial" w:cs="Arial"/>
        </w:rPr>
        <w:t>1</w:t>
      </w:r>
      <w:r w:rsidR="006231C9" w:rsidRPr="00F05339">
        <w:rPr>
          <w:rStyle w:val="FootnoteReference"/>
          <w:rFonts w:ascii="Arial" w:hAnsi="Arial" w:cs="Arial"/>
        </w:rPr>
        <w:footnoteReference w:id="37"/>
      </w:r>
      <w:r w:rsidRPr="00F05339">
        <w:rPr>
          <w:rFonts w:ascii="Arial" w:hAnsi="Arial" w:cs="Arial"/>
        </w:rPr>
        <w:t xml:space="preserve">, with </w:t>
      </w:r>
      <w:r w:rsidR="00911551" w:rsidRPr="00F05339">
        <w:rPr>
          <w:rFonts w:ascii="Arial" w:hAnsi="Arial" w:cs="Arial"/>
        </w:rPr>
        <w:t xml:space="preserve">a summary of its </w:t>
      </w:r>
      <w:r w:rsidRPr="00F05339">
        <w:rPr>
          <w:rFonts w:ascii="Arial" w:hAnsi="Arial" w:cs="Arial"/>
        </w:rPr>
        <w:t>results presented in Section</w:t>
      </w:r>
      <w:r w:rsidR="006231C9" w:rsidRPr="00F05339">
        <w:rPr>
          <w:rFonts w:ascii="Arial" w:hAnsi="Arial" w:cs="Arial"/>
        </w:rPr>
        <w:t xml:space="preserve"> </w:t>
      </w:r>
      <w:r w:rsidR="006231C9" w:rsidRPr="00F05339">
        <w:rPr>
          <w:rFonts w:ascii="Arial" w:hAnsi="Arial" w:cs="Arial"/>
        </w:rPr>
        <w:fldChar w:fldCharType="begin"/>
      </w:r>
      <w:r w:rsidR="006231C9" w:rsidRPr="00F05339">
        <w:rPr>
          <w:rFonts w:ascii="Arial" w:hAnsi="Arial" w:cs="Arial"/>
        </w:rPr>
        <w:instrText xml:space="preserve"> REF _Ref63081885 \r \h  \* MERGEFORMAT </w:instrText>
      </w:r>
      <w:r w:rsidR="006231C9" w:rsidRPr="00F05339">
        <w:rPr>
          <w:rFonts w:ascii="Arial" w:hAnsi="Arial" w:cs="Arial"/>
        </w:rPr>
      </w:r>
      <w:r w:rsidR="006231C9" w:rsidRPr="00F05339">
        <w:rPr>
          <w:rFonts w:ascii="Arial" w:hAnsi="Arial" w:cs="Arial"/>
        </w:rPr>
        <w:fldChar w:fldCharType="separate"/>
      </w:r>
      <w:r w:rsidR="003068B5">
        <w:rPr>
          <w:rFonts w:ascii="Arial" w:hAnsi="Arial" w:cs="Arial"/>
        </w:rPr>
        <w:t>1.2.1</w:t>
      </w:r>
      <w:r w:rsidR="006231C9" w:rsidRPr="00F05339">
        <w:rPr>
          <w:rFonts w:ascii="Arial" w:hAnsi="Arial" w:cs="Arial"/>
        </w:rPr>
        <w:fldChar w:fldCharType="end"/>
      </w:r>
      <w:r w:rsidRPr="00F05339">
        <w:rPr>
          <w:rFonts w:ascii="Arial" w:hAnsi="Arial" w:cs="Arial"/>
        </w:rPr>
        <w:t xml:space="preserve"> as well as in the Programme Review Days event, including the project officers’ portfolio overviews and project posters</w:t>
      </w:r>
      <w:r w:rsidRPr="00F05339">
        <w:rPr>
          <w:rFonts w:ascii="Arial" w:hAnsi="Arial" w:cs="Arial"/>
          <w:vertAlign w:val="superscript"/>
        </w:rPr>
        <w:footnoteReference w:id="38"/>
      </w:r>
      <w:r w:rsidRPr="00F05339">
        <w:rPr>
          <w:rFonts w:ascii="Arial" w:hAnsi="Arial" w:cs="Arial"/>
        </w:rPr>
        <w:t xml:space="preserve">. </w:t>
      </w:r>
    </w:p>
    <w:p w14:paraId="10E5C049" w14:textId="7925F65D" w:rsidR="006231C9" w:rsidRPr="00F05339" w:rsidRDefault="006231C9" w:rsidP="006231C9">
      <w:pPr>
        <w:spacing w:line="240" w:lineRule="auto"/>
        <w:jc w:val="both"/>
        <w:rPr>
          <w:rFonts w:ascii="Arial" w:hAnsi="Arial" w:cs="Arial"/>
          <w:b/>
          <w:bCs/>
        </w:rPr>
      </w:pPr>
      <w:r w:rsidRPr="00F05339">
        <w:rPr>
          <w:rFonts w:ascii="Arial" w:hAnsi="Arial" w:cs="Arial"/>
          <w:b/>
          <w:bCs/>
        </w:rPr>
        <w:t>Fuel Cell and Hydrogen Observatory</w:t>
      </w:r>
    </w:p>
    <w:p w14:paraId="56313D94" w14:textId="443DF3E5" w:rsidR="00F24D5E" w:rsidRPr="00F05339" w:rsidRDefault="006231C9" w:rsidP="00E86B5F">
      <w:pPr>
        <w:spacing w:line="240" w:lineRule="auto"/>
        <w:jc w:val="both"/>
        <w:rPr>
          <w:rFonts w:ascii="Arial" w:hAnsi="Arial" w:cs="Arial"/>
        </w:rPr>
      </w:pPr>
      <w:r w:rsidRPr="00F05339">
        <w:rPr>
          <w:rFonts w:ascii="Arial" w:hAnsi="Arial" w:cs="Arial"/>
        </w:rPr>
        <w:t xml:space="preserve">The JU contributes towards the monitoring of the deployment of hydrogen technologies, the adoption of related policies and academic activities and research results through the Fuel Cells &amp; Hydrogen Observatory (FCHO). FCHO is an open platform providing data and up to date information about the entire hydrogen sector, aiming to address the lack of data publicly available at EU and national level concerning the uptake of fuel cell and hydrogen technologies on the EU market and the absence of a coordinated methodology on how to monitor their market evolution. </w:t>
      </w:r>
    </w:p>
    <w:p w14:paraId="355FA78C" w14:textId="1079EE43" w:rsidR="00F24D5E" w:rsidRDefault="00F24D5E" w:rsidP="00E86B5F">
      <w:pPr>
        <w:spacing w:line="240" w:lineRule="auto"/>
        <w:jc w:val="both"/>
        <w:rPr>
          <w:rFonts w:ascii="Arial" w:hAnsi="Arial" w:cs="Arial"/>
        </w:rPr>
      </w:pPr>
      <w:r w:rsidRPr="00F05339">
        <w:rPr>
          <w:rFonts w:ascii="Arial" w:hAnsi="Arial" w:cs="Arial"/>
        </w:rPr>
        <w:t>In 2021 FCHO updated and further increased the data made available on its platform, most notably including a module for the calculation of the Levelised cost of Hydrogen (LCOH) and information about hydrogen pipelines. The data on the portal were updated to the latest available statistical data, while a set of six reports was published</w:t>
      </w:r>
      <w:r w:rsidR="00D0146A">
        <w:rPr>
          <w:rStyle w:val="FootnoteReference"/>
          <w:rFonts w:ascii="Arial" w:hAnsi="Arial" w:cs="Arial"/>
        </w:rPr>
        <w:footnoteReference w:id="39"/>
      </w:r>
      <w:r w:rsidRPr="00F05339">
        <w:rPr>
          <w:rFonts w:ascii="Arial" w:hAnsi="Arial" w:cs="Arial"/>
        </w:rPr>
        <w:t xml:space="preserve"> on all main information and data </w:t>
      </w:r>
      <w:r w:rsidR="00F7107D">
        <w:rPr>
          <w:rFonts w:ascii="Arial" w:hAnsi="Arial" w:cs="Arial"/>
        </w:rPr>
        <w:t xml:space="preserve">tracked by </w:t>
      </w:r>
      <w:r w:rsidRPr="00F05339">
        <w:rPr>
          <w:rFonts w:ascii="Arial" w:hAnsi="Arial" w:cs="Arial"/>
        </w:rPr>
        <w:t>the FCHO</w:t>
      </w:r>
      <w:r w:rsidR="00D0146A">
        <w:rPr>
          <w:rFonts w:ascii="Arial" w:hAnsi="Arial" w:cs="Arial"/>
        </w:rPr>
        <w:t>:</w:t>
      </w:r>
    </w:p>
    <w:p w14:paraId="626AA4B3" w14:textId="3CA3AA31" w:rsidR="00D0146A" w:rsidRDefault="00D0146A" w:rsidP="00D0146A">
      <w:pPr>
        <w:pStyle w:val="ListParagraph"/>
        <w:numPr>
          <w:ilvl w:val="0"/>
          <w:numId w:val="53"/>
        </w:numPr>
        <w:spacing w:line="240" w:lineRule="auto"/>
        <w:jc w:val="both"/>
        <w:rPr>
          <w:rFonts w:ascii="Arial" w:hAnsi="Arial" w:cs="Arial"/>
        </w:rPr>
      </w:pPr>
      <w:r>
        <w:rPr>
          <w:rFonts w:ascii="Arial" w:hAnsi="Arial" w:cs="Arial"/>
        </w:rPr>
        <w:t>Technology and Market</w:t>
      </w:r>
    </w:p>
    <w:p w14:paraId="6DC4FC41" w14:textId="4DD4FE55" w:rsidR="00D0146A" w:rsidRDefault="00D0146A" w:rsidP="00D0146A">
      <w:pPr>
        <w:pStyle w:val="ListParagraph"/>
        <w:numPr>
          <w:ilvl w:val="0"/>
          <w:numId w:val="53"/>
        </w:numPr>
        <w:spacing w:line="240" w:lineRule="auto"/>
        <w:jc w:val="both"/>
        <w:rPr>
          <w:rFonts w:ascii="Arial" w:hAnsi="Arial" w:cs="Arial"/>
        </w:rPr>
      </w:pPr>
      <w:r>
        <w:rPr>
          <w:rFonts w:ascii="Arial" w:hAnsi="Arial" w:cs="Arial"/>
        </w:rPr>
        <w:t>Hydrogen Supply &amp; Demand</w:t>
      </w:r>
    </w:p>
    <w:p w14:paraId="7F2DDEE3" w14:textId="1A755B49" w:rsidR="00D0146A" w:rsidRDefault="00D0146A" w:rsidP="00D0146A">
      <w:pPr>
        <w:pStyle w:val="ListParagraph"/>
        <w:numPr>
          <w:ilvl w:val="0"/>
          <w:numId w:val="53"/>
        </w:numPr>
        <w:spacing w:line="240" w:lineRule="auto"/>
        <w:jc w:val="both"/>
        <w:rPr>
          <w:rFonts w:ascii="Arial" w:hAnsi="Arial" w:cs="Arial"/>
        </w:rPr>
      </w:pPr>
      <w:r>
        <w:rPr>
          <w:rFonts w:ascii="Arial" w:hAnsi="Arial" w:cs="Arial"/>
        </w:rPr>
        <w:t>EU and national Policies</w:t>
      </w:r>
    </w:p>
    <w:p w14:paraId="233BC49B" w14:textId="079276F3" w:rsidR="00D0146A" w:rsidRDefault="00D0146A" w:rsidP="00D0146A">
      <w:pPr>
        <w:pStyle w:val="ListParagraph"/>
        <w:numPr>
          <w:ilvl w:val="0"/>
          <w:numId w:val="53"/>
        </w:numPr>
        <w:spacing w:line="240" w:lineRule="auto"/>
        <w:jc w:val="both"/>
        <w:rPr>
          <w:rFonts w:ascii="Arial" w:hAnsi="Arial" w:cs="Arial"/>
        </w:rPr>
      </w:pPr>
      <w:r>
        <w:rPr>
          <w:rFonts w:ascii="Arial" w:hAnsi="Arial" w:cs="Arial"/>
        </w:rPr>
        <w:t>Standards</w:t>
      </w:r>
    </w:p>
    <w:p w14:paraId="18E9F4B6" w14:textId="03B75468" w:rsidR="00D0146A" w:rsidRDefault="00D0146A" w:rsidP="00D0146A">
      <w:pPr>
        <w:pStyle w:val="ListParagraph"/>
        <w:numPr>
          <w:ilvl w:val="0"/>
          <w:numId w:val="53"/>
        </w:numPr>
        <w:spacing w:line="240" w:lineRule="auto"/>
        <w:jc w:val="both"/>
        <w:rPr>
          <w:rFonts w:ascii="Arial" w:hAnsi="Arial" w:cs="Arial"/>
        </w:rPr>
      </w:pPr>
      <w:r>
        <w:rPr>
          <w:rFonts w:ascii="Arial" w:hAnsi="Arial" w:cs="Arial"/>
        </w:rPr>
        <w:t>Patents</w:t>
      </w:r>
    </w:p>
    <w:p w14:paraId="2B2DBD73" w14:textId="620EAA9B" w:rsidR="00D0146A" w:rsidRPr="00F7107D" w:rsidRDefault="00D0146A" w:rsidP="00F7107D">
      <w:pPr>
        <w:pStyle w:val="ListParagraph"/>
        <w:numPr>
          <w:ilvl w:val="0"/>
          <w:numId w:val="53"/>
        </w:numPr>
        <w:spacing w:line="240" w:lineRule="auto"/>
        <w:jc w:val="both"/>
        <w:rPr>
          <w:rFonts w:ascii="Arial" w:hAnsi="Arial" w:cs="Arial"/>
        </w:rPr>
      </w:pPr>
      <w:r>
        <w:rPr>
          <w:rFonts w:ascii="Arial" w:hAnsi="Arial" w:cs="Arial"/>
        </w:rPr>
        <w:t>Education and Training</w:t>
      </w:r>
    </w:p>
    <w:p w14:paraId="67FA0F5B" w14:textId="57A8C631" w:rsidR="00E86B5F" w:rsidRPr="00F05339" w:rsidRDefault="00E86B5F" w:rsidP="002672A0">
      <w:pPr>
        <w:pStyle w:val="Heading3"/>
        <w:numPr>
          <w:ilvl w:val="2"/>
          <w:numId w:val="22"/>
        </w:numPr>
        <w:tabs>
          <w:tab w:val="num" w:pos="360"/>
        </w:tabs>
        <w:ind w:left="0" w:firstLine="0"/>
        <w:rPr>
          <w:rFonts w:ascii="Arial" w:hAnsi="Arial" w:cs="Arial"/>
          <w:sz w:val="24"/>
          <w:szCs w:val="24"/>
          <w:lang w:eastAsia="nl-BE"/>
        </w:rPr>
      </w:pPr>
      <w:bookmarkStart w:id="103" w:name="_Toc98496336"/>
      <w:bookmarkStart w:id="104" w:name="_Ref100696275"/>
      <w:bookmarkStart w:id="105" w:name="_Toc101516059"/>
      <w:r w:rsidRPr="00F05339">
        <w:rPr>
          <w:rFonts w:ascii="Arial" w:hAnsi="Arial" w:cs="Arial"/>
        </w:rPr>
        <w:lastRenderedPageBreak/>
        <w:t>Regulations, Codes and Standards Strategy Coordination (RCS SC) Group</w:t>
      </w:r>
      <w:bookmarkEnd w:id="103"/>
      <w:bookmarkEnd w:id="104"/>
      <w:bookmarkEnd w:id="105"/>
      <w:r w:rsidRPr="00F05339">
        <w:rPr>
          <w:rFonts w:ascii="Arial" w:hAnsi="Arial" w:cs="Arial"/>
          <w:sz w:val="24"/>
          <w:szCs w:val="24"/>
          <w:lang w:eastAsia="nl-BE"/>
        </w:rPr>
        <w:t xml:space="preserve"> </w:t>
      </w:r>
    </w:p>
    <w:p w14:paraId="57BE0CC3" w14:textId="30B64127" w:rsidR="00E86B5F" w:rsidRPr="00F05339" w:rsidRDefault="00E86B5F" w:rsidP="00E86B5F">
      <w:pPr>
        <w:autoSpaceDE w:val="0"/>
        <w:autoSpaceDN w:val="0"/>
        <w:adjustRightInd w:val="0"/>
        <w:spacing w:before="120" w:after="0" w:line="240" w:lineRule="auto"/>
        <w:jc w:val="both"/>
        <w:rPr>
          <w:rFonts w:ascii="Arial" w:hAnsi="Arial" w:cs="Arial"/>
        </w:rPr>
      </w:pPr>
      <w:r w:rsidRPr="00F05339">
        <w:rPr>
          <w:rFonts w:ascii="Arial" w:hAnsi="Arial" w:cs="Arial"/>
        </w:rPr>
        <w:t>The industry-led Regulations, Codes and Standards Strategy Coordination (RCS SC) group is composed of 18 representatives from Hydrogen Europe and Hydrogen Europe Research, is supported by the European Commission's Joint Research Centre and the JU programme office.</w:t>
      </w:r>
    </w:p>
    <w:p w14:paraId="30FC8469" w14:textId="77777777" w:rsidR="00E86B5F" w:rsidRPr="00F05339" w:rsidRDefault="00E86B5F" w:rsidP="00E86B5F">
      <w:pPr>
        <w:autoSpaceDE w:val="0"/>
        <w:autoSpaceDN w:val="0"/>
        <w:adjustRightInd w:val="0"/>
        <w:spacing w:before="120" w:after="0" w:line="240" w:lineRule="auto"/>
        <w:jc w:val="both"/>
        <w:rPr>
          <w:rFonts w:ascii="Arial" w:hAnsi="Arial" w:cs="Arial"/>
        </w:rPr>
      </w:pPr>
      <w:r w:rsidRPr="00F05339">
        <w:rPr>
          <w:rFonts w:ascii="Arial" w:hAnsi="Arial" w:cs="Arial"/>
        </w:rPr>
        <w:t xml:space="preserve">The RCS SC group coordinates the strategy on RCS within the JU, with a focus on the identification of strategic themes for RCS development and their proposed follow-up. The goal of this work is to provide the JU Programme with an evidence-based analysis of urgent priorities for pre-normative research and standardisation needs supporting the design of the future annual work plans. </w:t>
      </w:r>
    </w:p>
    <w:p w14:paraId="62707560" w14:textId="5AEE5394" w:rsidR="00E86B5F" w:rsidRPr="00F05339" w:rsidRDefault="00E86B5F" w:rsidP="00E86B5F">
      <w:pPr>
        <w:autoSpaceDE w:val="0"/>
        <w:autoSpaceDN w:val="0"/>
        <w:adjustRightInd w:val="0"/>
        <w:spacing w:before="120" w:after="0" w:line="240" w:lineRule="auto"/>
        <w:jc w:val="both"/>
        <w:rPr>
          <w:rFonts w:ascii="Arial" w:hAnsi="Arial" w:cs="Arial"/>
        </w:rPr>
      </w:pPr>
      <w:r w:rsidRPr="00F05339">
        <w:rPr>
          <w:rFonts w:ascii="Arial" w:hAnsi="Arial" w:cs="Arial"/>
        </w:rPr>
        <w:t xml:space="preserve">In general, RCS activities consist of identifying and prioritising RCS needs of strategic importance for the EU. In addition, the necessary PNR activities to support the RCS priorities are identified. </w:t>
      </w:r>
    </w:p>
    <w:p w14:paraId="0F53DDC9" w14:textId="77777777" w:rsidR="00E86B5F" w:rsidRPr="00F05339" w:rsidRDefault="00E86B5F" w:rsidP="00E86B5F">
      <w:pPr>
        <w:autoSpaceDE w:val="0"/>
        <w:autoSpaceDN w:val="0"/>
        <w:adjustRightInd w:val="0"/>
        <w:spacing w:before="120" w:after="0" w:line="240" w:lineRule="auto"/>
        <w:jc w:val="both"/>
        <w:rPr>
          <w:rFonts w:ascii="Arial" w:hAnsi="Arial" w:cs="Arial"/>
        </w:rPr>
      </w:pPr>
      <w:r w:rsidRPr="00F05339">
        <w:rPr>
          <w:rFonts w:ascii="Arial" w:hAnsi="Arial" w:cs="Arial"/>
        </w:rPr>
        <w:t>In 2021, the RCS SCG members centred their activity around two main items:</w:t>
      </w:r>
    </w:p>
    <w:p w14:paraId="1F702FCE" w14:textId="77777777" w:rsidR="00E86B5F" w:rsidRPr="00F05339" w:rsidRDefault="00E86B5F" w:rsidP="002672A0">
      <w:pPr>
        <w:pStyle w:val="ListParagraph"/>
        <w:numPr>
          <w:ilvl w:val="0"/>
          <w:numId w:val="23"/>
        </w:numPr>
        <w:autoSpaceDE w:val="0"/>
        <w:autoSpaceDN w:val="0"/>
        <w:adjustRightInd w:val="0"/>
        <w:spacing w:before="120" w:after="0" w:line="240" w:lineRule="auto"/>
        <w:jc w:val="both"/>
        <w:rPr>
          <w:rFonts w:ascii="Arial" w:hAnsi="Arial" w:cs="Arial"/>
        </w:rPr>
      </w:pPr>
      <w:r w:rsidRPr="00F05339">
        <w:rPr>
          <w:rFonts w:ascii="Arial" w:hAnsi="Arial" w:cs="Arial"/>
        </w:rPr>
        <w:t>Support to set out the section devoted to the RCS SC on the Strategic Research and Innovation Agenda 2021 – 2027 of the Clean Hydrogen JU</w:t>
      </w:r>
      <w:r w:rsidRPr="00792B39">
        <w:rPr>
          <w:rFonts w:ascii="Arial" w:hAnsi="Arial" w:cs="Arial"/>
          <w:vertAlign w:val="superscript"/>
        </w:rPr>
        <w:footnoteReference w:id="40"/>
      </w:r>
      <w:r w:rsidRPr="00F05339">
        <w:rPr>
          <w:rFonts w:ascii="Arial" w:hAnsi="Arial" w:cs="Arial"/>
        </w:rPr>
        <w:t>, supporting the provision of a clear framework for the RCS SC activities in the years to come. As a result, the continuation of the works for the RCS coordination within the Clean Hydrogen JU Programme have been discussed, agreed, and the streamlined continuation of the activities has been outlined for an effective RCS Strategy Coordination in the next Programme.</w:t>
      </w:r>
    </w:p>
    <w:p w14:paraId="2DE6A5C3" w14:textId="77777777" w:rsidR="00E86B5F" w:rsidRPr="00F05339" w:rsidRDefault="00E86B5F" w:rsidP="00E86B5F">
      <w:pPr>
        <w:pStyle w:val="ListParagraph"/>
        <w:autoSpaceDE w:val="0"/>
        <w:autoSpaceDN w:val="0"/>
        <w:adjustRightInd w:val="0"/>
        <w:spacing w:before="120" w:after="0" w:line="240" w:lineRule="auto"/>
        <w:jc w:val="both"/>
        <w:rPr>
          <w:rFonts w:ascii="Arial" w:hAnsi="Arial" w:cs="Arial"/>
        </w:rPr>
      </w:pPr>
    </w:p>
    <w:p w14:paraId="0471FEF6" w14:textId="3779337B" w:rsidR="00E86B5F" w:rsidRPr="00F05339" w:rsidRDefault="00E86B5F" w:rsidP="002672A0">
      <w:pPr>
        <w:pStyle w:val="ListParagraph"/>
        <w:numPr>
          <w:ilvl w:val="0"/>
          <w:numId w:val="23"/>
        </w:numPr>
        <w:autoSpaceDE w:val="0"/>
        <w:autoSpaceDN w:val="0"/>
        <w:adjustRightInd w:val="0"/>
        <w:spacing w:before="120" w:after="0" w:line="240" w:lineRule="auto"/>
        <w:jc w:val="both"/>
        <w:rPr>
          <w:rFonts w:ascii="Arial" w:hAnsi="Arial" w:cs="Arial"/>
        </w:rPr>
      </w:pPr>
      <w:r w:rsidRPr="00F05339">
        <w:rPr>
          <w:rFonts w:ascii="Arial" w:hAnsi="Arial" w:cs="Arial"/>
        </w:rPr>
        <w:t xml:space="preserve">Follow up and support of activities going on in 2021 regarding standardisation in support of European legislation, and the </w:t>
      </w:r>
      <w:r w:rsidR="00B45A4D">
        <w:rPr>
          <w:rFonts w:ascii="Arial" w:hAnsi="Arial" w:cs="Arial"/>
        </w:rPr>
        <w:t>Sector Forum Energy Management Working Group (</w:t>
      </w:r>
      <w:r w:rsidRPr="00F05339">
        <w:rPr>
          <w:rFonts w:ascii="Arial" w:hAnsi="Arial" w:cs="Arial"/>
        </w:rPr>
        <w:t>SFEM WG</w:t>
      </w:r>
      <w:r w:rsidR="00B45A4D">
        <w:rPr>
          <w:rFonts w:ascii="Arial" w:hAnsi="Arial" w:cs="Arial"/>
        </w:rPr>
        <w:t>)</w:t>
      </w:r>
      <w:r w:rsidRPr="00F05339">
        <w:rPr>
          <w:rFonts w:ascii="Arial" w:hAnsi="Arial" w:cs="Arial"/>
        </w:rPr>
        <w:t xml:space="preserve"> Hydrogen. In this regard, RCS SCG members have been involved in the mapping of standards deemed necessary in the future in the general area of hydrogen. Besides, RCS SCG members have participated and supported the preparatory works of the SFEM WG Hydrogen Task Force on Industrial Needs Hydrogen Quality, and the preparation of three expert workshops on maritime, heavy-duty vehicles, and liquid hydrogen, scheduled early 2022.</w:t>
      </w:r>
    </w:p>
    <w:p w14:paraId="335B2F46" w14:textId="77777777" w:rsidR="00E86B5F" w:rsidRPr="00F05339" w:rsidRDefault="00E86B5F" w:rsidP="002672A0">
      <w:pPr>
        <w:pStyle w:val="Heading3"/>
        <w:numPr>
          <w:ilvl w:val="2"/>
          <w:numId w:val="22"/>
        </w:numPr>
        <w:tabs>
          <w:tab w:val="num" w:pos="360"/>
        </w:tabs>
        <w:ind w:left="0" w:firstLine="0"/>
        <w:rPr>
          <w:rFonts w:ascii="Arial" w:hAnsi="Arial" w:cs="Arial"/>
        </w:rPr>
      </w:pPr>
      <w:bookmarkStart w:id="106" w:name="_Toc98496337"/>
      <w:bookmarkStart w:id="107" w:name="_Toc101516060"/>
      <w:r w:rsidRPr="00F05339">
        <w:rPr>
          <w:rFonts w:ascii="Arial" w:hAnsi="Arial" w:cs="Arial"/>
        </w:rPr>
        <w:t>European Hydrogen Safety Panel (EHSP)</w:t>
      </w:r>
      <w:bookmarkEnd w:id="106"/>
      <w:bookmarkEnd w:id="107"/>
    </w:p>
    <w:p w14:paraId="1AC1990A" w14:textId="04092983" w:rsidR="00E86B5F" w:rsidRPr="00F05339" w:rsidRDefault="00E86B5F" w:rsidP="00E86B5F">
      <w:pPr>
        <w:autoSpaceDE w:val="0"/>
        <w:autoSpaceDN w:val="0"/>
        <w:adjustRightInd w:val="0"/>
        <w:spacing w:before="120" w:after="0" w:line="240" w:lineRule="auto"/>
        <w:jc w:val="both"/>
        <w:rPr>
          <w:rFonts w:ascii="Arial" w:hAnsi="Arial" w:cs="Arial"/>
        </w:rPr>
      </w:pPr>
      <w:r w:rsidRPr="00F05339">
        <w:rPr>
          <w:rFonts w:ascii="Arial" w:hAnsi="Arial" w:cs="Arial"/>
        </w:rPr>
        <w:t>European Hydrogen Safety Panel (EHSP) initiative was launched by the JU in 2017. The mission of the EHSP is to assist the JU both at programme and at project level in assuring that hydrogen safety is adequately managed, and to promote and disseminate hydrogen safety culture within and outside of the JU Programme.</w:t>
      </w:r>
    </w:p>
    <w:p w14:paraId="1018D932" w14:textId="467DEAC4" w:rsidR="00E86B5F" w:rsidRPr="00F05339" w:rsidRDefault="00E86B5F" w:rsidP="00E86B5F">
      <w:pPr>
        <w:autoSpaceDE w:val="0"/>
        <w:autoSpaceDN w:val="0"/>
        <w:adjustRightInd w:val="0"/>
        <w:spacing w:before="120" w:after="0" w:line="240" w:lineRule="auto"/>
        <w:jc w:val="both"/>
        <w:rPr>
          <w:rFonts w:ascii="Arial" w:hAnsi="Arial" w:cs="Arial"/>
        </w:rPr>
      </w:pPr>
      <w:r w:rsidRPr="00F05339">
        <w:rPr>
          <w:rFonts w:ascii="Arial" w:hAnsi="Arial" w:cs="Arial"/>
        </w:rPr>
        <w:t xml:space="preserve">The EHSP is composed of a multidisciplinary pool of experts - 15 experts in 2021 - grouped in ad-hoc working groups (task forces) according to the tasks to be performed </w:t>
      </w:r>
      <w:r w:rsidR="00006BC9">
        <w:rPr>
          <w:rFonts w:ascii="Arial" w:hAnsi="Arial" w:cs="Arial"/>
        </w:rPr>
        <w:t xml:space="preserve">annually </w:t>
      </w:r>
      <w:r w:rsidRPr="00F05339">
        <w:rPr>
          <w:rFonts w:ascii="Arial" w:hAnsi="Arial" w:cs="Arial"/>
        </w:rPr>
        <w:t>and to expertise. Collectively, the members of the EHSP have the necessary scientific competencies and expertise covering the technical domain needed to make science-based recommendations to the JU.</w:t>
      </w:r>
    </w:p>
    <w:p w14:paraId="24510E5C" w14:textId="77777777" w:rsidR="00E86B5F" w:rsidRPr="00F05339" w:rsidRDefault="00E86B5F" w:rsidP="00E86B5F">
      <w:pPr>
        <w:autoSpaceDE w:val="0"/>
        <w:autoSpaceDN w:val="0"/>
        <w:adjustRightInd w:val="0"/>
        <w:spacing w:before="120" w:after="0" w:line="240" w:lineRule="auto"/>
        <w:jc w:val="both"/>
        <w:rPr>
          <w:rFonts w:ascii="Arial" w:hAnsi="Arial" w:cs="Arial"/>
        </w:rPr>
      </w:pPr>
      <w:r w:rsidRPr="00F05339">
        <w:rPr>
          <w:rFonts w:ascii="Arial" w:hAnsi="Arial" w:cs="Arial"/>
        </w:rPr>
        <w:t>The following sections provide a summary of the activities performed by the EHSP over 2021, per task force.</w:t>
      </w:r>
    </w:p>
    <w:p w14:paraId="54A0A5EE" w14:textId="4B8479C6" w:rsidR="00E86B5F" w:rsidRPr="000952E8" w:rsidRDefault="000952E8" w:rsidP="00E86B5F">
      <w:pPr>
        <w:autoSpaceDE w:val="0"/>
        <w:autoSpaceDN w:val="0"/>
        <w:adjustRightInd w:val="0"/>
        <w:spacing w:before="120" w:after="0" w:line="240" w:lineRule="auto"/>
        <w:jc w:val="both"/>
        <w:rPr>
          <w:rFonts w:ascii="Arial" w:hAnsi="Arial" w:cs="Arial"/>
          <w:b/>
        </w:rPr>
      </w:pPr>
      <w:r>
        <w:rPr>
          <w:rFonts w:ascii="Arial" w:hAnsi="Arial" w:cs="Arial"/>
          <w:b/>
        </w:rPr>
        <w:t>S</w:t>
      </w:r>
      <w:r w:rsidR="00E86B5F" w:rsidRPr="000952E8">
        <w:rPr>
          <w:rFonts w:ascii="Arial" w:hAnsi="Arial" w:cs="Arial"/>
          <w:b/>
        </w:rPr>
        <w:t>upport at project level</w:t>
      </w:r>
    </w:p>
    <w:p w14:paraId="320A7261" w14:textId="77777777" w:rsidR="00E86B5F" w:rsidRPr="00F05339" w:rsidRDefault="00E86B5F" w:rsidP="00E86B5F">
      <w:pPr>
        <w:autoSpaceDE w:val="0"/>
        <w:autoSpaceDN w:val="0"/>
        <w:adjustRightInd w:val="0"/>
        <w:spacing w:before="120" w:after="0" w:line="240" w:lineRule="auto"/>
        <w:jc w:val="both"/>
        <w:rPr>
          <w:rFonts w:ascii="Arial" w:hAnsi="Arial" w:cs="Arial"/>
        </w:rPr>
      </w:pPr>
      <w:r w:rsidRPr="00F05339">
        <w:rPr>
          <w:rFonts w:ascii="Arial" w:hAnsi="Arial" w:cs="Arial"/>
        </w:rPr>
        <w:lastRenderedPageBreak/>
        <w:t>ESHP activities under this category aim at coordinating a package of measures to avoid any accidents by integrating safety learnings, expertise, and planning in the JU-funded projects by ensuring that all projects address and incorporate the state-of-the-art in hydrogen safety appropriately.</w:t>
      </w:r>
    </w:p>
    <w:p w14:paraId="55D2C1B0" w14:textId="77777777" w:rsidR="00E86B5F" w:rsidRPr="00F05339" w:rsidRDefault="00E86B5F" w:rsidP="00E86B5F">
      <w:pPr>
        <w:autoSpaceDE w:val="0"/>
        <w:autoSpaceDN w:val="0"/>
        <w:adjustRightInd w:val="0"/>
        <w:spacing w:before="120" w:after="0" w:line="240" w:lineRule="auto"/>
        <w:jc w:val="both"/>
        <w:rPr>
          <w:rFonts w:ascii="Arial" w:hAnsi="Arial" w:cs="Arial"/>
        </w:rPr>
      </w:pPr>
      <w:r w:rsidRPr="00F05339">
        <w:rPr>
          <w:rFonts w:ascii="Arial" w:hAnsi="Arial" w:cs="Arial"/>
        </w:rPr>
        <w:t>In 2021, the EHSP has published a new guidance document for the Safety Planning and Management in EU hydrogen and fuel cell projects</w:t>
      </w:r>
      <w:r w:rsidRPr="00F05339">
        <w:rPr>
          <w:rStyle w:val="FootnoteReference"/>
          <w:rFonts w:ascii="Arial" w:hAnsi="Arial" w:cs="Arial"/>
        </w:rPr>
        <w:footnoteReference w:id="41"/>
      </w:r>
      <w:r w:rsidRPr="00F05339">
        <w:rPr>
          <w:rFonts w:ascii="Arial" w:hAnsi="Arial" w:cs="Arial"/>
        </w:rPr>
        <w:t>. Building on the first safety planning guidance document published in 2019, the new document provides further information on safety planning, monitoring, and reporting for hydrogen and fuel cell projects in Europe and provides an integrated approach to project safety planning, monitoring and reporting needs to best address technical and organisational aspects related to hydrogen safety, supporting EU projects to incorporate state-of-the-art hydrogen safety by integrating safety learnings, expertise and planning.</w:t>
      </w:r>
    </w:p>
    <w:p w14:paraId="115D5D99" w14:textId="77777777" w:rsidR="00E86B5F" w:rsidRPr="00F05339" w:rsidRDefault="00E86B5F" w:rsidP="00E86B5F">
      <w:pPr>
        <w:autoSpaceDE w:val="0"/>
        <w:autoSpaceDN w:val="0"/>
        <w:adjustRightInd w:val="0"/>
        <w:spacing w:before="120" w:after="0" w:line="240" w:lineRule="auto"/>
        <w:jc w:val="both"/>
        <w:rPr>
          <w:rFonts w:ascii="Arial" w:hAnsi="Arial" w:cs="Arial"/>
        </w:rPr>
      </w:pPr>
      <w:r w:rsidRPr="00F05339">
        <w:rPr>
          <w:rFonts w:ascii="Arial" w:hAnsi="Arial" w:cs="Arial"/>
        </w:rPr>
        <w:t>In addition, the EHSP activities in 2021 have continued with the assessment of all JU projects from a safety-related perspective. Building on this assessment, ca. 10 safety plans of JU funded projects have been reviewed, providing recommendations for their improvement where was necessary. Besides, the EHSP has continued providing support in case a project consortium did not have its own safety expertise or wishes an independent view. In this sense, for example, it can be highlighted the REFLEX project has benefited from the EHSP advice and support, which facilitated receiving the permits for the installation of the SOFC targeted within the project.</w:t>
      </w:r>
    </w:p>
    <w:p w14:paraId="45DC7632" w14:textId="77777777" w:rsidR="00E86B5F" w:rsidRPr="00F05339" w:rsidRDefault="00E86B5F" w:rsidP="00E86B5F">
      <w:pPr>
        <w:autoSpaceDE w:val="0"/>
        <w:autoSpaceDN w:val="0"/>
        <w:adjustRightInd w:val="0"/>
        <w:spacing w:before="120" w:after="0" w:line="240" w:lineRule="auto"/>
        <w:jc w:val="both"/>
        <w:rPr>
          <w:rFonts w:ascii="Arial" w:hAnsi="Arial" w:cs="Arial"/>
        </w:rPr>
      </w:pPr>
      <w:r w:rsidRPr="00F05339">
        <w:rPr>
          <w:rFonts w:ascii="Arial" w:hAnsi="Arial" w:cs="Arial"/>
        </w:rPr>
        <w:t>Last, within the activities carried out in supporting specific projects, and Online Workshop on Safe Storage of Compressed Gas Hydrogen in road transport applications and related infrastructure focused on the safety aspects of was held on 18 November 2021 with the participation of the 15 JU projects involving hydrogen storage in road transport applications and related infrastructure. The projects presented their project specific approaches and experiences regarding safety planning, regulation codes and standards, risk assessment and incidences specifically related to hydrogen storage. In total, more than 90 participants were connected online and a summary report alongside the presentations will be hosted onto the EHSP webpage on the JU website for public dissemination.</w:t>
      </w:r>
    </w:p>
    <w:p w14:paraId="1AFEC6BE" w14:textId="2A6D5553" w:rsidR="00E86B5F" w:rsidRPr="000952E8" w:rsidRDefault="00E86B5F" w:rsidP="00E86B5F">
      <w:pPr>
        <w:autoSpaceDE w:val="0"/>
        <w:autoSpaceDN w:val="0"/>
        <w:adjustRightInd w:val="0"/>
        <w:spacing w:before="120" w:after="0" w:line="240" w:lineRule="auto"/>
        <w:jc w:val="both"/>
        <w:rPr>
          <w:rFonts w:ascii="Arial" w:hAnsi="Arial" w:cs="Arial"/>
          <w:b/>
        </w:rPr>
      </w:pPr>
      <w:r w:rsidRPr="000952E8">
        <w:rPr>
          <w:rFonts w:ascii="Arial" w:hAnsi="Arial" w:cs="Arial"/>
          <w:b/>
        </w:rPr>
        <w:t>Support at programme level</w:t>
      </w:r>
    </w:p>
    <w:p w14:paraId="3B1B37B9" w14:textId="77777777" w:rsidR="00E86B5F" w:rsidRPr="00F05339" w:rsidRDefault="00E86B5F" w:rsidP="00E86B5F">
      <w:pPr>
        <w:autoSpaceDE w:val="0"/>
        <w:autoSpaceDN w:val="0"/>
        <w:adjustRightInd w:val="0"/>
        <w:spacing w:before="120" w:after="0" w:line="240" w:lineRule="auto"/>
        <w:jc w:val="both"/>
        <w:rPr>
          <w:rFonts w:ascii="Arial" w:hAnsi="Arial" w:cs="Arial"/>
        </w:rPr>
      </w:pPr>
      <w:r w:rsidRPr="00F05339">
        <w:rPr>
          <w:rFonts w:ascii="Arial" w:hAnsi="Arial" w:cs="Arial"/>
        </w:rPr>
        <w:t>EHSP works under this category include a set of activities intrinsically linked with the activities of the previous task force but with a broader and cross-cutting dimension, focused on the JU Programme itself and how safety-related aspects can be enhanced within the overall programme and activities.</w:t>
      </w:r>
    </w:p>
    <w:p w14:paraId="1E357FBD" w14:textId="77777777" w:rsidR="00E86B5F" w:rsidRPr="00F05339" w:rsidRDefault="00E86B5F" w:rsidP="00E86B5F">
      <w:pPr>
        <w:autoSpaceDE w:val="0"/>
        <w:autoSpaceDN w:val="0"/>
        <w:adjustRightInd w:val="0"/>
        <w:spacing w:before="120" w:after="0" w:line="240" w:lineRule="auto"/>
        <w:jc w:val="both"/>
        <w:rPr>
          <w:rFonts w:ascii="Arial" w:hAnsi="Arial" w:cs="Arial"/>
        </w:rPr>
      </w:pPr>
      <w:r w:rsidRPr="00F05339">
        <w:rPr>
          <w:rFonts w:ascii="Arial" w:hAnsi="Arial" w:cs="Arial"/>
        </w:rPr>
        <w:t>The activities within this task force in 2021 were focused on the support to set out the section devoted to the EHSP on the Strategic Research and Innovation Agenda 2021 – 2027 of the Clean Hydrogen JU</w:t>
      </w:r>
      <w:r w:rsidRPr="00F05339">
        <w:rPr>
          <w:rStyle w:val="FootnoteReference"/>
          <w:rFonts w:ascii="Arial" w:hAnsi="Arial" w:cs="Arial"/>
        </w:rPr>
        <w:footnoteReference w:id="42"/>
      </w:r>
      <w:r w:rsidRPr="00F05339">
        <w:rPr>
          <w:rFonts w:ascii="Arial" w:hAnsi="Arial" w:cs="Arial"/>
        </w:rPr>
        <w:t>, providing a clear framework for the EHSP activities in the years to come. In addition, following the activities initiated last year, the EHSP has supported the JU in identifying safety issues and researching that still might require support within the Programme to better understand and assess the current and near-future needs in hydrogen safety.</w:t>
      </w:r>
    </w:p>
    <w:p w14:paraId="05722CBD" w14:textId="77777777" w:rsidR="00E86B5F" w:rsidRPr="00F05339" w:rsidRDefault="00E86B5F" w:rsidP="00E86B5F">
      <w:pPr>
        <w:autoSpaceDE w:val="0"/>
        <w:autoSpaceDN w:val="0"/>
        <w:adjustRightInd w:val="0"/>
        <w:spacing w:before="120" w:after="0" w:line="240" w:lineRule="auto"/>
        <w:jc w:val="both"/>
        <w:rPr>
          <w:rFonts w:ascii="Arial" w:hAnsi="Arial" w:cs="Arial"/>
        </w:rPr>
      </w:pPr>
      <w:r w:rsidRPr="00F05339">
        <w:rPr>
          <w:rFonts w:ascii="Arial" w:hAnsi="Arial" w:cs="Arial"/>
        </w:rPr>
        <w:t xml:space="preserve">Moreover, as part of the activities within this task force, the EHSP has kept developing a procedure for an incident response aiming at providing a structured response to any incident or safety threat to a project. </w:t>
      </w:r>
    </w:p>
    <w:p w14:paraId="082AEF2F" w14:textId="77777777" w:rsidR="00E86B5F" w:rsidRPr="00F05339" w:rsidRDefault="00E86B5F" w:rsidP="00E86B5F">
      <w:pPr>
        <w:autoSpaceDE w:val="0"/>
        <w:autoSpaceDN w:val="0"/>
        <w:adjustRightInd w:val="0"/>
        <w:spacing w:before="120" w:after="0" w:line="240" w:lineRule="auto"/>
        <w:jc w:val="both"/>
        <w:rPr>
          <w:rFonts w:ascii="Arial" w:hAnsi="Arial" w:cs="Arial"/>
        </w:rPr>
      </w:pPr>
      <w:r w:rsidRPr="00F05339">
        <w:rPr>
          <w:rFonts w:ascii="Arial" w:hAnsi="Arial" w:cs="Arial"/>
        </w:rPr>
        <w:t xml:space="preserve">Besides, the EHSP is keeping contact with the International Association IA HySafe, the American Hydrogen Safety Panel (HSP) traditionally supported by U.S. DOE’s Fuel Cell </w:t>
      </w:r>
      <w:r w:rsidRPr="00F05339">
        <w:rPr>
          <w:rFonts w:ascii="Arial" w:hAnsi="Arial" w:cs="Arial"/>
        </w:rPr>
        <w:lastRenderedPageBreak/>
        <w:t>Technologies Office, and the Hydrogen Council, seeking synergies and topics of mutual interest. As an example, the EHSP participated in the IPHE Hydrogen Safety Forum held on 22 June 2021, supporting a better understanding of the international systems in place that are supporting, researching, and continuing to improve hydrogen safety in production to transmission to use, and making a joint presentation with the American HSP. Last, more systematic cooperation with these organisations is foreseen from the next year 2022.</w:t>
      </w:r>
    </w:p>
    <w:p w14:paraId="72268B1A" w14:textId="23A0C8AD" w:rsidR="00E86B5F" w:rsidRPr="000952E8" w:rsidRDefault="00E86B5F" w:rsidP="00E86B5F">
      <w:pPr>
        <w:autoSpaceDE w:val="0"/>
        <w:autoSpaceDN w:val="0"/>
        <w:adjustRightInd w:val="0"/>
        <w:spacing w:before="120" w:after="0" w:line="240" w:lineRule="auto"/>
        <w:jc w:val="both"/>
        <w:rPr>
          <w:rFonts w:ascii="Arial" w:hAnsi="Arial" w:cs="Arial"/>
          <w:b/>
        </w:rPr>
      </w:pPr>
      <w:r w:rsidRPr="000952E8">
        <w:rPr>
          <w:rFonts w:ascii="Arial" w:hAnsi="Arial" w:cs="Arial"/>
          <w:b/>
        </w:rPr>
        <w:t>Data collection and assessment</w:t>
      </w:r>
    </w:p>
    <w:p w14:paraId="4BB36B04" w14:textId="77777777" w:rsidR="00E86B5F" w:rsidRPr="00F05339" w:rsidRDefault="00E86B5F" w:rsidP="00E86B5F">
      <w:pPr>
        <w:autoSpaceDE w:val="0"/>
        <w:autoSpaceDN w:val="0"/>
        <w:adjustRightInd w:val="0"/>
        <w:spacing w:before="120" w:after="0" w:line="240" w:lineRule="auto"/>
        <w:jc w:val="both"/>
        <w:rPr>
          <w:rFonts w:ascii="Arial" w:hAnsi="Arial" w:cs="Arial"/>
        </w:rPr>
      </w:pPr>
      <w:r w:rsidRPr="00F05339">
        <w:rPr>
          <w:rFonts w:ascii="Arial" w:hAnsi="Arial" w:cs="Arial"/>
        </w:rPr>
        <w:t>As learning from others is an essential element of a high-level safety culture, activities in this category are centred on the collection and analysis of hydrogen safety-related data to derive lessons learned and provide further general recommendations to all stakeholders. Together with fundamental safety research and applied studies, one of the most fruitful methods used in industry to develop and improve safety strategies for a specific technology is the return of experience obtained from its previous deployments. In the case of hydrogen, previous scarce penetration in the market and society does not yet allow for reliable statistics to be generated and in-depth knowledge about incidents and near misses is still lacking. It is, therefore, important to collect and structure all available information on accidental hydrogen behaviour along its supply chains, up to end uses, to maximise the lessons learned from the past and develop future-proof safety strategies to help ensure safe handling of hydrogen and inform standards and regulations.</w:t>
      </w:r>
    </w:p>
    <w:p w14:paraId="3D1D5AFC" w14:textId="77777777" w:rsidR="00E86B5F" w:rsidRPr="00F05339" w:rsidRDefault="00E86B5F" w:rsidP="00E86B5F">
      <w:pPr>
        <w:autoSpaceDE w:val="0"/>
        <w:autoSpaceDN w:val="0"/>
        <w:adjustRightInd w:val="0"/>
        <w:spacing w:before="120" w:after="0" w:line="240" w:lineRule="auto"/>
        <w:jc w:val="both"/>
        <w:rPr>
          <w:rFonts w:ascii="Arial" w:hAnsi="Arial" w:cs="Arial"/>
          <w:color w:val="0D0D0D" w:themeColor="text1" w:themeTint="F2"/>
        </w:rPr>
      </w:pPr>
      <w:r w:rsidRPr="00F05339">
        <w:rPr>
          <w:rFonts w:ascii="Arial" w:hAnsi="Arial" w:cs="Arial"/>
        </w:rPr>
        <w:t xml:space="preserve">In close collaboration with the JRC, the EHSP has continued to enlarge the HIAD 2.0 database in 2021. </w:t>
      </w:r>
      <w:r w:rsidRPr="00F05339">
        <w:rPr>
          <w:rFonts w:ascii="Arial" w:hAnsi="Arial" w:cs="Arial"/>
          <w:color w:val="0D0D0D" w:themeColor="text1" w:themeTint="F2"/>
        </w:rPr>
        <w:t>The number of validated events increased from 272 in 2018 to 706 in 2021, and the overall quality of the published events has also been improved.</w:t>
      </w:r>
    </w:p>
    <w:p w14:paraId="2A3849EB" w14:textId="77777777" w:rsidR="00E86B5F" w:rsidRPr="00F05339" w:rsidRDefault="00E86B5F" w:rsidP="00E86B5F">
      <w:pPr>
        <w:autoSpaceDE w:val="0"/>
        <w:autoSpaceDN w:val="0"/>
        <w:adjustRightInd w:val="0"/>
        <w:spacing w:before="120" w:after="0" w:line="240" w:lineRule="auto"/>
        <w:jc w:val="both"/>
        <w:rPr>
          <w:rFonts w:ascii="Arial" w:hAnsi="Arial" w:cs="Arial"/>
        </w:rPr>
      </w:pPr>
      <w:r w:rsidRPr="00F05339">
        <w:rPr>
          <w:rFonts w:ascii="Arial" w:hAnsi="Arial" w:cs="Arial"/>
          <w:color w:val="0D0D0D" w:themeColor="text1" w:themeTint="F2"/>
        </w:rPr>
        <w:t xml:space="preserve">Besides, the EHSP has conducted statistical analysis to identify trends in the type of incident/accident, origin, causes, severity, and violation of relevant safety principles, etc. The gathered statistics informed the </w:t>
      </w:r>
      <w:r w:rsidRPr="00F05339">
        <w:rPr>
          <w:rFonts w:ascii="Arial" w:hAnsi="Arial" w:cs="Arial"/>
          <w:color w:val="0D0D0D" w:themeColor="text1" w:themeTint="F2"/>
          <w:lang w:val="en-US"/>
        </w:rPr>
        <w:t xml:space="preserve">subsequent </w:t>
      </w:r>
      <w:r w:rsidRPr="00F05339">
        <w:rPr>
          <w:rFonts w:ascii="Arial" w:hAnsi="Arial" w:cs="Arial"/>
          <w:color w:val="0D0D0D" w:themeColor="text1" w:themeTint="F2"/>
        </w:rPr>
        <w:t>analysis to derive lessons learned and formulate recommendations that can be drawn from the events to improve hydrogen safety in different sectors. During this process, the EHSP formulated internal guidance to help harmonising the analysis of the individual experts. As a result, i</w:t>
      </w:r>
      <w:r w:rsidRPr="00F05339">
        <w:rPr>
          <w:rFonts w:ascii="Arial" w:hAnsi="Arial" w:cs="Arial"/>
        </w:rPr>
        <w:t xml:space="preserve">n 2021, </w:t>
      </w:r>
      <w:r w:rsidRPr="00F05339">
        <w:rPr>
          <w:rFonts w:ascii="Arial" w:hAnsi="Arial" w:cs="Arial"/>
          <w:color w:val="0D0D0D" w:themeColor="text1" w:themeTint="F2"/>
        </w:rPr>
        <w:t>the EHSP has published a new document with the Statistics, lessons learnt and recommendations from the analysis of the Hydrogen Incidents and Accidents Database (HIAD 2.0)</w:t>
      </w:r>
      <w:r w:rsidRPr="00F05339">
        <w:rPr>
          <w:rFonts w:ascii="Arial" w:hAnsi="Arial" w:cs="Arial"/>
        </w:rPr>
        <w:t xml:space="preserve"> </w:t>
      </w:r>
      <w:r w:rsidRPr="00F05339">
        <w:rPr>
          <w:rStyle w:val="FootnoteReference"/>
          <w:rFonts w:ascii="Arial" w:hAnsi="Arial" w:cs="Arial"/>
        </w:rPr>
        <w:footnoteReference w:id="43"/>
      </w:r>
      <w:r w:rsidRPr="00F05339">
        <w:rPr>
          <w:rFonts w:ascii="Arial" w:hAnsi="Arial" w:cs="Arial"/>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4201"/>
      </w:tblGrid>
      <w:tr w:rsidR="00E86B5F" w:rsidRPr="00F05339" w14:paraId="42408996" w14:textId="77777777" w:rsidTr="00DF2591">
        <w:tc>
          <w:tcPr>
            <w:tcW w:w="4815" w:type="dxa"/>
          </w:tcPr>
          <w:p w14:paraId="4C788414" w14:textId="77777777" w:rsidR="00E86B5F" w:rsidRPr="00F05339" w:rsidRDefault="00E86B5F" w:rsidP="00DF2591">
            <w:pPr>
              <w:autoSpaceDE w:val="0"/>
              <w:autoSpaceDN w:val="0"/>
              <w:adjustRightInd w:val="0"/>
              <w:spacing w:before="120"/>
              <w:jc w:val="both"/>
              <w:rPr>
                <w:rFonts w:ascii="Arial" w:hAnsi="Arial" w:cs="Arial"/>
              </w:rPr>
            </w:pPr>
            <w:r w:rsidRPr="00F05339">
              <w:rPr>
                <w:rFonts w:ascii="Arial" w:hAnsi="Arial" w:cs="Arial"/>
              </w:rPr>
              <w:t>The research supporting this document has been presented in the 9</w:t>
            </w:r>
            <w:r w:rsidRPr="00F05339">
              <w:rPr>
                <w:rFonts w:ascii="Arial" w:hAnsi="Arial" w:cs="Arial"/>
                <w:vertAlign w:val="superscript"/>
              </w:rPr>
              <w:t>th</w:t>
            </w:r>
            <w:r w:rsidRPr="00F05339">
              <w:rPr>
                <w:rFonts w:ascii="Arial" w:hAnsi="Arial" w:cs="Arial"/>
              </w:rPr>
              <w:t xml:space="preserve"> International Conference on Hydrogen Safety (ICHS2021) by the EHSP, which received the Best Paper award. </w:t>
            </w:r>
          </w:p>
          <w:p w14:paraId="466FC696" w14:textId="77777777" w:rsidR="00E86B5F" w:rsidRPr="00F05339" w:rsidRDefault="00E86B5F" w:rsidP="00DF2591">
            <w:pPr>
              <w:autoSpaceDE w:val="0"/>
              <w:autoSpaceDN w:val="0"/>
              <w:adjustRightInd w:val="0"/>
              <w:spacing w:before="120"/>
              <w:jc w:val="both"/>
              <w:rPr>
                <w:rFonts w:ascii="Arial" w:hAnsi="Arial" w:cs="Arial"/>
              </w:rPr>
            </w:pPr>
            <w:r w:rsidRPr="00F05339">
              <w:rPr>
                <w:rFonts w:ascii="Arial" w:hAnsi="Arial" w:cs="Arial"/>
              </w:rPr>
              <w:t>Last, preliminary lists of the phenomenological models, risk assessment approaches and computational fluid dynamics (CFD) models developed from JU projects and elsewhere by the international hydrogen safety community have been compiled with links to relevant published documents.</w:t>
            </w:r>
          </w:p>
        </w:tc>
        <w:tc>
          <w:tcPr>
            <w:tcW w:w="4201" w:type="dxa"/>
          </w:tcPr>
          <w:p w14:paraId="492241BB" w14:textId="77777777" w:rsidR="00E86B5F" w:rsidRPr="00F05339" w:rsidRDefault="00E86B5F" w:rsidP="00DF2591">
            <w:pPr>
              <w:autoSpaceDE w:val="0"/>
              <w:autoSpaceDN w:val="0"/>
              <w:adjustRightInd w:val="0"/>
              <w:spacing w:before="120"/>
              <w:jc w:val="center"/>
              <w:rPr>
                <w:rFonts w:ascii="Arial" w:hAnsi="Arial" w:cs="Arial"/>
              </w:rPr>
            </w:pPr>
            <w:r w:rsidRPr="00F05339">
              <w:rPr>
                <w:rFonts w:ascii="Arial" w:hAnsi="Arial" w:cs="Arial"/>
                <w:noProof/>
                <w:lang w:eastAsia="en-GB"/>
              </w:rPr>
              <w:drawing>
                <wp:inline distT="0" distB="0" distL="0" distR="0" wp14:anchorId="22C3CC61" wp14:editId="4C8466CD">
                  <wp:extent cx="1381125" cy="1802806"/>
                  <wp:effectExtent l="0" t="0" r="0" b="6985"/>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384068" cy="1806647"/>
                          </a:xfrm>
                          <a:prstGeom prst="rect">
                            <a:avLst/>
                          </a:prstGeom>
                          <a:noFill/>
                          <a:ln>
                            <a:noFill/>
                          </a:ln>
                        </pic:spPr>
                      </pic:pic>
                    </a:graphicData>
                  </a:graphic>
                </wp:inline>
              </w:drawing>
            </w:r>
          </w:p>
        </w:tc>
      </w:tr>
    </w:tbl>
    <w:p w14:paraId="14BC435A" w14:textId="6A3F5B5A" w:rsidR="00786868" w:rsidRPr="00F05339" w:rsidRDefault="00E86B5F" w:rsidP="00E86B5F">
      <w:pPr>
        <w:autoSpaceDE w:val="0"/>
        <w:autoSpaceDN w:val="0"/>
        <w:adjustRightInd w:val="0"/>
        <w:spacing w:before="120" w:after="0" w:line="240" w:lineRule="auto"/>
        <w:jc w:val="both"/>
        <w:rPr>
          <w:rFonts w:ascii="Arial" w:hAnsi="Arial" w:cs="Arial"/>
        </w:rPr>
      </w:pPr>
      <w:r w:rsidRPr="00F05339">
        <w:rPr>
          <w:rFonts w:ascii="Arial" w:hAnsi="Arial" w:cs="Arial"/>
        </w:rPr>
        <w:t xml:space="preserve">These form the basis of the planned work in 2022 towards developing a one-stop-shop for hydrogen safety engineering, which will include comprehensive lists of phenomenological </w:t>
      </w:r>
      <w:r w:rsidRPr="00F05339">
        <w:rPr>
          <w:rFonts w:ascii="Arial" w:hAnsi="Arial" w:cs="Arial"/>
        </w:rPr>
        <w:lastRenderedPageBreak/>
        <w:t>models, risk assessment approaches and CFD models for hydrogen safety engineering applications.</w:t>
      </w:r>
    </w:p>
    <w:p w14:paraId="15576DA4" w14:textId="1BA088FA" w:rsidR="00E86B5F" w:rsidRPr="000952E8" w:rsidRDefault="00E86B5F" w:rsidP="00786868">
      <w:pPr>
        <w:autoSpaceDE w:val="0"/>
        <w:autoSpaceDN w:val="0"/>
        <w:adjustRightInd w:val="0"/>
        <w:spacing w:before="120" w:after="0" w:line="240" w:lineRule="auto"/>
        <w:jc w:val="both"/>
        <w:rPr>
          <w:rFonts w:ascii="Arial" w:hAnsi="Arial" w:cs="Arial"/>
          <w:b/>
        </w:rPr>
      </w:pPr>
      <w:r w:rsidRPr="000952E8">
        <w:rPr>
          <w:rFonts w:ascii="Arial" w:hAnsi="Arial" w:cs="Arial"/>
          <w:b/>
        </w:rPr>
        <w:t>Public outreach</w:t>
      </w:r>
    </w:p>
    <w:p w14:paraId="5615EE24" w14:textId="77777777" w:rsidR="00E86B5F" w:rsidRPr="00F05339" w:rsidRDefault="00E86B5F" w:rsidP="00E86B5F">
      <w:pPr>
        <w:autoSpaceDE w:val="0"/>
        <w:autoSpaceDN w:val="0"/>
        <w:adjustRightInd w:val="0"/>
        <w:spacing w:before="120" w:after="0" w:line="240" w:lineRule="auto"/>
        <w:jc w:val="both"/>
        <w:rPr>
          <w:rFonts w:ascii="Arial" w:hAnsi="Arial" w:cs="Arial"/>
        </w:rPr>
      </w:pPr>
      <w:r w:rsidRPr="00F05339">
        <w:rPr>
          <w:rFonts w:ascii="Arial" w:hAnsi="Arial" w:cs="Arial"/>
        </w:rPr>
        <w:t xml:space="preserve">Framed within the context of the intended broad information exchange, in 2021 the EHSP has concluded its communication strategy. This internal document outlines specific considerations for the communication strategy for the EHSP and the inherent challenges associated with the safe implementation of hydrogen as an energy carrier in society. It suggests clear and measurable communication goals and objectives, provides an analysis of the target audience for communication, prioritised by groups, etc. It also provides a summary of relevant communication channels and a list of key messages. </w:t>
      </w:r>
    </w:p>
    <w:p w14:paraId="225DB272" w14:textId="77777777" w:rsidR="00E86B5F" w:rsidRPr="00F05339" w:rsidRDefault="00E86B5F" w:rsidP="00E86B5F">
      <w:pPr>
        <w:autoSpaceDE w:val="0"/>
        <w:autoSpaceDN w:val="0"/>
        <w:adjustRightInd w:val="0"/>
        <w:spacing w:before="120" w:after="0" w:line="240" w:lineRule="auto"/>
        <w:jc w:val="both"/>
        <w:rPr>
          <w:rFonts w:ascii="Arial" w:hAnsi="Arial" w:cs="Arial"/>
        </w:rPr>
      </w:pPr>
      <w:r w:rsidRPr="00F05339">
        <w:rPr>
          <w:rFonts w:ascii="Arial" w:hAnsi="Arial" w:cs="Arial"/>
        </w:rPr>
        <w:t xml:space="preserve">In line with the communication strategy, the EHSP has established regular meetings with the communication team at JU Programme Office and has performed a comprehensive revision of the EHSP webpage on the website of the Clean Hydrogen Joint Undertaking </w:t>
      </w:r>
      <w:r w:rsidRPr="00F05339">
        <w:rPr>
          <w:rStyle w:val="FootnoteReference"/>
          <w:rFonts w:ascii="Arial" w:hAnsi="Arial" w:cs="Arial"/>
        </w:rPr>
        <w:footnoteReference w:id="44"/>
      </w:r>
      <w:r w:rsidRPr="00F05339">
        <w:rPr>
          <w:rFonts w:ascii="Arial" w:hAnsi="Arial" w:cs="Arial"/>
        </w:rPr>
        <w:t>.</w:t>
      </w:r>
    </w:p>
    <w:p w14:paraId="7F93914F" w14:textId="77777777" w:rsidR="00E86B5F" w:rsidRPr="00F05339" w:rsidRDefault="00E86B5F" w:rsidP="00E86B5F">
      <w:pPr>
        <w:autoSpaceDE w:val="0"/>
        <w:autoSpaceDN w:val="0"/>
        <w:adjustRightInd w:val="0"/>
        <w:spacing w:before="120" w:after="0" w:line="240" w:lineRule="auto"/>
        <w:jc w:val="both"/>
        <w:rPr>
          <w:rFonts w:ascii="Arial" w:hAnsi="Arial" w:cs="Arial"/>
        </w:rPr>
      </w:pPr>
      <w:r w:rsidRPr="00F05339">
        <w:rPr>
          <w:rFonts w:ascii="Arial" w:hAnsi="Arial" w:cs="Arial"/>
        </w:rPr>
        <w:t xml:space="preserve">Besides, in cooperation with the Joint Research Centre (JRC) of the European Commission, the EHSP has developed </w:t>
      </w:r>
      <w:proofErr w:type="gramStart"/>
      <w:r w:rsidRPr="00F05339">
        <w:rPr>
          <w:rFonts w:ascii="Arial" w:hAnsi="Arial" w:cs="Arial"/>
        </w:rPr>
        <w:t>a specific research</w:t>
      </w:r>
      <w:proofErr w:type="gramEnd"/>
      <w:r w:rsidRPr="00F05339">
        <w:rPr>
          <w:rFonts w:ascii="Arial" w:hAnsi="Arial" w:cs="Arial"/>
        </w:rPr>
        <w:t xml:space="preserve"> thematic for hydrogen safety on Tools for Innovation Monitoring (TIM) </w:t>
      </w:r>
      <w:r w:rsidRPr="00F05339">
        <w:rPr>
          <w:rStyle w:val="FootnoteReference"/>
          <w:rFonts w:ascii="Arial" w:hAnsi="Arial" w:cs="Arial"/>
        </w:rPr>
        <w:footnoteReference w:id="45"/>
      </w:r>
      <w:r w:rsidRPr="00F05339">
        <w:rPr>
          <w:rFonts w:ascii="Arial" w:hAnsi="Arial" w:cs="Arial"/>
        </w:rPr>
        <w:t>.</w:t>
      </w:r>
    </w:p>
    <w:p w14:paraId="5B3A71FE" w14:textId="77777777" w:rsidR="00E86B5F" w:rsidRPr="00F05339" w:rsidRDefault="00E86B5F" w:rsidP="00E86B5F">
      <w:pPr>
        <w:autoSpaceDE w:val="0"/>
        <w:autoSpaceDN w:val="0"/>
        <w:adjustRightInd w:val="0"/>
        <w:spacing w:before="120" w:after="0" w:line="240" w:lineRule="auto"/>
        <w:jc w:val="both"/>
        <w:rPr>
          <w:rFonts w:ascii="Arial" w:hAnsi="Arial" w:cs="Arial"/>
        </w:rPr>
      </w:pPr>
      <w:r w:rsidRPr="00F05339">
        <w:rPr>
          <w:rFonts w:ascii="Arial" w:hAnsi="Arial" w:cs="Arial"/>
        </w:rPr>
        <w:t>Last, outreach activities of the EHSP in 2021 have included presentations at several events, such as on the FABIG Seminar on 21 April 2021, the Safety Forum of the International Partnership for Hydrogen and Fuel Cells in the Economy (IPHE) on 22 June 2021, the 9</w:t>
      </w:r>
      <w:r w:rsidRPr="00F05339">
        <w:rPr>
          <w:rFonts w:ascii="Arial" w:hAnsi="Arial" w:cs="Arial"/>
          <w:vertAlign w:val="superscript"/>
        </w:rPr>
        <w:t>th</w:t>
      </w:r>
      <w:r w:rsidRPr="00F05339">
        <w:rPr>
          <w:rFonts w:ascii="Arial" w:hAnsi="Arial" w:cs="Arial"/>
        </w:rPr>
        <w:t xml:space="preserve"> International Conference on Hydrogen Safety (ICHS2021) on 21-24 September 2022, and the European Hydrogen Week on 29 November – 3 December 2021.</w:t>
      </w:r>
    </w:p>
    <w:p w14:paraId="774DCBE7" w14:textId="77777777" w:rsidR="009519B8" w:rsidRPr="00F05339" w:rsidRDefault="009519B8" w:rsidP="002672A0">
      <w:pPr>
        <w:pStyle w:val="Heading3"/>
        <w:numPr>
          <w:ilvl w:val="2"/>
          <w:numId w:val="22"/>
        </w:numPr>
        <w:tabs>
          <w:tab w:val="num" w:pos="360"/>
        </w:tabs>
        <w:ind w:left="0" w:firstLine="0"/>
        <w:rPr>
          <w:rFonts w:ascii="Arial" w:hAnsi="Arial" w:cs="Arial"/>
        </w:rPr>
      </w:pPr>
      <w:bookmarkStart w:id="108" w:name="_Toc98496338"/>
      <w:bookmarkStart w:id="109" w:name="_Toc1656551"/>
      <w:bookmarkStart w:id="110" w:name="_Toc1731123"/>
      <w:bookmarkStart w:id="111" w:name="_Toc101516061"/>
      <w:r w:rsidRPr="00F05339">
        <w:rPr>
          <w:rFonts w:ascii="Arial" w:hAnsi="Arial" w:cs="Arial"/>
        </w:rPr>
        <w:t>Collaboration with the JRC</w:t>
      </w:r>
      <w:bookmarkEnd w:id="108"/>
      <w:bookmarkEnd w:id="111"/>
      <w:r w:rsidRPr="00F05339">
        <w:rPr>
          <w:rFonts w:ascii="Arial" w:hAnsi="Arial" w:cs="Arial"/>
        </w:rPr>
        <w:t xml:space="preserve"> </w:t>
      </w:r>
      <w:bookmarkEnd w:id="109"/>
      <w:bookmarkEnd w:id="110"/>
    </w:p>
    <w:p w14:paraId="7E945C71" w14:textId="77777777" w:rsidR="009519B8" w:rsidRPr="00F05339" w:rsidRDefault="009519B8" w:rsidP="009519B8">
      <w:pPr>
        <w:autoSpaceDE w:val="0"/>
        <w:autoSpaceDN w:val="0"/>
        <w:adjustRightInd w:val="0"/>
        <w:spacing w:after="0" w:line="240" w:lineRule="auto"/>
        <w:jc w:val="both"/>
        <w:rPr>
          <w:rFonts w:ascii="Arial" w:eastAsia="Times New Roman" w:hAnsi="Arial" w:cs="Arial"/>
          <w:lang w:eastAsia="en-GB"/>
        </w:rPr>
      </w:pPr>
    </w:p>
    <w:p w14:paraId="1CAB6140" w14:textId="6E8A4AC6" w:rsidR="009519B8" w:rsidRPr="00F05339" w:rsidRDefault="009519B8" w:rsidP="009519B8">
      <w:pPr>
        <w:jc w:val="both"/>
        <w:rPr>
          <w:rFonts w:ascii="Arial" w:hAnsi="Arial" w:cs="Arial"/>
        </w:rPr>
      </w:pPr>
      <w:r w:rsidRPr="00F05339">
        <w:rPr>
          <w:rFonts w:ascii="Arial" w:hAnsi="Arial" w:cs="Arial"/>
        </w:rPr>
        <w:t xml:space="preserve">The EC’s JRC undertakes high-quality research in the FCH field, which is of considerable relevance to the implementation of JU activities. </w:t>
      </w:r>
    </w:p>
    <w:p w14:paraId="75BE9403" w14:textId="643FEEEA" w:rsidR="009519B8" w:rsidRPr="00F05339" w:rsidRDefault="009519B8" w:rsidP="009519B8">
      <w:pPr>
        <w:jc w:val="both"/>
        <w:rPr>
          <w:rFonts w:ascii="Arial" w:hAnsi="Arial" w:cs="Arial"/>
        </w:rPr>
      </w:pPr>
      <w:r w:rsidRPr="00F05339">
        <w:rPr>
          <w:rFonts w:ascii="Arial" w:hAnsi="Arial" w:cs="Arial"/>
        </w:rPr>
        <w:t xml:space="preserve">In 2016, a Framework Contract between </w:t>
      </w:r>
      <w:r w:rsidR="009B379E">
        <w:rPr>
          <w:rFonts w:ascii="Arial" w:hAnsi="Arial" w:cs="Arial"/>
        </w:rPr>
        <w:t xml:space="preserve">the </w:t>
      </w:r>
      <w:r w:rsidRPr="00F05339">
        <w:rPr>
          <w:rFonts w:ascii="Arial" w:hAnsi="Arial" w:cs="Arial"/>
        </w:rPr>
        <w:t>JU and JRC was drawn up for the Horizon 2020 programme. The scope of this Framework Contract covers the activities the JRC provides at the level of the JU programme. These activities are outlined in annual Rolling Plans which also detail the specific deliverables to be provided against payment (heading B of Article 2 in the Framework Contract).</w:t>
      </w:r>
    </w:p>
    <w:p w14:paraId="2B412709" w14:textId="03BD6306" w:rsidR="009519B8" w:rsidRPr="00F05339" w:rsidRDefault="009519B8" w:rsidP="009519B8">
      <w:pPr>
        <w:jc w:val="both"/>
        <w:rPr>
          <w:rFonts w:ascii="Arial" w:hAnsi="Arial" w:cs="Arial"/>
        </w:rPr>
      </w:pPr>
      <w:r w:rsidRPr="00F05339">
        <w:rPr>
          <w:rFonts w:ascii="Arial" w:hAnsi="Arial" w:cs="Arial"/>
        </w:rPr>
        <w:t>The annual Rolling Plan 202</w:t>
      </w:r>
      <w:r w:rsidR="00B45A4D">
        <w:rPr>
          <w:rFonts w:ascii="Arial" w:hAnsi="Arial" w:cs="Arial"/>
        </w:rPr>
        <w:t>1</w:t>
      </w:r>
      <w:r w:rsidRPr="00F05339">
        <w:rPr>
          <w:rFonts w:ascii="Arial" w:hAnsi="Arial" w:cs="Arial"/>
        </w:rPr>
        <w:t xml:space="preserve"> constituted part of the AWP </w:t>
      </w:r>
      <w:r w:rsidR="00006BC9" w:rsidRPr="00F05339">
        <w:rPr>
          <w:rFonts w:ascii="Arial" w:hAnsi="Arial" w:cs="Arial"/>
        </w:rPr>
        <w:t>202</w:t>
      </w:r>
      <w:r w:rsidR="00006BC9">
        <w:rPr>
          <w:rFonts w:ascii="Arial" w:hAnsi="Arial" w:cs="Arial"/>
        </w:rPr>
        <w:t>1</w:t>
      </w:r>
      <w:r w:rsidRPr="00F05339">
        <w:rPr>
          <w:rFonts w:ascii="Arial" w:hAnsi="Arial" w:cs="Arial"/>
        </w:rPr>
        <w:t xml:space="preserve">, with an indicative budget of EUR </w:t>
      </w:r>
      <w:r w:rsidR="00227F1F" w:rsidRPr="00F05339">
        <w:rPr>
          <w:rFonts w:ascii="Arial" w:hAnsi="Arial" w:cs="Arial"/>
        </w:rPr>
        <w:t>990</w:t>
      </w:r>
      <w:r w:rsidRPr="00F05339">
        <w:rPr>
          <w:rFonts w:ascii="Arial" w:hAnsi="Arial" w:cs="Arial"/>
        </w:rPr>
        <w:t xml:space="preserve"> 000 foreseen from the JU operational </w:t>
      </w:r>
      <w:proofErr w:type="gramStart"/>
      <w:r w:rsidRPr="00F05339">
        <w:rPr>
          <w:rFonts w:ascii="Arial" w:hAnsi="Arial" w:cs="Arial"/>
        </w:rPr>
        <w:t>budget</w:t>
      </w:r>
      <w:r w:rsidR="00227F1F" w:rsidRPr="00F05339">
        <w:rPr>
          <w:rFonts w:ascii="Arial" w:hAnsi="Arial" w:cs="Arial"/>
        </w:rPr>
        <w:t>, but</w:t>
      </w:r>
      <w:proofErr w:type="gramEnd"/>
      <w:r w:rsidR="00227F1F" w:rsidRPr="00F05339">
        <w:rPr>
          <w:rFonts w:ascii="Arial" w:hAnsi="Arial" w:cs="Arial"/>
        </w:rPr>
        <w:t xml:space="preserve"> incurring in the end EUR </w:t>
      </w:r>
      <w:r w:rsidR="000952E8" w:rsidRPr="00F05339">
        <w:rPr>
          <w:rFonts w:ascii="Arial" w:hAnsi="Arial" w:cs="Arial"/>
        </w:rPr>
        <w:t>7</w:t>
      </w:r>
      <w:r w:rsidR="000952E8">
        <w:rPr>
          <w:rFonts w:ascii="Arial" w:hAnsi="Arial" w:cs="Arial"/>
        </w:rPr>
        <w:t>86</w:t>
      </w:r>
      <w:r w:rsidR="000952E8" w:rsidRPr="00F05339">
        <w:rPr>
          <w:rFonts w:ascii="Arial" w:hAnsi="Arial" w:cs="Arial"/>
        </w:rPr>
        <w:t xml:space="preserve"> </w:t>
      </w:r>
      <w:r w:rsidR="000952E8">
        <w:rPr>
          <w:rFonts w:ascii="Arial" w:hAnsi="Arial" w:cs="Arial"/>
        </w:rPr>
        <w:t>2</w:t>
      </w:r>
      <w:r w:rsidR="000952E8" w:rsidRPr="00F05339">
        <w:rPr>
          <w:rFonts w:ascii="Arial" w:hAnsi="Arial" w:cs="Arial"/>
        </w:rPr>
        <w:t xml:space="preserve">00 </w:t>
      </w:r>
      <w:r w:rsidR="00227F1F" w:rsidRPr="00F05339">
        <w:rPr>
          <w:rFonts w:ascii="Arial" w:hAnsi="Arial" w:cs="Arial"/>
        </w:rPr>
        <w:t>due to differences in the services provided</w:t>
      </w:r>
      <w:r w:rsidRPr="00F05339">
        <w:rPr>
          <w:rFonts w:ascii="Arial" w:hAnsi="Arial" w:cs="Arial"/>
        </w:rPr>
        <w:t>. The JRC activities covered by the Framework Contract were planned and agreed between the JRC and the PO, with the involvement of one representative each from Hydrogen Europe and Hydrogen Europe Research.</w:t>
      </w:r>
    </w:p>
    <w:p w14:paraId="7D834621" w14:textId="138C92C2" w:rsidR="009519B8" w:rsidRPr="00F05339" w:rsidRDefault="009519B8" w:rsidP="009519B8">
      <w:pPr>
        <w:jc w:val="both"/>
        <w:rPr>
          <w:rFonts w:ascii="Arial" w:hAnsi="Arial" w:cs="Arial"/>
        </w:rPr>
      </w:pPr>
      <w:r w:rsidRPr="00F05339">
        <w:rPr>
          <w:rFonts w:ascii="Arial" w:hAnsi="Arial" w:cs="Arial"/>
        </w:rPr>
        <w:t xml:space="preserve">In line with the JRC’s mission, these support activities have primarily contributed to the formulation and implementation of the JU strategy and activities in the areas of RCS, safety, harmonisation of testing protocols, and technology monitoring and assessment. </w:t>
      </w:r>
    </w:p>
    <w:p w14:paraId="3026533B" w14:textId="77777777" w:rsidR="009519B8" w:rsidRPr="00F05339" w:rsidRDefault="009519B8" w:rsidP="009519B8">
      <w:pPr>
        <w:jc w:val="both"/>
        <w:rPr>
          <w:rFonts w:ascii="Arial" w:hAnsi="Arial" w:cs="Arial"/>
          <w:b/>
        </w:rPr>
      </w:pPr>
      <w:r w:rsidRPr="00F05339">
        <w:rPr>
          <w:rFonts w:ascii="Arial" w:hAnsi="Arial" w:cs="Arial"/>
          <w:b/>
        </w:rPr>
        <w:t>JRC support to the formulation and implementation of the RCS strategy</w:t>
      </w:r>
    </w:p>
    <w:p w14:paraId="09C0EF33" w14:textId="12E6CB16" w:rsidR="004B4AD2" w:rsidRPr="00F05339" w:rsidRDefault="004B4AD2" w:rsidP="004B4AD2">
      <w:pPr>
        <w:spacing w:line="280" w:lineRule="atLeast"/>
        <w:jc w:val="both"/>
        <w:rPr>
          <w:rFonts w:ascii="Arial" w:hAnsi="Arial" w:cs="Arial"/>
          <w:lang w:eastAsia="en-GB"/>
        </w:rPr>
      </w:pPr>
      <w:r w:rsidRPr="00F05339">
        <w:rPr>
          <w:rFonts w:ascii="Arial" w:hAnsi="Arial" w:cs="Arial"/>
          <w:lang w:eastAsia="en-GB"/>
        </w:rPr>
        <w:lastRenderedPageBreak/>
        <w:t xml:space="preserve">JRC supports the industry led Regulations, Codes and Standards Strategy Coordination Group (RCS SCG). In general, RCS activities should consist of identifying and prioritising RCS needs of strategic importance for the EU. In addition, the necessary PNR activities to support the RCS priorities should be identified. </w:t>
      </w:r>
      <w:r w:rsidR="00F85AE6">
        <w:rPr>
          <w:rFonts w:ascii="Arial" w:hAnsi="Arial" w:cs="Arial"/>
          <w:lang w:eastAsia="en-GB"/>
        </w:rPr>
        <w:t xml:space="preserve">The activities of the RCS SCG group are described under Section </w:t>
      </w:r>
      <w:r w:rsidR="00F85AE6">
        <w:rPr>
          <w:rFonts w:ascii="Arial" w:hAnsi="Arial" w:cs="Arial"/>
          <w:lang w:eastAsia="en-GB"/>
        </w:rPr>
        <w:fldChar w:fldCharType="begin"/>
      </w:r>
      <w:r w:rsidR="00F85AE6">
        <w:rPr>
          <w:rFonts w:ascii="Arial" w:hAnsi="Arial" w:cs="Arial"/>
          <w:lang w:eastAsia="en-GB"/>
        </w:rPr>
        <w:instrText xml:space="preserve"> REF _Ref100696275 \r \h </w:instrText>
      </w:r>
      <w:r w:rsidR="00F85AE6">
        <w:rPr>
          <w:rFonts w:ascii="Arial" w:hAnsi="Arial" w:cs="Arial"/>
          <w:lang w:eastAsia="en-GB"/>
        </w:rPr>
      </w:r>
      <w:r w:rsidR="00F85AE6">
        <w:rPr>
          <w:rFonts w:ascii="Arial" w:hAnsi="Arial" w:cs="Arial"/>
          <w:lang w:eastAsia="en-GB"/>
        </w:rPr>
        <w:fldChar w:fldCharType="separate"/>
      </w:r>
      <w:r w:rsidR="003068B5">
        <w:rPr>
          <w:rFonts w:ascii="Arial" w:hAnsi="Arial" w:cs="Arial"/>
          <w:lang w:eastAsia="en-GB"/>
        </w:rPr>
        <w:t>1.2.3</w:t>
      </w:r>
      <w:r w:rsidR="00F85AE6">
        <w:rPr>
          <w:rFonts w:ascii="Arial" w:hAnsi="Arial" w:cs="Arial"/>
          <w:lang w:eastAsia="en-GB"/>
        </w:rPr>
        <w:fldChar w:fldCharType="end"/>
      </w:r>
      <w:r w:rsidR="00F85AE6">
        <w:rPr>
          <w:rFonts w:ascii="Arial" w:hAnsi="Arial" w:cs="Arial"/>
          <w:lang w:eastAsia="en-GB"/>
        </w:rPr>
        <w:t>.</w:t>
      </w:r>
      <w:r w:rsidRPr="00F05339">
        <w:rPr>
          <w:rFonts w:ascii="Arial" w:hAnsi="Arial" w:cs="Arial"/>
          <w:lang w:eastAsia="en-GB"/>
        </w:rPr>
        <w:t xml:space="preserve"> </w:t>
      </w:r>
    </w:p>
    <w:p w14:paraId="2CF97101" w14:textId="77777777" w:rsidR="009519B8" w:rsidRPr="00F05339" w:rsidRDefault="009519B8" w:rsidP="009519B8">
      <w:pPr>
        <w:jc w:val="both"/>
        <w:rPr>
          <w:rFonts w:ascii="Arial" w:hAnsi="Arial" w:cs="Arial"/>
          <w:b/>
        </w:rPr>
      </w:pPr>
      <w:r w:rsidRPr="00F05339">
        <w:rPr>
          <w:rFonts w:ascii="Arial" w:hAnsi="Arial" w:cs="Arial"/>
          <w:b/>
        </w:rPr>
        <w:t>JRC’s direct contribution to implementing the RCS strategy</w:t>
      </w:r>
    </w:p>
    <w:p w14:paraId="57D8C55E" w14:textId="77777777" w:rsidR="004B4AD2" w:rsidRPr="00F05339" w:rsidRDefault="004B4AD2" w:rsidP="004B4AD2">
      <w:pPr>
        <w:spacing w:line="280" w:lineRule="atLeast"/>
        <w:jc w:val="both"/>
        <w:rPr>
          <w:rFonts w:ascii="Arial" w:hAnsi="Arial" w:cs="Arial"/>
          <w:lang w:eastAsia="en-GB"/>
        </w:rPr>
      </w:pPr>
      <w:r w:rsidRPr="00F05339">
        <w:rPr>
          <w:rFonts w:ascii="Arial" w:hAnsi="Arial" w:cs="Arial"/>
          <w:lang w:eastAsia="en-GB"/>
        </w:rPr>
        <w:t>The development of JRC ZERO</w:t>
      </w:r>
      <w:r w:rsidRPr="00F05339">
        <w:rPr>
          <w:rFonts w:ascii="Cambria Math" w:hAnsi="Cambria Math" w:cs="Cambria Math"/>
          <w:lang w:eastAsia="en-GB"/>
        </w:rPr>
        <w:t>∇</w:t>
      </w:r>
      <w:r w:rsidRPr="00F05339">
        <w:rPr>
          <w:rFonts w:ascii="Arial" w:hAnsi="Arial" w:cs="Arial"/>
          <w:lang w:eastAsia="en-GB"/>
        </w:rPr>
        <w:t xml:space="preserve">CELL, a single cell PEMFC (Proton Exchange Membrane Fuel Cell) testing hardware was initiated based on a request from automotive original equipment manufacturers (OEMs) in the frame of the Working Group on harmonisation of PEMFC for automotive application of the Fuel Cells and Hydrogen second Joint Undertaking (FCH2JU). The JRC efforts are summarised in the </w:t>
      </w:r>
      <w:hyperlink r:id="rId39" w:history="1">
        <w:r w:rsidRPr="00F05339">
          <w:rPr>
            <w:rStyle w:val="Hyperlink"/>
            <w:rFonts w:ascii="Arial" w:hAnsi="Arial" w:cs="Arial"/>
            <w:lang w:eastAsia="en-GB"/>
          </w:rPr>
          <w:t>JRC Technical Report “Development of reference hardware for harmonised testing of PEM single cell fuel cells”</w:t>
        </w:r>
      </w:hyperlink>
      <w:r w:rsidRPr="00F05339">
        <w:rPr>
          <w:rFonts w:ascii="Arial" w:hAnsi="Arial" w:cs="Arial"/>
          <w:lang w:eastAsia="en-GB"/>
        </w:rPr>
        <w:t xml:space="preserve"> published in February 2021, while the design documentation of the JRC ZERO</w:t>
      </w:r>
      <w:r w:rsidRPr="00F05339">
        <w:rPr>
          <w:rFonts w:ascii="Cambria Math" w:hAnsi="Cambria Math" w:cs="Cambria Math"/>
          <w:lang w:eastAsia="en-GB"/>
        </w:rPr>
        <w:t>∇</w:t>
      </w:r>
      <w:r w:rsidRPr="00F05339">
        <w:rPr>
          <w:rFonts w:ascii="Arial" w:hAnsi="Arial" w:cs="Arial"/>
          <w:lang w:eastAsia="en-GB"/>
        </w:rPr>
        <w:t xml:space="preserve">CELL is publicly available under CERN-OHW-v2 license at </w:t>
      </w:r>
      <w:hyperlink r:id="rId40" w:history="1">
        <w:r w:rsidRPr="00F05339">
          <w:rPr>
            <w:rStyle w:val="Hyperlink"/>
            <w:rFonts w:ascii="Arial" w:hAnsi="Arial" w:cs="Arial"/>
            <w:lang w:eastAsia="en-GB"/>
          </w:rPr>
          <w:t>DOI: 10.17632/c7bffdv7yb.1</w:t>
        </w:r>
      </w:hyperlink>
      <w:r w:rsidRPr="00F05339">
        <w:rPr>
          <w:rFonts w:ascii="Arial" w:hAnsi="Arial" w:cs="Arial"/>
          <w:lang w:eastAsia="en-GB"/>
        </w:rPr>
        <w:t xml:space="preserve">. </w:t>
      </w:r>
    </w:p>
    <w:p w14:paraId="40F4DDB4" w14:textId="6B815702" w:rsidR="004B4AD2" w:rsidRPr="00F05339" w:rsidRDefault="004B4AD2" w:rsidP="004B4AD2">
      <w:pPr>
        <w:spacing w:line="280" w:lineRule="atLeast"/>
        <w:jc w:val="both"/>
        <w:rPr>
          <w:rFonts w:ascii="Arial" w:hAnsi="Arial" w:cs="Arial"/>
          <w:lang w:eastAsia="en-GB"/>
        </w:rPr>
      </w:pPr>
      <w:r w:rsidRPr="00F05339">
        <w:rPr>
          <w:rFonts w:ascii="Arial" w:hAnsi="Arial" w:cs="Arial"/>
          <w:lang w:eastAsia="en-GB"/>
        </w:rPr>
        <w:t>The JRC is also leading the initiative of setting-up an EU harmonised terminology for hydrogen generated by electrolysis. A technical report has been produced and agreed with the working group on harmonisation activities for high temperature electrolysers. Following considerable efforts to resolve the extensive comments received following the public stakeholder consultation and once the approval was granted for the use of many terms defined by ISO, IEC and BPIM was obtained, the report is published on the JU website and JRC’s repository (</w:t>
      </w:r>
      <w:hyperlink r:id="rId41" w:history="1">
        <w:r w:rsidRPr="00F05339">
          <w:rPr>
            <w:rStyle w:val="Hyperlink"/>
            <w:rFonts w:ascii="Arial" w:hAnsi="Arial" w:cs="Arial"/>
            <w:lang w:eastAsia="en-GB"/>
          </w:rPr>
          <w:t>https://data.europa.eu/doi/10.2760/293538</w:t>
        </w:r>
      </w:hyperlink>
      <w:r w:rsidRPr="00F05339">
        <w:rPr>
          <w:rFonts w:ascii="Arial" w:hAnsi="Arial" w:cs="Arial"/>
          <w:lang w:eastAsia="en-GB"/>
        </w:rPr>
        <w:t xml:space="preserve">). </w:t>
      </w:r>
    </w:p>
    <w:p w14:paraId="0B979D21" w14:textId="77777777" w:rsidR="004B4AD2" w:rsidRPr="00F05339" w:rsidRDefault="004B4AD2" w:rsidP="004B4AD2">
      <w:pPr>
        <w:spacing w:line="280" w:lineRule="atLeast"/>
        <w:jc w:val="both"/>
        <w:rPr>
          <w:rFonts w:ascii="Arial" w:hAnsi="Arial" w:cs="Arial"/>
          <w:lang w:eastAsia="en-GB"/>
        </w:rPr>
      </w:pPr>
      <w:r w:rsidRPr="00F05339">
        <w:rPr>
          <w:rFonts w:ascii="Arial" w:hAnsi="Arial" w:cs="Arial"/>
          <w:lang w:eastAsia="en-GB"/>
        </w:rPr>
        <w:t xml:space="preserve">In view of the harmonisation activities for low temperature electrolysis, a JRC technical report on EU harmonized protocols for testing of low temperature water electrolysis (LTWE) was eventually finalised and published (https://data.europa.eu/doi/10.2760/502481). This was following the resolution of several expert comments and consequentially, an extensive revision of the structure and layout of the report for better comprehension of the various aspects of LTWE testing and improving user guidance. </w:t>
      </w:r>
    </w:p>
    <w:p w14:paraId="52D6D509" w14:textId="77777777" w:rsidR="009519B8" w:rsidRPr="00F05339" w:rsidRDefault="009519B8" w:rsidP="009519B8">
      <w:pPr>
        <w:jc w:val="both"/>
        <w:rPr>
          <w:rFonts w:ascii="Arial" w:hAnsi="Arial" w:cs="Arial"/>
          <w:b/>
        </w:rPr>
      </w:pPr>
      <w:r w:rsidRPr="00F05339">
        <w:rPr>
          <w:rFonts w:ascii="Arial" w:hAnsi="Arial" w:cs="Arial"/>
          <w:b/>
        </w:rPr>
        <w:t>JRC’s contribution to programme monitoring and assessment</w:t>
      </w:r>
    </w:p>
    <w:p w14:paraId="7EF02BDD" w14:textId="3FFDE6F4" w:rsidR="004B4AD2" w:rsidRPr="00F05339" w:rsidRDefault="004B4AD2" w:rsidP="004B4AD2">
      <w:pPr>
        <w:spacing w:line="280" w:lineRule="atLeast"/>
        <w:jc w:val="both"/>
        <w:rPr>
          <w:rFonts w:ascii="Arial" w:eastAsiaTheme="minorEastAsia" w:hAnsi="Arial" w:cs="Arial"/>
          <w:color w:val="000000" w:themeColor="text1"/>
          <w:lang w:eastAsia="zh-CN"/>
        </w:rPr>
      </w:pPr>
      <w:r w:rsidRPr="00F05339">
        <w:rPr>
          <w:rFonts w:ascii="Arial" w:eastAsiaTheme="minorEastAsia" w:hAnsi="Arial" w:cs="Arial"/>
          <w:color w:val="000000" w:themeColor="text1"/>
          <w:lang w:eastAsia="zh-CN"/>
        </w:rPr>
        <w:t>In collaboration with the Knowledge Management team</w:t>
      </w:r>
      <w:r w:rsidR="00006BC9">
        <w:rPr>
          <w:rFonts w:ascii="Arial" w:eastAsiaTheme="minorEastAsia" w:hAnsi="Arial" w:cs="Arial"/>
          <w:color w:val="000000" w:themeColor="text1"/>
          <w:lang w:eastAsia="zh-CN"/>
        </w:rPr>
        <w:t xml:space="preserve"> of the JU</w:t>
      </w:r>
      <w:r w:rsidRPr="00F05339">
        <w:rPr>
          <w:rFonts w:ascii="Arial" w:eastAsiaTheme="minorEastAsia" w:hAnsi="Arial" w:cs="Arial"/>
          <w:color w:val="000000" w:themeColor="text1"/>
          <w:lang w:eastAsia="zh-CN"/>
        </w:rPr>
        <w:t xml:space="preserve">, JRC has populated and revised the Tools for Innovation (TIM) system with customized FCH Technology fields. </w:t>
      </w:r>
    </w:p>
    <w:p w14:paraId="62C4D4CF" w14:textId="7FC0148E" w:rsidR="004B4AD2" w:rsidRPr="00F05339" w:rsidRDefault="004B4AD2" w:rsidP="004B4AD2">
      <w:pPr>
        <w:spacing w:line="280" w:lineRule="atLeast"/>
        <w:jc w:val="both"/>
        <w:rPr>
          <w:rFonts w:ascii="Arial" w:eastAsiaTheme="minorEastAsia" w:hAnsi="Arial" w:cs="Arial"/>
          <w:color w:val="000000" w:themeColor="text1"/>
          <w:lang w:eastAsia="zh-CN"/>
        </w:rPr>
      </w:pPr>
      <w:r w:rsidRPr="00F05339">
        <w:rPr>
          <w:rFonts w:ascii="Arial" w:eastAsiaTheme="minorEastAsia" w:hAnsi="Arial" w:cs="Arial"/>
          <w:color w:val="000000" w:themeColor="text1"/>
          <w:lang w:eastAsia="zh-CN"/>
        </w:rPr>
        <w:t xml:space="preserve">The JRC performed the 2020/21 annual Programme Review. As the timeline of the programme review was advanced, </w:t>
      </w:r>
      <w:proofErr w:type="gramStart"/>
      <w:r w:rsidRPr="00F05339">
        <w:rPr>
          <w:rFonts w:ascii="Arial" w:eastAsiaTheme="minorEastAsia" w:hAnsi="Arial" w:cs="Arial"/>
          <w:color w:val="000000" w:themeColor="text1"/>
          <w:lang w:eastAsia="zh-CN"/>
        </w:rPr>
        <w:t>in order to</w:t>
      </w:r>
      <w:proofErr w:type="gramEnd"/>
      <w:r w:rsidRPr="00F05339">
        <w:rPr>
          <w:rFonts w:ascii="Arial" w:eastAsiaTheme="minorEastAsia" w:hAnsi="Arial" w:cs="Arial"/>
          <w:color w:val="000000" w:themeColor="text1"/>
          <w:lang w:eastAsia="zh-CN"/>
        </w:rPr>
        <w:t xml:space="preserve"> have the public version of the report ready for the programme review days, the 2020 and 2021 </w:t>
      </w:r>
      <w:r w:rsidR="00006BC9">
        <w:rPr>
          <w:rFonts w:ascii="Arial" w:eastAsiaTheme="minorEastAsia" w:hAnsi="Arial" w:cs="Arial"/>
          <w:color w:val="000000" w:themeColor="text1"/>
          <w:lang w:eastAsia="zh-CN"/>
        </w:rPr>
        <w:t>reports</w:t>
      </w:r>
      <w:r w:rsidR="00006BC9" w:rsidRPr="00F05339">
        <w:rPr>
          <w:rFonts w:ascii="Arial" w:eastAsiaTheme="minorEastAsia" w:hAnsi="Arial" w:cs="Arial"/>
          <w:color w:val="000000" w:themeColor="text1"/>
          <w:lang w:eastAsia="zh-CN"/>
        </w:rPr>
        <w:t xml:space="preserve"> </w:t>
      </w:r>
      <w:r w:rsidRPr="00F05339">
        <w:rPr>
          <w:rFonts w:ascii="Arial" w:eastAsiaTheme="minorEastAsia" w:hAnsi="Arial" w:cs="Arial"/>
          <w:color w:val="000000" w:themeColor="text1"/>
          <w:lang w:eastAsia="zh-CN"/>
        </w:rPr>
        <w:t xml:space="preserve">were merged. The resulting report was used to prepare the public version which can be accessed on the website of the JU. </w:t>
      </w:r>
    </w:p>
    <w:p w14:paraId="6B226263" w14:textId="5111CCBA" w:rsidR="004B4AD2" w:rsidRPr="00F05339" w:rsidRDefault="004B4AD2" w:rsidP="009519B8">
      <w:pPr>
        <w:jc w:val="both"/>
        <w:rPr>
          <w:rFonts w:ascii="Arial" w:hAnsi="Arial" w:cs="Arial"/>
          <w:b/>
        </w:rPr>
      </w:pPr>
      <w:r w:rsidRPr="00F05339">
        <w:rPr>
          <w:rFonts w:ascii="Arial" w:hAnsi="Arial" w:cs="Arial"/>
          <w:b/>
        </w:rPr>
        <w:t xml:space="preserve">JRC’s contribution to sustainability </w:t>
      </w:r>
    </w:p>
    <w:p w14:paraId="79AA6EBA" w14:textId="06E18E31" w:rsidR="004B4AD2" w:rsidRPr="00F05339" w:rsidRDefault="004B4AD2" w:rsidP="004B4AD2">
      <w:pPr>
        <w:jc w:val="both"/>
        <w:rPr>
          <w:rFonts w:ascii="Arial" w:hAnsi="Arial" w:cs="Arial"/>
        </w:rPr>
      </w:pPr>
      <w:proofErr w:type="gramStart"/>
      <w:r w:rsidRPr="00F05339">
        <w:rPr>
          <w:rFonts w:ascii="Arial" w:hAnsi="Arial" w:cs="Arial"/>
        </w:rPr>
        <w:t>In particular, JRC</w:t>
      </w:r>
      <w:proofErr w:type="gramEnd"/>
      <w:r w:rsidRPr="00F05339">
        <w:rPr>
          <w:rFonts w:ascii="Arial" w:hAnsi="Arial" w:cs="Arial"/>
        </w:rPr>
        <w:t xml:space="preserve"> was invited to the meetings discussing the implementation of a material criticality indicator (SH2E-WP3) and has hence provided feedback and suggestions for the on-going methodological work. In the meantime, JRC started reviewing the existing scientific publications on LCA and Social LCA applied to hydrogen and fuel cells technologies.</w:t>
      </w:r>
    </w:p>
    <w:p w14:paraId="749CF043" w14:textId="77777777" w:rsidR="004B4AD2" w:rsidRPr="00F05339" w:rsidRDefault="004B4AD2" w:rsidP="004B4AD2">
      <w:pPr>
        <w:jc w:val="both"/>
        <w:rPr>
          <w:rFonts w:ascii="Arial" w:hAnsi="Arial" w:cs="Arial"/>
        </w:rPr>
      </w:pPr>
      <w:r w:rsidRPr="00F05339">
        <w:rPr>
          <w:rFonts w:ascii="Arial" w:hAnsi="Arial" w:cs="Arial"/>
        </w:rPr>
        <w:t xml:space="preserve">JRC has been invited by the CertifHy consortium to provide a scientific support in the GHG emissions accounting for hydrogen produced among the various sectors. The aim was to assess, by means of an overall, internationally accepted methodology, the carbon footprint of </w:t>
      </w:r>
      <w:r w:rsidRPr="00F05339">
        <w:rPr>
          <w:rFonts w:ascii="Arial" w:hAnsi="Arial" w:cs="Arial"/>
        </w:rPr>
        <w:lastRenderedPageBreak/>
        <w:t xml:space="preserve">hydrogen produced as main product or co-product. The discussions of JRC with project partners focused on the available LCA methodologies and their assumptions as regards system boundaries, allocation criteria and input data. In 2021, JRC.C.2 and JRC.C.1 attended several WG2 meetings as </w:t>
      </w:r>
      <w:proofErr w:type="gramStart"/>
      <w:r w:rsidRPr="00F05339">
        <w:rPr>
          <w:rFonts w:ascii="Arial" w:hAnsi="Arial" w:cs="Arial"/>
        </w:rPr>
        <w:t>observers, and</w:t>
      </w:r>
      <w:proofErr w:type="gramEnd"/>
      <w:r w:rsidRPr="00F05339">
        <w:rPr>
          <w:rFonts w:ascii="Arial" w:hAnsi="Arial" w:cs="Arial"/>
        </w:rPr>
        <w:t xml:space="preserve"> supported the CertifHy consortium to assess various methodologies to allocate emissions for hydrogen production in different case studies.</w:t>
      </w:r>
    </w:p>
    <w:p w14:paraId="228D796C" w14:textId="13A57BBA" w:rsidR="009519B8" w:rsidRPr="00F05339" w:rsidRDefault="009519B8" w:rsidP="009519B8">
      <w:pPr>
        <w:jc w:val="both"/>
        <w:rPr>
          <w:rFonts w:ascii="Arial" w:hAnsi="Arial" w:cs="Arial"/>
          <w:b/>
        </w:rPr>
      </w:pPr>
      <w:r w:rsidRPr="00F05339">
        <w:rPr>
          <w:rFonts w:ascii="Arial" w:hAnsi="Arial" w:cs="Arial"/>
          <w:b/>
        </w:rPr>
        <w:t>JRC’s contribution to safety and safety awareness</w:t>
      </w:r>
    </w:p>
    <w:p w14:paraId="593B3EE6" w14:textId="1D6FFA1C" w:rsidR="00B71633" w:rsidRDefault="00052F8A" w:rsidP="00052F8A">
      <w:pPr>
        <w:spacing w:line="280" w:lineRule="atLeast"/>
        <w:jc w:val="both"/>
        <w:rPr>
          <w:rFonts w:ascii="Arial" w:hAnsi="Arial" w:cs="Arial"/>
          <w:color w:val="000000" w:themeColor="text1"/>
        </w:rPr>
      </w:pPr>
      <w:bookmarkStart w:id="112" w:name="_Toc1656552"/>
      <w:bookmarkStart w:id="113" w:name="_Toc1731124"/>
      <w:r w:rsidRPr="00F05339">
        <w:rPr>
          <w:rFonts w:ascii="Arial" w:hAnsi="Arial" w:cs="Arial"/>
          <w:color w:val="000000" w:themeColor="text1"/>
        </w:rPr>
        <w:t xml:space="preserve">JRC operates two databases dedicated to hydrogen related incidents: </w:t>
      </w:r>
      <w:r w:rsidR="00B71633">
        <w:rPr>
          <w:rFonts w:ascii="Arial" w:hAnsi="Arial" w:cs="Arial"/>
          <w:color w:val="000000" w:themeColor="text1"/>
        </w:rPr>
        <w:t>t</w:t>
      </w:r>
      <w:r w:rsidR="00B71633" w:rsidRPr="00F05339">
        <w:rPr>
          <w:rFonts w:ascii="Arial" w:hAnsi="Arial" w:cs="Arial"/>
          <w:color w:val="000000" w:themeColor="text1"/>
        </w:rPr>
        <w:t>he Hydrogen Events and Lessons LEarNed (HELLEN)</w:t>
      </w:r>
      <w:r w:rsidR="00B71633">
        <w:rPr>
          <w:rFonts w:ascii="Arial" w:hAnsi="Arial" w:cs="Arial"/>
          <w:color w:val="000000" w:themeColor="text1"/>
        </w:rPr>
        <w:t xml:space="preserve"> and the </w:t>
      </w:r>
      <w:r w:rsidR="00B71633" w:rsidRPr="00F05339">
        <w:rPr>
          <w:rFonts w:ascii="Arial" w:hAnsi="Arial" w:cs="Arial"/>
          <w:color w:val="000000" w:themeColor="text1"/>
        </w:rPr>
        <w:t>Hydrogen Incidents and Accidents Database</w:t>
      </w:r>
      <w:r w:rsidR="00B71633">
        <w:rPr>
          <w:rFonts w:ascii="Arial" w:hAnsi="Arial" w:cs="Arial"/>
          <w:color w:val="000000" w:themeColor="text1"/>
        </w:rPr>
        <w:t xml:space="preserve"> (HIAD 2.0).</w:t>
      </w:r>
    </w:p>
    <w:p w14:paraId="627200DB" w14:textId="5C5E16D2" w:rsidR="00052F8A" w:rsidRPr="00F05339" w:rsidRDefault="00052F8A" w:rsidP="00052F8A">
      <w:pPr>
        <w:spacing w:line="280" w:lineRule="atLeast"/>
        <w:jc w:val="both"/>
        <w:rPr>
          <w:rFonts w:ascii="Arial" w:hAnsi="Arial" w:cs="Arial"/>
          <w:color w:val="000000" w:themeColor="text1"/>
        </w:rPr>
      </w:pPr>
      <w:r w:rsidRPr="00F05339">
        <w:rPr>
          <w:rFonts w:ascii="Arial" w:hAnsi="Arial" w:cs="Arial"/>
          <w:color w:val="000000" w:themeColor="text1"/>
        </w:rPr>
        <w:t xml:space="preserve">HELLEN is a repository of events occurring during the life of JU projects. Its access is restricted and is a JU tool for the monitoring and control of safety during the execution of the programme. The JRC is collecting and analysing all reported incidents and informs the Programme Office through the annual report. </w:t>
      </w:r>
    </w:p>
    <w:p w14:paraId="0BEC6E3E" w14:textId="75BC84EA" w:rsidR="00052F8A" w:rsidRPr="00F05339" w:rsidRDefault="00052F8A" w:rsidP="00052F8A">
      <w:pPr>
        <w:spacing w:line="280" w:lineRule="atLeast"/>
        <w:jc w:val="both"/>
        <w:rPr>
          <w:rFonts w:ascii="Arial" w:hAnsi="Arial" w:cs="Arial"/>
          <w:color w:val="000000" w:themeColor="text1"/>
        </w:rPr>
      </w:pPr>
      <w:r w:rsidRPr="00F05339">
        <w:rPr>
          <w:rFonts w:ascii="Arial" w:hAnsi="Arial" w:cs="Arial"/>
          <w:color w:val="000000" w:themeColor="text1"/>
        </w:rPr>
        <w:t>The database HIAD2.0 is used for collecting publically available safety-related events regarding hydrogen technologies hydrogen supply chain and applications. The 2021 activities continued along the same lines of the work delivered in 2020:</w:t>
      </w:r>
    </w:p>
    <w:p w14:paraId="084E0144" w14:textId="77777777" w:rsidR="00052F8A" w:rsidRPr="00F05339" w:rsidRDefault="00052F8A" w:rsidP="00052F8A">
      <w:pPr>
        <w:spacing w:line="280" w:lineRule="atLeast"/>
        <w:ind w:left="720"/>
        <w:contextualSpacing/>
        <w:jc w:val="both"/>
        <w:rPr>
          <w:rFonts w:ascii="Arial" w:hAnsi="Arial" w:cs="Arial"/>
          <w:color w:val="000000" w:themeColor="text1"/>
        </w:rPr>
      </w:pPr>
      <w:r w:rsidRPr="00F05339">
        <w:rPr>
          <w:rFonts w:ascii="Arial" w:hAnsi="Arial" w:cs="Arial"/>
          <w:color w:val="000000" w:themeColor="text1"/>
        </w:rPr>
        <w:t>1.</w:t>
      </w:r>
      <w:r w:rsidRPr="00F05339">
        <w:rPr>
          <w:rFonts w:ascii="Arial" w:hAnsi="Arial" w:cs="Arial"/>
          <w:color w:val="000000" w:themeColor="text1"/>
        </w:rPr>
        <w:tab/>
        <w:t xml:space="preserve">Identification of new hydrogen-related events and input into the database. </w:t>
      </w:r>
    </w:p>
    <w:p w14:paraId="33933EC8" w14:textId="77777777" w:rsidR="00052F8A" w:rsidRPr="00F05339" w:rsidRDefault="00052F8A" w:rsidP="00052F8A">
      <w:pPr>
        <w:spacing w:line="280" w:lineRule="atLeast"/>
        <w:ind w:left="720"/>
        <w:contextualSpacing/>
        <w:jc w:val="both"/>
        <w:rPr>
          <w:rFonts w:ascii="Arial" w:hAnsi="Arial" w:cs="Arial"/>
          <w:color w:val="000000" w:themeColor="text1"/>
        </w:rPr>
      </w:pPr>
      <w:r w:rsidRPr="00F05339">
        <w:rPr>
          <w:rFonts w:ascii="Arial" w:hAnsi="Arial" w:cs="Arial"/>
          <w:color w:val="000000" w:themeColor="text1"/>
        </w:rPr>
        <w:t>2.</w:t>
      </w:r>
      <w:r w:rsidRPr="00F05339">
        <w:rPr>
          <w:rFonts w:ascii="Arial" w:hAnsi="Arial" w:cs="Arial"/>
          <w:color w:val="000000" w:themeColor="text1"/>
        </w:rPr>
        <w:tab/>
        <w:t>Continuous improvement of already existing data.</w:t>
      </w:r>
    </w:p>
    <w:p w14:paraId="32DC5786" w14:textId="77777777" w:rsidR="00052F8A" w:rsidRPr="00F05339" w:rsidRDefault="00052F8A" w:rsidP="00052F8A">
      <w:pPr>
        <w:spacing w:line="280" w:lineRule="atLeast"/>
        <w:ind w:left="720"/>
        <w:contextualSpacing/>
        <w:jc w:val="both"/>
        <w:rPr>
          <w:rFonts w:ascii="Arial" w:hAnsi="Arial" w:cs="Arial"/>
          <w:color w:val="000000" w:themeColor="text1"/>
        </w:rPr>
      </w:pPr>
      <w:r w:rsidRPr="00F05339">
        <w:rPr>
          <w:rFonts w:ascii="Arial" w:hAnsi="Arial" w:cs="Arial"/>
          <w:color w:val="000000" w:themeColor="text1"/>
        </w:rPr>
        <w:t>3.</w:t>
      </w:r>
      <w:r w:rsidRPr="00F05339">
        <w:rPr>
          <w:rFonts w:ascii="Arial" w:hAnsi="Arial" w:cs="Arial"/>
          <w:color w:val="000000" w:themeColor="text1"/>
        </w:rPr>
        <w:tab/>
        <w:t>Relations with stakeholders and sharing of the data.</w:t>
      </w:r>
    </w:p>
    <w:p w14:paraId="17CB44B0" w14:textId="77777777" w:rsidR="000952E8" w:rsidRDefault="000952E8" w:rsidP="00052F8A">
      <w:pPr>
        <w:spacing w:line="280" w:lineRule="atLeast"/>
        <w:jc w:val="both"/>
        <w:rPr>
          <w:rFonts w:ascii="Arial" w:hAnsi="Arial" w:cs="Arial"/>
          <w:color w:val="000000" w:themeColor="text1"/>
        </w:rPr>
      </w:pPr>
    </w:p>
    <w:p w14:paraId="336B1B72" w14:textId="042197DA" w:rsidR="00052F8A" w:rsidRPr="00F05339" w:rsidRDefault="00052F8A" w:rsidP="00052F8A">
      <w:pPr>
        <w:spacing w:line="280" w:lineRule="atLeast"/>
        <w:jc w:val="both"/>
        <w:rPr>
          <w:rFonts w:ascii="Arial" w:hAnsi="Arial" w:cs="Arial"/>
        </w:rPr>
      </w:pPr>
      <w:r w:rsidRPr="00F05339">
        <w:rPr>
          <w:rFonts w:ascii="Arial" w:hAnsi="Arial" w:cs="Arial"/>
          <w:color w:val="000000" w:themeColor="text1"/>
        </w:rPr>
        <w:t xml:space="preserve">Approximately 30 new events have been added to HIAD 2.0 in 2021. Since begin of 2021, HIAD2.0 is not accessible anymore online. This is due to new Commission security rules which makes very complex and expensive the availability of a completely public accessible online service. The JRC has created a database batch export function which create EXCEL file for offline analyses. This file became a great success. The EHSP has been facilitated in its assessment work, and users can receive it upon request. It facilitates statistics and enables full textual search, something impossible in the previous online version.  </w:t>
      </w:r>
    </w:p>
    <w:p w14:paraId="7C4FA179" w14:textId="5C43FB51" w:rsidR="009519B8" w:rsidRPr="00F05339" w:rsidRDefault="009519B8" w:rsidP="002672A0">
      <w:pPr>
        <w:pStyle w:val="Heading3"/>
        <w:numPr>
          <w:ilvl w:val="2"/>
          <w:numId w:val="22"/>
        </w:numPr>
        <w:tabs>
          <w:tab w:val="num" w:pos="360"/>
        </w:tabs>
        <w:ind w:left="0" w:firstLine="0"/>
        <w:rPr>
          <w:rFonts w:ascii="Arial" w:hAnsi="Arial" w:cs="Arial"/>
        </w:rPr>
      </w:pPr>
      <w:bookmarkStart w:id="114" w:name="_Toc98496339"/>
      <w:bookmarkStart w:id="115" w:name="_Ref100780922"/>
      <w:bookmarkStart w:id="116" w:name="_Ref100780929"/>
      <w:bookmarkStart w:id="117" w:name="_Toc101516062"/>
      <w:r w:rsidRPr="00F05339">
        <w:rPr>
          <w:rFonts w:ascii="Arial" w:hAnsi="Arial" w:cs="Arial"/>
        </w:rPr>
        <w:t>Support to JU policies and funding/financial engineering</w:t>
      </w:r>
      <w:bookmarkEnd w:id="114"/>
      <w:bookmarkEnd w:id="115"/>
      <w:bookmarkEnd w:id="116"/>
      <w:bookmarkEnd w:id="117"/>
      <w:r w:rsidRPr="00F05339">
        <w:rPr>
          <w:rFonts w:ascii="Arial" w:hAnsi="Arial" w:cs="Arial"/>
        </w:rPr>
        <w:t xml:space="preserve"> </w:t>
      </w:r>
      <w:bookmarkEnd w:id="112"/>
      <w:bookmarkEnd w:id="113"/>
    </w:p>
    <w:p w14:paraId="734A2C0A" w14:textId="77777777" w:rsidR="001A58B6" w:rsidRPr="00F05339" w:rsidRDefault="001A58B6" w:rsidP="001A58B6">
      <w:pPr>
        <w:jc w:val="both"/>
        <w:rPr>
          <w:rFonts w:ascii="Arial" w:hAnsi="Arial" w:cs="Arial"/>
          <w:i/>
          <w:iCs/>
        </w:rPr>
      </w:pPr>
      <w:r w:rsidRPr="00F05339">
        <w:rPr>
          <w:rFonts w:ascii="Arial" w:hAnsi="Arial" w:cs="Arial"/>
          <w:i/>
          <w:iCs/>
        </w:rPr>
        <w:t>Policy support and feedback</w:t>
      </w:r>
    </w:p>
    <w:p w14:paraId="7F888353" w14:textId="77777777" w:rsidR="001A58B6" w:rsidRPr="00F05339" w:rsidRDefault="001A58B6" w:rsidP="001A58B6">
      <w:pPr>
        <w:jc w:val="both"/>
        <w:rPr>
          <w:rFonts w:ascii="Arial" w:hAnsi="Arial" w:cs="Arial"/>
        </w:rPr>
      </w:pPr>
      <w:r w:rsidRPr="00F05339">
        <w:rPr>
          <w:rFonts w:ascii="Arial" w:hAnsi="Arial" w:cs="Arial"/>
        </w:rPr>
        <w:t xml:space="preserve">Throughout its mandate, the JU has contributed to a large and diverse number of activities for multiple EC services (and accordingly provided the necessary feedback for further policy development). Although contributions have varied in content and format, they all share the common goal of providing fact-based information on the state of the art of hydrogen technologies and their contribution to EU initiatives and policies, especially in the energy, </w:t>
      </w:r>
      <w:proofErr w:type="gramStart"/>
      <w:r w:rsidRPr="00F05339">
        <w:rPr>
          <w:rFonts w:ascii="Arial" w:hAnsi="Arial" w:cs="Arial"/>
        </w:rPr>
        <w:t>transport</w:t>
      </w:r>
      <w:proofErr w:type="gramEnd"/>
      <w:r w:rsidRPr="00F05339">
        <w:rPr>
          <w:rFonts w:ascii="Arial" w:hAnsi="Arial" w:cs="Arial"/>
        </w:rPr>
        <w:t xml:space="preserve"> and industry sectors, as well as to competitiveness and growth and to the environment policy files. </w:t>
      </w:r>
    </w:p>
    <w:p w14:paraId="3323058F" w14:textId="77777777" w:rsidR="001A58B6" w:rsidRPr="00F05339" w:rsidRDefault="001A58B6" w:rsidP="001A58B6">
      <w:pPr>
        <w:jc w:val="both"/>
        <w:rPr>
          <w:rFonts w:ascii="Arial" w:hAnsi="Arial" w:cs="Arial"/>
        </w:rPr>
      </w:pPr>
      <w:r w:rsidRPr="00F05339">
        <w:rPr>
          <w:rFonts w:ascii="Arial" w:hAnsi="Arial" w:cs="Arial"/>
        </w:rPr>
        <w:t xml:space="preserve">In practical terms, the JU support to policies meant taking part in </w:t>
      </w:r>
      <w:proofErr w:type="gramStart"/>
      <w:r w:rsidRPr="00F05339">
        <w:rPr>
          <w:rFonts w:ascii="Arial" w:hAnsi="Arial" w:cs="Arial"/>
        </w:rPr>
        <w:t>a number of</w:t>
      </w:r>
      <w:proofErr w:type="gramEnd"/>
      <w:r w:rsidRPr="00F05339">
        <w:rPr>
          <w:rFonts w:ascii="Arial" w:hAnsi="Arial" w:cs="Arial"/>
        </w:rPr>
        <w:t xml:space="preserve"> technical groups organised by the EC and other international bodies, taking an active role during the meetings, providing written technical input, the organisation of events, and ensuring that hydrogen technologies are properly represented in the relevant sectors and files of policymakers. </w:t>
      </w:r>
    </w:p>
    <w:p w14:paraId="619902E8" w14:textId="77777777" w:rsidR="001A58B6" w:rsidRPr="00F05339" w:rsidRDefault="001A58B6" w:rsidP="001A58B6">
      <w:pPr>
        <w:jc w:val="both"/>
        <w:rPr>
          <w:rFonts w:ascii="Arial" w:hAnsi="Arial" w:cs="Arial"/>
        </w:rPr>
      </w:pPr>
      <w:r w:rsidRPr="00F05339">
        <w:rPr>
          <w:rFonts w:ascii="Arial" w:hAnsi="Arial" w:cs="Arial"/>
        </w:rPr>
        <w:lastRenderedPageBreak/>
        <w:t xml:space="preserve">As in previous years, supporting DGs ENER, R&amp;I, MOVE and CLIMA, the JU continued to actively follow and contribute to the European Strategic Energy Technology Plan (SET-Plan) activities during 2021, Action 6 ‘Energy Efficiency for Industry’ and Action 8 on ‘Renewable Fuels’. In 2021, work for the Implementation Working Group for Action 6 was facilitated by consultancy Ecorys and focused on establishing a structure </w:t>
      </w:r>
      <w:proofErr w:type="gramStart"/>
      <w:r w:rsidRPr="00F05339">
        <w:rPr>
          <w:rFonts w:ascii="Arial" w:hAnsi="Arial" w:cs="Arial"/>
        </w:rPr>
        <w:t>around thematic groups</w:t>
      </w:r>
      <w:proofErr w:type="gramEnd"/>
      <w:r w:rsidRPr="00F05339">
        <w:rPr>
          <w:rFonts w:ascii="Arial" w:hAnsi="Arial" w:cs="Arial"/>
        </w:rPr>
        <w:t>. A cross-cutting thematic group on ‘Enablers’ was set up covering hydrogen, renewables and CO2 which can be expanded to ammonia and energy storage. This group is currently engaging with Member States and industry. Action 8 work is being facilitated by the SET4BIO</w:t>
      </w:r>
      <w:r w:rsidRPr="00F05339">
        <w:rPr>
          <w:rStyle w:val="FootnoteReference"/>
          <w:rFonts w:ascii="Arial" w:hAnsi="Arial" w:cs="Arial"/>
        </w:rPr>
        <w:footnoteReference w:id="46"/>
      </w:r>
      <w:r w:rsidRPr="00F05339">
        <w:rPr>
          <w:rFonts w:ascii="Arial" w:hAnsi="Arial" w:cs="Arial"/>
        </w:rPr>
        <w:t xml:space="preserve"> project. Work focused on synergies among the various Working Groups. The JU is included in the core group of the action. </w:t>
      </w:r>
    </w:p>
    <w:p w14:paraId="7CFB0C56" w14:textId="605F0A48" w:rsidR="001A58B6" w:rsidRPr="00F05339" w:rsidRDefault="001A58B6" w:rsidP="001A58B6">
      <w:pPr>
        <w:jc w:val="both"/>
        <w:rPr>
          <w:rFonts w:ascii="Arial" w:hAnsi="Arial" w:cs="Arial"/>
        </w:rPr>
      </w:pPr>
      <w:r w:rsidRPr="00F05339">
        <w:rPr>
          <w:rFonts w:ascii="Arial" w:hAnsi="Arial" w:cs="Arial"/>
        </w:rPr>
        <w:t>The JU also continued to work on developing a Guarantee of Origin (GO) Scheme for Green and Low-Carbon Hydrogen, an effort that started back in 2014 with the first ‘CertifHy’ project</w:t>
      </w:r>
      <w:r w:rsidRPr="00F05339">
        <w:rPr>
          <w:rStyle w:val="FootnoteReference"/>
          <w:rFonts w:ascii="Arial" w:hAnsi="Arial" w:cs="Arial"/>
        </w:rPr>
        <w:footnoteReference w:id="47"/>
      </w:r>
      <w:r w:rsidRPr="00F05339">
        <w:rPr>
          <w:rFonts w:ascii="Arial" w:hAnsi="Arial" w:cs="Arial"/>
        </w:rPr>
        <w:t xml:space="preserve">. A procurement procedure was launched in 2020 and a Framework Contract signed </w:t>
      </w:r>
      <w:proofErr w:type="gramStart"/>
      <w:r w:rsidRPr="00F05339">
        <w:rPr>
          <w:rFonts w:ascii="Arial" w:hAnsi="Arial" w:cs="Arial"/>
        </w:rPr>
        <w:t>in order to</w:t>
      </w:r>
      <w:proofErr w:type="gramEnd"/>
      <w:r w:rsidRPr="00F05339">
        <w:rPr>
          <w:rFonts w:ascii="Arial" w:hAnsi="Arial" w:cs="Arial"/>
        </w:rPr>
        <w:t xml:space="preserve"> pursue the following key objectives:</w:t>
      </w:r>
    </w:p>
    <w:p w14:paraId="461529DD" w14:textId="77777777" w:rsidR="001A58B6" w:rsidRPr="00F05339" w:rsidRDefault="001A58B6" w:rsidP="002672A0">
      <w:pPr>
        <w:pStyle w:val="ListParagraph"/>
        <w:numPr>
          <w:ilvl w:val="0"/>
          <w:numId w:val="26"/>
        </w:numPr>
        <w:spacing w:after="160" w:line="259" w:lineRule="auto"/>
        <w:jc w:val="both"/>
        <w:rPr>
          <w:rFonts w:ascii="Arial" w:hAnsi="Arial" w:cs="Arial"/>
        </w:rPr>
      </w:pPr>
      <w:r w:rsidRPr="00F05339">
        <w:rPr>
          <w:rFonts w:ascii="Arial" w:hAnsi="Arial" w:cs="Arial"/>
        </w:rPr>
        <w:t xml:space="preserve">Support further the establishment of an independent and self-sustainable community that will deal with all hydrogen certification issues (GOs and target compliance). </w:t>
      </w:r>
    </w:p>
    <w:p w14:paraId="34F3EF68" w14:textId="77777777" w:rsidR="001A58B6" w:rsidRPr="00F05339" w:rsidRDefault="001A58B6" w:rsidP="002672A0">
      <w:pPr>
        <w:pStyle w:val="ListParagraph"/>
        <w:numPr>
          <w:ilvl w:val="0"/>
          <w:numId w:val="26"/>
        </w:numPr>
        <w:spacing w:after="160" w:line="259" w:lineRule="auto"/>
        <w:jc w:val="both"/>
        <w:rPr>
          <w:rFonts w:ascii="Arial" w:hAnsi="Arial" w:cs="Arial"/>
        </w:rPr>
      </w:pPr>
      <w:r w:rsidRPr="00F05339">
        <w:rPr>
          <w:rFonts w:ascii="Arial" w:hAnsi="Arial" w:cs="Arial"/>
        </w:rPr>
        <w:t>Support and accelerate the establishment of harmonised and mutually recognised GO schemes for renewable and non-renewable hydrogen across Member States while ensuring compliance with article 19 of the RED II.</w:t>
      </w:r>
    </w:p>
    <w:p w14:paraId="0D3446BF" w14:textId="77777777" w:rsidR="001A58B6" w:rsidRPr="00F05339" w:rsidRDefault="001A58B6" w:rsidP="002672A0">
      <w:pPr>
        <w:pStyle w:val="ListParagraph"/>
        <w:numPr>
          <w:ilvl w:val="0"/>
          <w:numId w:val="26"/>
        </w:numPr>
        <w:spacing w:after="160" w:line="259" w:lineRule="auto"/>
        <w:jc w:val="both"/>
        <w:rPr>
          <w:rFonts w:ascii="Arial" w:hAnsi="Arial" w:cs="Arial"/>
        </w:rPr>
      </w:pPr>
      <w:r w:rsidRPr="00F05339">
        <w:rPr>
          <w:rFonts w:ascii="Arial" w:hAnsi="Arial" w:cs="Arial"/>
        </w:rPr>
        <w:t xml:space="preserve">Design a hydrogen certification system that </w:t>
      </w:r>
      <w:proofErr w:type="gramStart"/>
      <w:r w:rsidRPr="00F05339">
        <w:rPr>
          <w:rFonts w:ascii="Arial" w:hAnsi="Arial" w:cs="Arial"/>
        </w:rPr>
        <w:t>is able to</w:t>
      </w:r>
      <w:proofErr w:type="gramEnd"/>
      <w:r w:rsidRPr="00F05339">
        <w:rPr>
          <w:rFonts w:ascii="Arial" w:hAnsi="Arial" w:cs="Arial"/>
        </w:rPr>
        <w:t xml:space="preserve"> demonstrate compliance with RED II targets on the share of renewables following the specific requirements that are applicable in each case.</w:t>
      </w:r>
    </w:p>
    <w:p w14:paraId="298AB853" w14:textId="77777777" w:rsidR="001A58B6" w:rsidRPr="00F05339" w:rsidRDefault="001A58B6" w:rsidP="002672A0">
      <w:pPr>
        <w:pStyle w:val="ListParagraph"/>
        <w:numPr>
          <w:ilvl w:val="0"/>
          <w:numId w:val="26"/>
        </w:numPr>
        <w:spacing w:after="160" w:line="259" w:lineRule="auto"/>
        <w:jc w:val="both"/>
        <w:rPr>
          <w:rFonts w:ascii="Arial" w:hAnsi="Arial" w:cs="Arial"/>
        </w:rPr>
      </w:pPr>
      <w:r w:rsidRPr="00F05339">
        <w:rPr>
          <w:rFonts w:ascii="Arial" w:hAnsi="Arial" w:cs="Arial"/>
        </w:rPr>
        <w:t xml:space="preserve">Engage in communication and outreach activities with hydrogen consumers, </w:t>
      </w:r>
      <w:proofErr w:type="gramStart"/>
      <w:r w:rsidRPr="00F05339">
        <w:rPr>
          <w:rFonts w:ascii="Arial" w:hAnsi="Arial" w:cs="Arial"/>
        </w:rPr>
        <w:t>traders</w:t>
      </w:r>
      <w:proofErr w:type="gramEnd"/>
      <w:r w:rsidRPr="00F05339">
        <w:rPr>
          <w:rFonts w:ascii="Arial" w:hAnsi="Arial" w:cs="Arial"/>
        </w:rPr>
        <w:t xml:space="preserve"> and policymakers with the aim of increasing the use of GOs, thereby adding to their market value.</w:t>
      </w:r>
    </w:p>
    <w:p w14:paraId="49CDFEB3" w14:textId="74C72BE4" w:rsidR="001A58B6" w:rsidRPr="00F05339" w:rsidRDefault="001A58B6" w:rsidP="001A58B6">
      <w:pPr>
        <w:jc w:val="both"/>
        <w:rPr>
          <w:rFonts w:ascii="Arial" w:hAnsi="Arial" w:cs="Arial"/>
        </w:rPr>
      </w:pPr>
      <w:r w:rsidRPr="00F05339">
        <w:rPr>
          <w:rFonts w:ascii="Arial" w:hAnsi="Arial" w:cs="Arial"/>
        </w:rPr>
        <w:t>In 2021, the on-going procurement continued this work in what can be considered as the third phase of CertifHy. During this third phase, CertifHy has become an observing member of the AIB (Association of Issuing Bodies), effectively working towards the harmonisation of the H2 GO market in Europe by working directly with future Issuing Bodies. One of the most important highlights from the work of CertifHy in 2021 is the decision of Vertogas, which was appointed as the H2 GO Issuing Body in the Netherlands, to adopt the CertifHy scheme for renewable and low-carbon H2 regarding renewability and GHG footprint methodology. Harmonised calculation of GHG emissions is especially important to avoid any market distortion. In the absence of any well-established international standard for GHG footprint assessment, CertifHy has provided guidance through its work with the CertifHy stakeholder platform.</w:t>
      </w:r>
    </w:p>
    <w:p w14:paraId="7EB0FBDB" w14:textId="1C1E3886" w:rsidR="001A58B6" w:rsidRPr="00F05339" w:rsidRDefault="001A58B6" w:rsidP="001A58B6">
      <w:pPr>
        <w:jc w:val="both"/>
        <w:rPr>
          <w:rFonts w:ascii="Arial" w:hAnsi="Arial" w:cs="Arial"/>
        </w:rPr>
      </w:pPr>
      <w:r w:rsidRPr="00F05339">
        <w:rPr>
          <w:rFonts w:ascii="Arial" w:hAnsi="Arial" w:cs="Arial"/>
        </w:rPr>
        <w:t xml:space="preserve">CertifHy has setup the building blocks for the development of a future EU Voluntary Scheme recognized by the European Commission to provide </w:t>
      </w:r>
      <w:r w:rsidR="00302998">
        <w:rPr>
          <w:rFonts w:ascii="Arial" w:hAnsi="Arial" w:cs="Arial"/>
        </w:rPr>
        <w:t>Renewable Fuels of Non-Biological Origins (</w:t>
      </w:r>
      <w:r w:rsidRPr="00F05339">
        <w:rPr>
          <w:rFonts w:ascii="Arial" w:hAnsi="Arial" w:cs="Arial"/>
        </w:rPr>
        <w:t>RFNBO</w:t>
      </w:r>
      <w:r w:rsidR="00302998">
        <w:rPr>
          <w:rFonts w:ascii="Arial" w:hAnsi="Arial" w:cs="Arial"/>
        </w:rPr>
        <w:t>)</w:t>
      </w:r>
      <w:r w:rsidRPr="00F05339">
        <w:rPr>
          <w:rFonts w:ascii="Arial" w:hAnsi="Arial" w:cs="Arial"/>
        </w:rPr>
        <w:t xml:space="preserve"> certificates to hydrogen producers and fuel suppliers, working towards the 14% target of renewable fuels by 2030 set by the revised Renewable Energy Directive (RED2). In practice, CertifHy has developed an architecture to accommodate the complex framework </w:t>
      </w:r>
      <w:r w:rsidRPr="00F05339">
        <w:rPr>
          <w:rFonts w:ascii="Arial" w:hAnsi="Arial" w:cs="Arial"/>
        </w:rPr>
        <w:lastRenderedPageBreak/>
        <w:t xml:space="preserve">for hydrogen certification, considering not only RFNBO certificates but also GOs as well as the future Union Database. </w:t>
      </w:r>
    </w:p>
    <w:p w14:paraId="2CB4C636" w14:textId="49202458" w:rsidR="001A58B6" w:rsidRPr="00F05339" w:rsidRDefault="001A58B6" w:rsidP="001A58B6">
      <w:pPr>
        <w:jc w:val="both"/>
        <w:rPr>
          <w:rFonts w:ascii="Arial" w:hAnsi="Arial" w:cs="Arial"/>
        </w:rPr>
      </w:pPr>
      <w:r w:rsidRPr="00F05339">
        <w:rPr>
          <w:rFonts w:ascii="Arial" w:hAnsi="Arial" w:cs="Arial"/>
        </w:rPr>
        <w:t xml:space="preserve">During the second half of 2021 the Tender “Study on impact of deployment of battery electric vehicles (BEV) and fuel cells electric vehicles (FCEV) infrastructure” was </w:t>
      </w:r>
      <w:r w:rsidR="00067660">
        <w:rPr>
          <w:rFonts w:ascii="Arial" w:hAnsi="Arial" w:cs="Arial"/>
        </w:rPr>
        <w:t>awarded</w:t>
      </w:r>
      <w:r w:rsidR="00067660" w:rsidRPr="00F05339">
        <w:rPr>
          <w:rFonts w:ascii="Arial" w:hAnsi="Arial" w:cs="Arial"/>
        </w:rPr>
        <w:t xml:space="preserve"> </w:t>
      </w:r>
      <w:r w:rsidRPr="00F05339">
        <w:rPr>
          <w:rFonts w:ascii="Arial" w:hAnsi="Arial" w:cs="Arial"/>
        </w:rPr>
        <w:t>to the consultancy McKinsey. The purpose of the tender is to produce a comprehensive study to describe the possible optimal blend of infrastructure for Fuel Cells Hydrogen mobility and battery electric vehicles. The implementation of the study is meant to conclude at the end of March 2022. Representatives of the industry as well as of the European Commission are involved in the steering group ensuring that all relevant stakeholders can contribute and that policy recommendations emerging from the study are taken on board by policy makers.</w:t>
      </w:r>
    </w:p>
    <w:p w14:paraId="2E24C203" w14:textId="44012B03" w:rsidR="001A58B6" w:rsidRPr="00F05339" w:rsidRDefault="001A58B6" w:rsidP="001A58B6">
      <w:pPr>
        <w:jc w:val="both"/>
        <w:rPr>
          <w:rFonts w:ascii="Arial" w:hAnsi="Arial" w:cs="Arial"/>
        </w:rPr>
      </w:pPr>
      <w:r w:rsidRPr="00F05339">
        <w:rPr>
          <w:rFonts w:ascii="Arial" w:hAnsi="Arial" w:cs="Arial"/>
        </w:rPr>
        <w:t xml:space="preserve">In the maritime sector, the absence of RCS for hydrogen as a maritime fuel has been the focus of regular exchanges and meetings between the </w:t>
      </w:r>
      <w:r w:rsidRPr="00F05339" w:rsidDel="00A47AA9">
        <w:rPr>
          <w:rFonts w:ascii="Arial" w:hAnsi="Arial" w:cs="Arial"/>
        </w:rPr>
        <w:t xml:space="preserve"> </w:t>
      </w:r>
      <w:r w:rsidRPr="00F05339">
        <w:rPr>
          <w:rFonts w:ascii="Arial" w:hAnsi="Arial" w:cs="Arial"/>
        </w:rPr>
        <w:t> JU, DG R&amp;I, DG MOVE, EMSA</w:t>
      </w:r>
      <w:r w:rsidRPr="00F05339">
        <w:rPr>
          <w:rStyle w:val="FootnoteReference"/>
          <w:rFonts w:ascii="Arial" w:hAnsi="Arial" w:cs="Arial"/>
        </w:rPr>
        <w:footnoteReference w:id="48"/>
      </w:r>
      <w:r w:rsidRPr="00F05339">
        <w:rPr>
          <w:rFonts w:ascii="Arial" w:hAnsi="Arial" w:cs="Arial"/>
        </w:rPr>
        <w:t>, the JRC, ZEWT, and CEN/CENELEC. Of particular importance is the contributions from projects MARANDA</w:t>
      </w:r>
      <w:r w:rsidRPr="00F05339">
        <w:rPr>
          <w:rStyle w:val="FootnoteReference"/>
          <w:rFonts w:ascii="Arial" w:hAnsi="Arial" w:cs="Arial"/>
        </w:rPr>
        <w:footnoteReference w:id="49"/>
      </w:r>
      <w:r w:rsidRPr="00F05339">
        <w:rPr>
          <w:rFonts w:ascii="Arial" w:hAnsi="Arial" w:cs="Arial"/>
        </w:rPr>
        <w:t>, FLAGSHIPS</w:t>
      </w:r>
      <w:r w:rsidRPr="00F05339">
        <w:rPr>
          <w:rStyle w:val="FootnoteReference"/>
          <w:rFonts w:ascii="Arial" w:hAnsi="Arial" w:cs="Arial"/>
        </w:rPr>
        <w:footnoteReference w:id="50"/>
      </w:r>
      <w:r w:rsidRPr="00F05339">
        <w:rPr>
          <w:rFonts w:ascii="Arial" w:hAnsi="Arial" w:cs="Arial"/>
        </w:rPr>
        <w:t>, and e-SHyIPS</w:t>
      </w:r>
      <w:r w:rsidRPr="00F05339">
        <w:rPr>
          <w:rStyle w:val="FootnoteReference"/>
          <w:rFonts w:ascii="Arial" w:hAnsi="Arial" w:cs="Arial"/>
        </w:rPr>
        <w:footnoteReference w:id="51"/>
      </w:r>
      <w:r w:rsidRPr="00F05339">
        <w:rPr>
          <w:rFonts w:ascii="Arial" w:hAnsi="Arial" w:cs="Arial"/>
        </w:rPr>
        <w:t xml:space="preserve"> on their work on regulations, codes and standards and gaps analysis for the IGF Code correspondence group of the IMO (through the European Commission). In 2021, the IMO committee Carriage of Cargoes and Containers has endorsed draft interim guidelines for ships using fuel </w:t>
      </w:r>
      <w:proofErr w:type="gramStart"/>
      <w:r w:rsidRPr="00F05339">
        <w:rPr>
          <w:rFonts w:ascii="Arial" w:hAnsi="Arial" w:cs="Arial"/>
        </w:rPr>
        <w:t>cells, and</w:t>
      </w:r>
      <w:proofErr w:type="gramEnd"/>
      <w:r w:rsidRPr="00F05339">
        <w:rPr>
          <w:rFonts w:ascii="Arial" w:hAnsi="Arial" w:cs="Arial"/>
        </w:rPr>
        <w:t xml:space="preserve"> will develop guidelines for the safety of ships using hydrogen as a fuel. The contribution of the projects above will help this second stream of work from IMO. </w:t>
      </w:r>
    </w:p>
    <w:p w14:paraId="5333B000" w14:textId="77777777" w:rsidR="001A58B6" w:rsidRPr="00F05339" w:rsidRDefault="001A58B6" w:rsidP="001A58B6">
      <w:pPr>
        <w:jc w:val="both"/>
        <w:rPr>
          <w:rFonts w:ascii="Arial" w:hAnsi="Arial" w:cs="Arial"/>
        </w:rPr>
      </w:pPr>
      <w:r w:rsidRPr="00F05339">
        <w:rPr>
          <w:rFonts w:ascii="Arial" w:hAnsi="Arial" w:cs="Arial"/>
        </w:rPr>
        <w:t>The JU support to EC policymakers goes beyond energy and transport. During 2021, it has continued working closely with DG ENER and other DGs. Building on this good collaboration with various EC services, it provided extensive evidence-based policy input that was somehow incorporated in new EC communications, namely the ‘Fit for 55’</w:t>
      </w:r>
      <w:r w:rsidRPr="00F05339">
        <w:rPr>
          <w:rStyle w:val="FootnoteReference"/>
          <w:rFonts w:ascii="Arial" w:hAnsi="Arial" w:cs="Arial"/>
        </w:rPr>
        <w:footnoteReference w:id="52"/>
      </w:r>
      <w:r w:rsidRPr="00F05339">
        <w:rPr>
          <w:rFonts w:ascii="Arial" w:hAnsi="Arial" w:cs="Arial"/>
        </w:rPr>
        <w:t>, the Gas Decarbonisation</w:t>
      </w:r>
      <w:r w:rsidRPr="00F05339">
        <w:rPr>
          <w:rStyle w:val="FootnoteReference"/>
          <w:rFonts w:ascii="Arial" w:hAnsi="Arial" w:cs="Arial"/>
        </w:rPr>
        <w:footnoteReference w:id="53"/>
      </w:r>
      <w:r w:rsidRPr="00F05339">
        <w:rPr>
          <w:rFonts w:ascii="Arial" w:hAnsi="Arial" w:cs="Arial"/>
        </w:rPr>
        <w:t xml:space="preserve"> package and other subsidiary measures</w:t>
      </w:r>
      <w:r w:rsidRPr="00F05339">
        <w:rPr>
          <w:rStyle w:val="FootnoteReference"/>
          <w:rFonts w:ascii="Arial" w:hAnsi="Arial" w:cs="Arial"/>
        </w:rPr>
        <w:footnoteReference w:id="54"/>
      </w:r>
      <w:r w:rsidRPr="00F05339">
        <w:rPr>
          <w:rFonts w:ascii="Arial" w:hAnsi="Arial" w:cs="Arial"/>
        </w:rPr>
        <w:t xml:space="preserve">. </w:t>
      </w:r>
    </w:p>
    <w:p w14:paraId="00F3D1B6" w14:textId="67A086AA" w:rsidR="001A58B6" w:rsidRPr="00F05339" w:rsidRDefault="001A58B6" w:rsidP="001A58B6">
      <w:pPr>
        <w:jc w:val="both"/>
        <w:rPr>
          <w:rFonts w:ascii="Arial" w:hAnsi="Arial" w:cs="Arial"/>
        </w:rPr>
      </w:pPr>
      <w:r w:rsidRPr="00F05339">
        <w:rPr>
          <w:rFonts w:ascii="Arial" w:hAnsi="Arial" w:cs="Arial"/>
        </w:rPr>
        <w:lastRenderedPageBreak/>
        <w:t>During 2021, the JU continued exchanges with DG INTPA and the EU Global Technical Assistance Facility for Sustainable Energy (EU GTAF)</w:t>
      </w:r>
      <w:r w:rsidRPr="00F05339">
        <w:rPr>
          <w:rStyle w:val="FootnoteReference"/>
          <w:rFonts w:ascii="Arial" w:hAnsi="Arial" w:cs="Arial"/>
        </w:rPr>
        <w:footnoteReference w:id="55"/>
      </w:r>
      <w:r w:rsidRPr="00F05339">
        <w:rPr>
          <w:rFonts w:ascii="Arial" w:hAnsi="Arial" w:cs="Arial"/>
        </w:rPr>
        <w:t xml:space="preserve"> to explore potential synergies in Africa</w:t>
      </w:r>
      <w:r w:rsidR="00264800">
        <w:rPr>
          <w:rStyle w:val="FootnoteReference"/>
          <w:rFonts w:ascii="Arial" w:hAnsi="Arial" w:cs="Arial"/>
        </w:rPr>
        <w:footnoteReference w:id="56"/>
      </w:r>
      <w:r w:rsidRPr="00F05339">
        <w:rPr>
          <w:rFonts w:ascii="Arial" w:hAnsi="Arial" w:cs="Arial"/>
        </w:rPr>
        <w:t xml:space="preserve"> and in Chile, also via the Team Europe Initiative. </w:t>
      </w:r>
    </w:p>
    <w:p w14:paraId="24C0E133" w14:textId="34B92B5C" w:rsidR="001A58B6" w:rsidRPr="00F05339" w:rsidRDefault="001A58B6" w:rsidP="001A58B6">
      <w:pPr>
        <w:jc w:val="both"/>
        <w:rPr>
          <w:rFonts w:ascii="Arial" w:hAnsi="Arial" w:cs="Arial"/>
          <w:i/>
          <w:iCs/>
        </w:rPr>
      </w:pPr>
      <w:r w:rsidRPr="00F05339">
        <w:rPr>
          <w:rFonts w:ascii="Arial" w:hAnsi="Arial" w:cs="Arial"/>
        </w:rPr>
        <w:t>Moreover, in 2021, the JU has provided regular updates on its activities related to RCS/ PNR to DG RTD, DG ENER, and DG GROW, as well as updates on the situation with respect to FCH standardisation at the European and international levels. Furthermore, the JU has provided information on areas for PNR on hydrogen safety in the maritime sector to DG RTD, has provided inputs on strategic supply chain vulnerabilities of hydrogen production and fuel cells to DG GROW, provided information on the JU activities related to Life Cycle Assessment to DG JRC in view of strengthening the links between projects and the JRC activities in this field and supporting EC activities, and has provided updates concerning the JU´s latest activities on RCS and safety to DG RTD for reporting to IPHE (IPHE Country Update).</w:t>
      </w:r>
    </w:p>
    <w:p w14:paraId="1B221598" w14:textId="77777777" w:rsidR="001A58B6" w:rsidRPr="00F05339" w:rsidRDefault="001A58B6" w:rsidP="001A58B6">
      <w:pPr>
        <w:jc w:val="both"/>
        <w:rPr>
          <w:rFonts w:ascii="Arial" w:hAnsi="Arial" w:cs="Arial"/>
        </w:rPr>
      </w:pPr>
      <w:r w:rsidRPr="00F05339">
        <w:rPr>
          <w:rFonts w:ascii="Arial" w:hAnsi="Arial" w:cs="Arial"/>
          <w:i/>
          <w:iCs/>
        </w:rPr>
        <w:t>Collaborations with other agencies and joint undertakings</w:t>
      </w:r>
      <w:r w:rsidRPr="00F05339">
        <w:rPr>
          <w:rFonts w:ascii="Arial" w:hAnsi="Arial" w:cs="Arial"/>
        </w:rPr>
        <w:t xml:space="preserve"> </w:t>
      </w:r>
    </w:p>
    <w:p w14:paraId="05A32A1F" w14:textId="61DBD583" w:rsidR="001A58B6" w:rsidRPr="00F05339" w:rsidRDefault="001A58B6" w:rsidP="001A58B6">
      <w:pPr>
        <w:jc w:val="both"/>
        <w:rPr>
          <w:rFonts w:ascii="Arial" w:hAnsi="Arial" w:cs="Arial"/>
        </w:rPr>
      </w:pPr>
      <w:r w:rsidRPr="00F05339">
        <w:rPr>
          <w:rFonts w:ascii="Arial" w:hAnsi="Arial" w:cs="Arial"/>
        </w:rPr>
        <w:t xml:space="preserve">The JU has continued exchanges which include executive agencies managing other parts of H2020 and HE in areas relevant to hydrogen technologies. For example, in the transport sector, it continues to work with CINEA on activities related to FC buses, maritime and HRS. </w:t>
      </w:r>
      <w:r w:rsidR="00580D36">
        <w:rPr>
          <w:rFonts w:ascii="Arial" w:hAnsi="Arial" w:cs="Arial"/>
        </w:rPr>
        <w:t>In 2021</w:t>
      </w:r>
      <w:r w:rsidR="00434424">
        <w:rPr>
          <w:rFonts w:ascii="Arial" w:hAnsi="Arial" w:cs="Arial"/>
        </w:rPr>
        <w:t xml:space="preserve">, </w:t>
      </w:r>
      <w:proofErr w:type="gramStart"/>
      <w:r w:rsidR="00434424">
        <w:rPr>
          <w:rFonts w:ascii="Arial" w:hAnsi="Arial" w:cs="Arial"/>
        </w:rPr>
        <w:t>i</w:t>
      </w:r>
      <w:r w:rsidR="00580D36" w:rsidRPr="00580D36">
        <w:rPr>
          <w:rFonts w:ascii="Arial" w:hAnsi="Arial" w:cs="Arial"/>
        </w:rPr>
        <w:t>n order to</w:t>
      </w:r>
      <w:proofErr w:type="gramEnd"/>
      <w:r w:rsidR="00580D36" w:rsidRPr="00580D36">
        <w:rPr>
          <w:rFonts w:ascii="Arial" w:hAnsi="Arial" w:cs="Arial"/>
        </w:rPr>
        <w:t xml:space="preserve"> support and accelerate the wide roll out of hydrogen mobility options in 2022,</w:t>
      </w:r>
      <w:r w:rsidR="00580D36">
        <w:rPr>
          <w:rFonts w:ascii="Arial" w:hAnsi="Arial" w:cs="Arial"/>
        </w:rPr>
        <w:t xml:space="preserve"> </w:t>
      </w:r>
      <w:r w:rsidR="00434424">
        <w:rPr>
          <w:rFonts w:ascii="Arial" w:hAnsi="Arial" w:cs="Arial"/>
        </w:rPr>
        <w:t xml:space="preserve">they worked together on the preparation of </w:t>
      </w:r>
      <w:r w:rsidR="00580D36" w:rsidRPr="00580D36">
        <w:rPr>
          <w:rFonts w:ascii="Arial" w:hAnsi="Arial" w:cs="Arial"/>
        </w:rPr>
        <w:t xml:space="preserve">support </w:t>
      </w:r>
      <w:r w:rsidR="00434424">
        <w:rPr>
          <w:rFonts w:ascii="Arial" w:hAnsi="Arial" w:cs="Arial"/>
        </w:rPr>
        <w:t xml:space="preserve">to </w:t>
      </w:r>
      <w:r w:rsidR="00580D36" w:rsidRPr="00580D36">
        <w:rPr>
          <w:rFonts w:ascii="Arial" w:hAnsi="Arial" w:cs="Arial"/>
        </w:rPr>
        <w:t xml:space="preserve">be provided </w:t>
      </w:r>
      <w:r w:rsidR="00434424">
        <w:rPr>
          <w:rFonts w:ascii="Arial" w:hAnsi="Arial" w:cs="Arial"/>
        </w:rPr>
        <w:t>by</w:t>
      </w:r>
      <w:r w:rsidR="00580D36" w:rsidRPr="00580D36">
        <w:rPr>
          <w:rFonts w:ascii="Arial" w:hAnsi="Arial" w:cs="Arial"/>
        </w:rPr>
        <w:t xml:space="preserve"> two ambitious flagship projects</w:t>
      </w:r>
      <w:r w:rsidR="00434424">
        <w:rPr>
          <w:rFonts w:ascii="Arial" w:hAnsi="Arial" w:cs="Arial"/>
        </w:rPr>
        <w:t>, one on trucks and one in vessels</w:t>
      </w:r>
      <w:r w:rsidR="00580D36" w:rsidRPr="00580D36">
        <w:rPr>
          <w:rFonts w:ascii="Arial" w:hAnsi="Arial" w:cs="Arial"/>
        </w:rPr>
        <w:t>.</w:t>
      </w:r>
      <w:r w:rsidR="00434424">
        <w:rPr>
          <w:rStyle w:val="FootnoteReference"/>
          <w:rFonts w:ascii="Arial" w:hAnsi="Arial" w:cs="Arial"/>
        </w:rPr>
        <w:footnoteReference w:id="57"/>
      </w:r>
      <w:r w:rsidR="00580D36" w:rsidRPr="00580D36">
        <w:rPr>
          <w:rFonts w:ascii="Arial" w:hAnsi="Arial" w:cs="Arial"/>
        </w:rPr>
        <w:t xml:space="preserve"> For the refuelling infrastructure in these two projects synergies with CEF</w:t>
      </w:r>
      <w:r w:rsidR="00580D36">
        <w:rPr>
          <w:rFonts w:ascii="Arial" w:hAnsi="Arial" w:cs="Arial"/>
        </w:rPr>
        <w:t xml:space="preserve"> </w:t>
      </w:r>
      <w:r w:rsidR="00580D36" w:rsidRPr="00580D36">
        <w:rPr>
          <w:rFonts w:ascii="Arial" w:hAnsi="Arial" w:cs="Arial"/>
        </w:rPr>
        <w:t xml:space="preserve">Transport programme are </w:t>
      </w:r>
      <w:r w:rsidR="00434424">
        <w:rPr>
          <w:rFonts w:ascii="Arial" w:hAnsi="Arial" w:cs="Arial"/>
        </w:rPr>
        <w:t xml:space="preserve">also </w:t>
      </w:r>
      <w:r w:rsidR="00580D36" w:rsidRPr="00580D36">
        <w:rPr>
          <w:rFonts w:ascii="Arial" w:hAnsi="Arial" w:cs="Arial"/>
        </w:rPr>
        <w:t>foreseen.</w:t>
      </w:r>
      <w:r w:rsidR="00434424">
        <w:rPr>
          <w:rFonts w:ascii="Arial" w:hAnsi="Arial" w:cs="Arial"/>
        </w:rPr>
        <w:t xml:space="preserve"> </w:t>
      </w:r>
      <w:r w:rsidRPr="00F05339">
        <w:rPr>
          <w:rFonts w:ascii="Arial" w:hAnsi="Arial" w:cs="Arial"/>
        </w:rPr>
        <w:t xml:space="preserve">Similarly, collaboration is ongoing in the energy sector. A number of </w:t>
      </w:r>
      <w:proofErr w:type="gramStart"/>
      <w:r w:rsidRPr="00F05339">
        <w:rPr>
          <w:rFonts w:ascii="Arial" w:hAnsi="Arial" w:cs="Arial"/>
        </w:rPr>
        <w:t>hydrogen-related</w:t>
      </w:r>
      <w:proofErr w:type="gramEnd"/>
      <w:r w:rsidRPr="00F05339">
        <w:rPr>
          <w:rFonts w:ascii="Arial" w:hAnsi="Arial" w:cs="Arial"/>
        </w:rPr>
        <w:t xml:space="preserve"> CINEA projects presented their progress in the 2021 edition of the Joint Undertaking PRD (during the European Hydrogen Week in December 2021). </w:t>
      </w:r>
    </w:p>
    <w:p w14:paraId="5F93A470" w14:textId="633FF04C" w:rsidR="001A58B6" w:rsidRPr="00F05339" w:rsidRDefault="001A58B6" w:rsidP="001A58B6">
      <w:pPr>
        <w:jc w:val="both"/>
        <w:rPr>
          <w:rFonts w:ascii="Arial" w:hAnsi="Arial" w:cs="Arial"/>
        </w:rPr>
      </w:pPr>
      <w:r w:rsidRPr="00F05339">
        <w:rPr>
          <w:rFonts w:ascii="Arial" w:hAnsi="Arial" w:cs="Arial"/>
        </w:rPr>
        <w:t xml:space="preserve">The JU has also remained proactive in taking up opportunities for collaboration with other </w:t>
      </w:r>
      <w:r w:rsidR="00A93439">
        <w:rPr>
          <w:rFonts w:ascii="Arial" w:hAnsi="Arial" w:cs="Arial"/>
        </w:rPr>
        <w:t>partnerships</w:t>
      </w:r>
      <w:r w:rsidRPr="00F05339">
        <w:rPr>
          <w:rFonts w:ascii="Arial" w:hAnsi="Arial" w:cs="Arial"/>
        </w:rPr>
        <w:t xml:space="preserve">, EU agencies, </w:t>
      </w:r>
      <w:proofErr w:type="gramStart"/>
      <w:r w:rsidRPr="00F05339">
        <w:rPr>
          <w:rFonts w:ascii="Arial" w:hAnsi="Arial" w:cs="Arial"/>
        </w:rPr>
        <w:t>initiatives</w:t>
      </w:r>
      <w:proofErr w:type="gramEnd"/>
      <w:r w:rsidRPr="00F05339">
        <w:rPr>
          <w:rFonts w:ascii="Arial" w:hAnsi="Arial" w:cs="Arial"/>
        </w:rPr>
        <w:t xml:space="preserve"> and actions with the potential for synergy with its research agenda.</w:t>
      </w:r>
      <w:r w:rsidR="00A93439">
        <w:rPr>
          <w:rFonts w:ascii="Arial" w:hAnsi="Arial" w:cs="Arial"/>
        </w:rPr>
        <w:t xml:space="preserve"> In particular, t</w:t>
      </w:r>
      <w:r w:rsidR="00A93439" w:rsidRPr="002812A6">
        <w:rPr>
          <w:rFonts w:ascii="Arial" w:hAnsi="Arial" w:cs="Arial"/>
        </w:rPr>
        <w:t xml:space="preserve">he JU co-operated closely with other partnerships </w:t>
      </w:r>
      <w:proofErr w:type="gramStart"/>
      <w:r w:rsidR="00A93439" w:rsidRPr="002812A6">
        <w:rPr>
          <w:rFonts w:ascii="Arial" w:hAnsi="Arial" w:cs="Arial"/>
        </w:rPr>
        <w:t>in an effort to</w:t>
      </w:r>
      <w:proofErr w:type="gramEnd"/>
      <w:r w:rsidR="00A93439" w:rsidRPr="002812A6">
        <w:rPr>
          <w:rFonts w:ascii="Arial" w:hAnsi="Arial" w:cs="Arial"/>
        </w:rPr>
        <w:t xml:space="preserve"> align their work Programmes and identify synergies. When possible, they developed common </w:t>
      </w:r>
      <w:r w:rsidR="00A93439">
        <w:rPr>
          <w:rFonts w:ascii="Arial" w:hAnsi="Arial" w:cs="Arial"/>
        </w:rPr>
        <w:t>r</w:t>
      </w:r>
      <w:r w:rsidR="00A93439" w:rsidRPr="002812A6">
        <w:rPr>
          <w:rFonts w:ascii="Arial" w:hAnsi="Arial" w:cs="Arial"/>
        </w:rPr>
        <w:t>oadmaps, aiming to better coordinate the planned activities per partnership in the context of R&amp;I in hydrogen technologies. This common planning should prevent overlaps, enable synergies and lead to a more effective allocation of funds towards hydrogen technologies in the context of the Horizon Europe Programme.</w:t>
      </w:r>
      <w:r w:rsidR="00A93439">
        <w:rPr>
          <w:rStyle w:val="FootnoteReference"/>
          <w:rFonts w:ascii="Arial" w:hAnsi="Arial" w:cs="Arial"/>
        </w:rPr>
        <w:footnoteReference w:id="58"/>
      </w:r>
      <w:r w:rsidRPr="00F05339">
        <w:rPr>
          <w:rFonts w:ascii="Arial" w:hAnsi="Arial" w:cs="Arial"/>
        </w:rPr>
        <w:t xml:space="preserve"> In addition, the JU has continued exchanges with the European Defence Agency</w:t>
      </w:r>
      <w:r w:rsidRPr="00F05339">
        <w:rPr>
          <w:rStyle w:val="FootnoteReference"/>
          <w:rFonts w:ascii="Arial" w:hAnsi="Arial" w:cs="Arial"/>
        </w:rPr>
        <w:footnoteReference w:id="59"/>
      </w:r>
      <w:r w:rsidRPr="00F05339">
        <w:rPr>
          <w:rFonts w:ascii="Arial" w:hAnsi="Arial" w:cs="Arial"/>
        </w:rPr>
        <w:t xml:space="preserve"> on transport and energy. This has </w:t>
      </w:r>
      <w:r w:rsidRPr="00F05339">
        <w:rPr>
          <w:rFonts w:ascii="Arial" w:hAnsi="Arial" w:cs="Arial"/>
        </w:rPr>
        <w:lastRenderedPageBreak/>
        <w:t xml:space="preserve">consisted in raising awareness and stimulating the Defence community towards the potential role of hydrogen technologies in the defence sector. The JU has also created bridges between the defence sector and the FCH industry and research community by bringing all the actors together. </w:t>
      </w:r>
    </w:p>
    <w:p w14:paraId="46982512" w14:textId="77777777" w:rsidR="001A58B6" w:rsidRPr="00F05339" w:rsidRDefault="001A58B6" w:rsidP="001A58B6">
      <w:pPr>
        <w:jc w:val="both"/>
        <w:rPr>
          <w:rFonts w:ascii="Arial" w:hAnsi="Arial" w:cs="Arial"/>
          <w:i/>
          <w:iCs/>
        </w:rPr>
      </w:pPr>
      <w:r w:rsidRPr="00F05339">
        <w:rPr>
          <w:rFonts w:ascii="Arial" w:hAnsi="Arial" w:cs="Arial"/>
          <w:i/>
          <w:iCs/>
        </w:rPr>
        <w:t xml:space="preserve">Working with regions </w:t>
      </w:r>
    </w:p>
    <w:p w14:paraId="55D30B9D" w14:textId="26F29008" w:rsidR="001A58B6" w:rsidRPr="00F05339" w:rsidRDefault="001A58B6" w:rsidP="001A58B6">
      <w:pPr>
        <w:jc w:val="both"/>
        <w:rPr>
          <w:rFonts w:ascii="Arial" w:hAnsi="Arial" w:cs="Arial"/>
        </w:rPr>
      </w:pPr>
      <w:r w:rsidRPr="00F05339">
        <w:rPr>
          <w:rFonts w:ascii="Arial" w:hAnsi="Arial" w:cs="Arial"/>
        </w:rPr>
        <w:t>As part of the FCH Regions initiative</w:t>
      </w:r>
      <w:r w:rsidRPr="00F05339">
        <w:rPr>
          <w:rStyle w:val="FootnoteReference"/>
          <w:rFonts w:ascii="Arial" w:hAnsi="Arial" w:cs="Arial"/>
        </w:rPr>
        <w:footnoteReference w:id="60"/>
      </w:r>
      <w:r w:rsidRPr="00F05339">
        <w:rPr>
          <w:rFonts w:ascii="Arial" w:hAnsi="Arial" w:cs="Arial"/>
        </w:rPr>
        <w:t xml:space="preserve">, the JU study on ‘Fuel Cells and Hydrogen for Green Energy in European Cities and Regions’, published in 2018, identified project implementation intentions </w:t>
      </w:r>
      <w:proofErr w:type="gramStart"/>
      <w:r w:rsidRPr="00F05339">
        <w:rPr>
          <w:rFonts w:ascii="Arial" w:hAnsi="Arial" w:cs="Arial"/>
        </w:rPr>
        <w:t>in excess of</w:t>
      </w:r>
      <w:proofErr w:type="gramEnd"/>
      <w:r w:rsidRPr="00F05339">
        <w:rPr>
          <w:rFonts w:ascii="Arial" w:hAnsi="Arial" w:cs="Arial"/>
        </w:rPr>
        <w:t xml:space="preserve"> EUR 1.8 billion over a 5-year period. Since then, the JU has been working closely with regions to realise this potential.</w:t>
      </w:r>
    </w:p>
    <w:p w14:paraId="1C716B57" w14:textId="77777777" w:rsidR="001A58B6" w:rsidRPr="00F05339" w:rsidRDefault="001A58B6" w:rsidP="001A58B6">
      <w:pPr>
        <w:jc w:val="both"/>
        <w:rPr>
          <w:rFonts w:ascii="Arial" w:hAnsi="Arial" w:cs="Arial"/>
        </w:rPr>
      </w:pPr>
      <w:r w:rsidRPr="00F05339">
        <w:rPr>
          <w:rFonts w:ascii="Arial" w:hAnsi="Arial" w:cs="Arial"/>
        </w:rPr>
        <w:t>Since then, the JU has facilitated the creation of a growing European Hydrogen Valleys Partnership (EHV-S3P)</w:t>
      </w:r>
      <w:r w:rsidRPr="00F05339">
        <w:rPr>
          <w:rStyle w:val="FootnoteReference"/>
          <w:rFonts w:ascii="Arial" w:hAnsi="Arial" w:cs="Arial"/>
          <w:b/>
          <w:bCs/>
        </w:rPr>
        <w:footnoteReference w:id="61"/>
      </w:r>
      <w:r w:rsidRPr="00F05339">
        <w:rPr>
          <w:rFonts w:ascii="Arial" w:hAnsi="Arial" w:cs="Arial"/>
        </w:rPr>
        <w:t xml:space="preserve"> working across the hydrogen value chain and aiming to enhance the role of green hydrogen in the European energy transition process. In 2021, the JU continued to collaborate with this partnership’s activities. </w:t>
      </w:r>
    </w:p>
    <w:p w14:paraId="462FB243" w14:textId="6BA71EBF" w:rsidR="001A58B6" w:rsidRDefault="001A58B6" w:rsidP="001A58B6">
      <w:pPr>
        <w:jc w:val="both"/>
        <w:rPr>
          <w:rFonts w:ascii="Arial" w:hAnsi="Arial" w:cs="Arial"/>
        </w:rPr>
      </w:pPr>
      <w:r w:rsidRPr="00F05339">
        <w:rPr>
          <w:rFonts w:ascii="Arial" w:hAnsi="Arial" w:cs="Arial"/>
        </w:rPr>
        <w:t xml:space="preserve">In 2021, the </w:t>
      </w:r>
      <w:r w:rsidRPr="00F05339">
        <w:rPr>
          <w:rFonts w:ascii="Arial" w:hAnsi="Arial" w:cs="Arial"/>
          <w:b/>
          <w:bCs/>
        </w:rPr>
        <w:t>FCH Regions Hub</w:t>
      </w:r>
      <w:r w:rsidRPr="00F05339">
        <w:rPr>
          <w:rStyle w:val="FootnoteReference"/>
          <w:rFonts w:ascii="Arial" w:hAnsi="Arial" w:cs="Arial"/>
          <w:b/>
          <w:bCs/>
        </w:rPr>
        <w:footnoteReference w:id="62"/>
      </w:r>
      <w:r w:rsidRPr="00F05339">
        <w:rPr>
          <w:rFonts w:ascii="Arial" w:hAnsi="Arial" w:cs="Arial"/>
        </w:rPr>
        <w:t xml:space="preserve"> was further updated, to keep on helping regional and local authorities to develop and turn their concepts for regional hydrogen projects into detailed work plans. The Hub centralises the relevant information gathered within the projects, </w:t>
      </w:r>
      <w:proofErr w:type="gramStart"/>
      <w:r w:rsidRPr="00F05339">
        <w:rPr>
          <w:rFonts w:ascii="Arial" w:hAnsi="Arial" w:cs="Arial"/>
        </w:rPr>
        <w:t>studies</w:t>
      </w:r>
      <w:proofErr w:type="gramEnd"/>
      <w:r w:rsidRPr="00F05339">
        <w:rPr>
          <w:rFonts w:ascii="Arial" w:hAnsi="Arial" w:cs="Arial"/>
        </w:rPr>
        <w:t xml:space="preserve"> and initiatives of the JU. It also offers links to specific external sources and complementary initiatives capable of helping them to deploy regional FCH plans and projects.</w:t>
      </w:r>
    </w:p>
    <w:p w14:paraId="758709FF" w14:textId="77777777" w:rsidR="001A58B6" w:rsidRPr="00F05339" w:rsidRDefault="001A58B6" w:rsidP="001A58B6">
      <w:pPr>
        <w:jc w:val="both"/>
        <w:rPr>
          <w:rFonts w:ascii="Arial" w:hAnsi="Arial" w:cs="Arial"/>
        </w:rPr>
      </w:pPr>
      <w:r w:rsidRPr="00F05339">
        <w:rPr>
          <w:rFonts w:ascii="Arial" w:hAnsi="Arial" w:cs="Arial"/>
          <w:i/>
          <w:iCs/>
        </w:rPr>
        <w:t>Project development assistance for regions</w:t>
      </w:r>
      <w:r w:rsidRPr="00F05339">
        <w:rPr>
          <w:rFonts w:ascii="Arial" w:hAnsi="Arial" w:cs="Arial"/>
        </w:rPr>
        <w:t xml:space="preserve"> </w:t>
      </w:r>
    </w:p>
    <w:p w14:paraId="58976C07" w14:textId="428C3ACE" w:rsidR="001A58B6" w:rsidRDefault="001A58B6" w:rsidP="001A58B6">
      <w:pPr>
        <w:jc w:val="both"/>
        <w:rPr>
          <w:rFonts w:ascii="Arial" w:hAnsi="Arial" w:cs="Arial"/>
        </w:rPr>
      </w:pPr>
      <w:r w:rsidRPr="00F05339">
        <w:rPr>
          <w:rFonts w:ascii="Arial" w:hAnsi="Arial" w:cs="Arial"/>
        </w:rPr>
        <w:t xml:space="preserve">In addition, in 2019, the JU launched a pilot </w:t>
      </w:r>
      <w:r w:rsidRPr="00F05339">
        <w:rPr>
          <w:rFonts w:ascii="Arial" w:hAnsi="Arial" w:cs="Arial"/>
          <w:b/>
          <w:bCs/>
        </w:rPr>
        <w:t>PDA</w:t>
      </w:r>
      <w:r w:rsidRPr="00F05339">
        <w:rPr>
          <w:rStyle w:val="FootnoteReference"/>
          <w:rFonts w:ascii="Arial" w:hAnsi="Arial" w:cs="Arial"/>
          <w:b/>
          <w:bCs/>
        </w:rPr>
        <w:footnoteReference w:id="63"/>
      </w:r>
      <w:r w:rsidRPr="00F05339">
        <w:rPr>
          <w:rFonts w:ascii="Arial" w:hAnsi="Arial" w:cs="Arial"/>
        </w:rPr>
        <w:t xml:space="preserve"> facility to help develop detailed project planning in regions and cities with a lower maturity level, with a special focus on Central and Eastern Europe. The final report covering the results of the Project Development Assistance (PDA) initiative of this initiative was presented in a webinar on 19 October 2021</w:t>
      </w:r>
      <w:r w:rsidRPr="00F05339">
        <w:rPr>
          <w:rStyle w:val="FootnoteReference"/>
          <w:rFonts w:ascii="Arial" w:hAnsi="Arial" w:cs="Arial"/>
        </w:rPr>
        <w:footnoteReference w:id="64"/>
      </w:r>
      <w:r w:rsidRPr="00F05339">
        <w:rPr>
          <w:rFonts w:ascii="Arial" w:hAnsi="Arial" w:cs="Arial"/>
        </w:rPr>
        <w:t xml:space="preserve">, with the participation of some of the regions involved and the representatives of the European Commission and the European Investment Bank. The PDA initiative supported 11 selected regions to develop detailed work plans for the implementation of hydrogen projects and concluded in June 2021. The report contains summaries of the project plans and work undertaken in each of the selected regions, the activities delivered as part of the observer network, and the next steps after the end of the PDA support period. The pilot PDA for Hydrogen in regions sets the path for further such initiatives possibly targeting regions which are not yet involved in the development of hydrogen </w:t>
      </w:r>
      <w:proofErr w:type="gramStart"/>
      <w:r w:rsidRPr="00F05339">
        <w:rPr>
          <w:rFonts w:ascii="Arial" w:hAnsi="Arial" w:cs="Arial"/>
        </w:rPr>
        <w:t>projects</w:t>
      </w:r>
      <w:proofErr w:type="gramEnd"/>
      <w:r w:rsidRPr="00F05339">
        <w:rPr>
          <w:rFonts w:ascii="Arial" w:hAnsi="Arial" w:cs="Arial"/>
        </w:rPr>
        <w:t xml:space="preserve"> and which could make use of the encompassing advantages of hydrogen as a green energy carrier to ensure local, sustainable and integrated energy solutions. Its follow-up PDA was foreseen in the AWP2022, with a clear focus on Cohesion Countries, Outermost </w:t>
      </w:r>
      <w:proofErr w:type="gramStart"/>
      <w:r w:rsidRPr="00F05339">
        <w:rPr>
          <w:rFonts w:ascii="Arial" w:hAnsi="Arial" w:cs="Arial"/>
        </w:rPr>
        <w:t>Regions</w:t>
      </w:r>
      <w:proofErr w:type="gramEnd"/>
      <w:r w:rsidRPr="00F05339">
        <w:rPr>
          <w:rFonts w:ascii="Arial" w:hAnsi="Arial" w:cs="Arial"/>
        </w:rPr>
        <w:t xml:space="preserve"> and Islands. The tender was published in December and the awarding is expected in the Q1 2022. </w:t>
      </w:r>
    </w:p>
    <w:p w14:paraId="6F923CC0" w14:textId="77777777" w:rsidR="001A58B6" w:rsidRPr="00F05339" w:rsidRDefault="001A58B6" w:rsidP="001A58B6">
      <w:pPr>
        <w:jc w:val="both"/>
        <w:rPr>
          <w:rFonts w:ascii="Arial" w:hAnsi="Arial" w:cs="Arial"/>
        </w:rPr>
      </w:pPr>
      <w:r w:rsidRPr="00F05339">
        <w:rPr>
          <w:rFonts w:ascii="Arial" w:hAnsi="Arial" w:cs="Arial"/>
          <w:i/>
          <w:iCs/>
        </w:rPr>
        <w:lastRenderedPageBreak/>
        <w:t>Hydrogen valleys and ecosystems</w:t>
      </w:r>
      <w:r w:rsidRPr="00F05339">
        <w:rPr>
          <w:rFonts w:ascii="Arial" w:hAnsi="Arial" w:cs="Arial"/>
        </w:rPr>
        <w:t xml:space="preserve"> </w:t>
      </w:r>
    </w:p>
    <w:p w14:paraId="58318404" w14:textId="68647842" w:rsidR="001A58B6" w:rsidRPr="00F05339" w:rsidRDefault="001A58B6" w:rsidP="001A58B6">
      <w:pPr>
        <w:jc w:val="both"/>
        <w:rPr>
          <w:rFonts w:ascii="Arial" w:hAnsi="Arial" w:cs="Arial"/>
        </w:rPr>
      </w:pPr>
      <w:r w:rsidRPr="00F05339">
        <w:rPr>
          <w:rFonts w:ascii="Arial" w:hAnsi="Arial" w:cs="Arial"/>
        </w:rPr>
        <w:t xml:space="preserve">Building on projects developed since </w:t>
      </w:r>
      <w:r w:rsidR="00B52369">
        <w:rPr>
          <w:rFonts w:ascii="Arial" w:hAnsi="Arial" w:cs="Arial"/>
        </w:rPr>
        <w:t>the</w:t>
      </w:r>
      <w:r w:rsidR="00B52369" w:rsidRPr="00F05339">
        <w:rPr>
          <w:rFonts w:ascii="Arial" w:hAnsi="Arial" w:cs="Arial"/>
        </w:rPr>
        <w:t xml:space="preserve"> </w:t>
      </w:r>
      <w:r w:rsidRPr="00F05339">
        <w:rPr>
          <w:rFonts w:ascii="Arial" w:hAnsi="Arial" w:cs="Arial"/>
        </w:rPr>
        <w:t>AWP2015, the Hydrogen Valley concept has gained traction among our community. Projects like BIG HIT</w:t>
      </w:r>
      <w:r w:rsidRPr="00F05339">
        <w:rPr>
          <w:rStyle w:val="FootnoteReference"/>
          <w:rFonts w:ascii="Arial" w:hAnsi="Arial" w:cs="Arial"/>
        </w:rPr>
        <w:footnoteReference w:id="65"/>
      </w:r>
      <w:r w:rsidRPr="00F05339">
        <w:rPr>
          <w:rFonts w:ascii="Arial" w:hAnsi="Arial" w:cs="Arial"/>
        </w:rPr>
        <w:t xml:space="preserve"> (call 2015), HEAVENN</w:t>
      </w:r>
      <w:r w:rsidRPr="00F05339">
        <w:rPr>
          <w:rStyle w:val="FootnoteReference"/>
          <w:rFonts w:ascii="Arial" w:hAnsi="Arial" w:cs="Arial"/>
        </w:rPr>
        <w:footnoteReference w:id="66"/>
      </w:r>
      <w:r w:rsidRPr="00F05339">
        <w:rPr>
          <w:rFonts w:ascii="Arial" w:hAnsi="Arial" w:cs="Arial"/>
        </w:rPr>
        <w:t xml:space="preserve"> (call 2019) and GREEN HYSLAND</w:t>
      </w:r>
      <w:r w:rsidRPr="00F05339">
        <w:rPr>
          <w:rStyle w:val="FootnoteReference"/>
          <w:rFonts w:ascii="Arial" w:hAnsi="Arial" w:cs="Arial"/>
        </w:rPr>
        <w:footnoteReference w:id="67"/>
      </w:r>
      <w:r w:rsidRPr="00F05339">
        <w:rPr>
          <w:rFonts w:ascii="Arial" w:hAnsi="Arial" w:cs="Arial"/>
        </w:rPr>
        <w:t xml:space="preserve"> (call 2020) have become flagships of this concept. Hydrogen Valleys are another success of the JU policy feedback, with the EC backing the support of such projects until the hydrogen market becomes fully regulated in 2030 (see for example the Gas Decarbonisation package published in December and mentioned under the above sub-section on </w:t>
      </w:r>
      <w:r w:rsidRPr="00F05339">
        <w:rPr>
          <w:rFonts w:ascii="Arial" w:hAnsi="Arial" w:cs="Arial"/>
          <w:i/>
          <w:iCs/>
        </w:rPr>
        <w:t>Policy support and feedback</w:t>
      </w:r>
      <w:r w:rsidRPr="00F05339">
        <w:rPr>
          <w:rFonts w:ascii="Arial" w:hAnsi="Arial" w:cs="Arial"/>
        </w:rPr>
        <w:t xml:space="preserve">). </w:t>
      </w:r>
    </w:p>
    <w:p w14:paraId="7EA26770" w14:textId="77777777" w:rsidR="001A58B6" w:rsidRPr="00F05339" w:rsidRDefault="001A58B6" w:rsidP="001A58B6">
      <w:pPr>
        <w:jc w:val="both"/>
        <w:rPr>
          <w:rFonts w:ascii="Arial" w:hAnsi="Arial" w:cs="Arial"/>
        </w:rPr>
      </w:pPr>
      <w:r w:rsidRPr="00F05339">
        <w:rPr>
          <w:rFonts w:ascii="Arial" w:hAnsi="Arial" w:cs="Arial"/>
        </w:rPr>
        <w:t xml:space="preserve">In 2021, the JU released the </w:t>
      </w:r>
      <w:r w:rsidRPr="00F05339">
        <w:rPr>
          <w:rFonts w:ascii="Arial" w:hAnsi="Arial" w:cs="Arial"/>
          <w:b/>
          <w:bCs/>
        </w:rPr>
        <w:t>Hydrogen Valley Platform</w:t>
      </w:r>
      <w:r w:rsidRPr="00F05339">
        <w:rPr>
          <w:rStyle w:val="FootnoteReference"/>
          <w:rFonts w:ascii="Arial" w:hAnsi="Arial" w:cs="Arial"/>
          <w:b/>
          <w:bCs/>
        </w:rPr>
        <w:footnoteReference w:id="68"/>
      </w:r>
      <w:r w:rsidRPr="00F05339">
        <w:rPr>
          <w:rFonts w:ascii="Arial" w:hAnsi="Arial" w:cs="Arial"/>
        </w:rPr>
        <w:t xml:space="preserve"> under the umbrella of Mission Innovation’s ‘Renewable and Clean Hydrogen’ Innovation Challenge. The platform was launched publicly on 19 January 2021</w:t>
      </w:r>
      <w:r w:rsidRPr="00F05339">
        <w:rPr>
          <w:rStyle w:val="FootnoteReference"/>
          <w:rFonts w:ascii="Arial" w:hAnsi="Arial" w:cs="Arial"/>
        </w:rPr>
        <w:footnoteReference w:id="69"/>
      </w:r>
      <w:r w:rsidRPr="00F05339">
        <w:rPr>
          <w:rFonts w:ascii="Arial" w:hAnsi="Arial" w:cs="Arial"/>
        </w:rPr>
        <w:t xml:space="preserve">, gathering more than 1000 participants from across the world. The platform presents and connects the existing regional clusters with 36 hydrogen valleys from over 18 countries already featured. It is aimed primarily at project developers but is also raising awareness among policymakers and is intended to inspire others willing to replicate similar projects. The contract ended in May </w:t>
      </w:r>
      <w:proofErr w:type="gramStart"/>
      <w:r w:rsidRPr="00F05339">
        <w:rPr>
          <w:rFonts w:ascii="Arial" w:hAnsi="Arial" w:cs="Arial"/>
        </w:rPr>
        <w:t>2021</w:t>
      </w:r>
      <w:proofErr w:type="gramEnd"/>
      <w:r w:rsidRPr="00F05339">
        <w:rPr>
          <w:rFonts w:ascii="Arial" w:hAnsi="Arial" w:cs="Arial"/>
        </w:rPr>
        <w:t xml:space="preserve"> but a new tender has been launched (December 2021) to give continuity to it and contribute to the EC role under the renewed Mission Innovation 2.0</w:t>
      </w:r>
      <w:r w:rsidRPr="00F05339">
        <w:rPr>
          <w:rStyle w:val="FootnoteReference"/>
          <w:rFonts w:ascii="Arial" w:hAnsi="Arial" w:cs="Arial"/>
        </w:rPr>
        <w:footnoteReference w:id="70"/>
      </w:r>
      <w:r w:rsidRPr="00F05339">
        <w:rPr>
          <w:rFonts w:ascii="Arial" w:hAnsi="Arial" w:cs="Arial"/>
        </w:rPr>
        <w:t xml:space="preserve"> and more specifically, to its leadership of the second pillar – Hydrogen Valleys. The platform will be further updated, </w:t>
      </w:r>
      <w:proofErr w:type="gramStart"/>
      <w:r w:rsidRPr="00F05339">
        <w:rPr>
          <w:rFonts w:ascii="Arial" w:hAnsi="Arial" w:cs="Arial"/>
        </w:rPr>
        <w:t>developed</w:t>
      </w:r>
      <w:proofErr w:type="gramEnd"/>
      <w:r w:rsidRPr="00F05339">
        <w:rPr>
          <w:rFonts w:ascii="Arial" w:hAnsi="Arial" w:cs="Arial"/>
        </w:rPr>
        <w:t xml:space="preserve"> and enhanced to become a dynamic and interactive platform, contributing decisively to the Clean Hydrogen Mission objectives of reaching at least 100 Hydrogen Valleys by 2030 and at least three per Member of the Mission Innovation.  </w:t>
      </w:r>
    </w:p>
    <w:p w14:paraId="0E1BD98C" w14:textId="77777777" w:rsidR="001A58B6" w:rsidRPr="00F05339" w:rsidRDefault="001A58B6" w:rsidP="001A58B6">
      <w:pPr>
        <w:jc w:val="both"/>
        <w:rPr>
          <w:rFonts w:ascii="Arial" w:hAnsi="Arial" w:cs="Arial"/>
          <w:i/>
          <w:iCs/>
        </w:rPr>
      </w:pPr>
      <w:r w:rsidRPr="00F05339">
        <w:rPr>
          <w:rFonts w:ascii="Arial" w:hAnsi="Arial" w:cs="Arial"/>
          <w:i/>
          <w:iCs/>
        </w:rPr>
        <w:t xml:space="preserve">Synergies, </w:t>
      </w:r>
      <w:proofErr w:type="gramStart"/>
      <w:r w:rsidRPr="00F05339">
        <w:rPr>
          <w:rFonts w:ascii="Arial" w:hAnsi="Arial" w:cs="Arial"/>
          <w:i/>
          <w:iCs/>
        </w:rPr>
        <w:t>funding</w:t>
      </w:r>
      <w:proofErr w:type="gramEnd"/>
      <w:r w:rsidRPr="00F05339">
        <w:rPr>
          <w:rFonts w:ascii="Arial" w:hAnsi="Arial" w:cs="Arial"/>
          <w:i/>
          <w:iCs/>
        </w:rPr>
        <w:t xml:space="preserve"> and financial engineering </w:t>
      </w:r>
    </w:p>
    <w:p w14:paraId="5D757878" w14:textId="77777777" w:rsidR="001A58B6" w:rsidRPr="00F05339" w:rsidRDefault="001A58B6" w:rsidP="001A58B6">
      <w:pPr>
        <w:jc w:val="both"/>
        <w:rPr>
          <w:rFonts w:ascii="Arial" w:hAnsi="Arial" w:cs="Arial"/>
        </w:rPr>
      </w:pPr>
      <w:r w:rsidRPr="00F05339">
        <w:rPr>
          <w:rFonts w:ascii="Arial" w:hAnsi="Arial" w:cs="Arial"/>
        </w:rPr>
        <w:t xml:space="preserve">Despite the COVID-19 disruptions in face-to-face events and meetings that are essential for establishing trust between partners, in 2021, the JU activity on funding/financial engineering did not lose momentum. While the evolution of the EU strategy and policy framework gave further clarity and business certainty to investors and financiers alike, the various stimulus packages brought forward during the year, including the Innovation Fund, the Recovery and Resilience Facility and the Just Transition Fund, boosted the activity in terms of project development in Europe. The market introduction and acceleration of the deployment of technologies stemming from the JU projects is helping to further establish the JU in terms of a partner providing advice and support to prospective or past beneficiaries of JU projects. The goal is to support large project ideas to combine funding from various </w:t>
      </w:r>
      <w:proofErr w:type="gramStart"/>
      <w:r w:rsidRPr="00F05339">
        <w:rPr>
          <w:rFonts w:ascii="Arial" w:hAnsi="Arial" w:cs="Arial"/>
        </w:rPr>
        <w:t>programmes, and</w:t>
      </w:r>
      <w:proofErr w:type="gramEnd"/>
      <w:r w:rsidRPr="00F05339">
        <w:rPr>
          <w:rFonts w:ascii="Arial" w:hAnsi="Arial" w:cs="Arial"/>
        </w:rPr>
        <w:t xml:space="preserve"> optimise structured finance operations. </w:t>
      </w:r>
    </w:p>
    <w:p w14:paraId="7E9B7EAA" w14:textId="77777777" w:rsidR="001A58B6" w:rsidRPr="00F05339" w:rsidRDefault="001A58B6" w:rsidP="001A58B6">
      <w:pPr>
        <w:jc w:val="both"/>
        <w:rPr>
          <w:rFonts w:ascii="Arial" w:hAnsi="Arial" w:cs="Arial"/>
        </w:rPr>
      </w:pPr>
      <w:r w:rsidRPr="00F05339">
        <w:rPr>
          <w:rFonts w:ascii="Arial" w:hAnsi="Arial" w:cs="Arial"/>
        </w:rPr>
        <w:lastRenderedPageBreak/>
        <w:t xml:space="preserve">Furthermore, raising awareness among the banking and investor community has become a regular JU activity. This has taken place in various formats, namely in dedicated meetings and brainstorming with bank/investor/project developer teams in specific virtual presentations around the state of play of hydrogen-related activities and studies promoted by the JU. </w:t>
      </w:r>
    </w:p>
    <w:p w14:paraId="2E572F41" w14:textId="77777777" w:rsidR="001A58B6" w:rsidRPr="00F05339" w:rsidRDefault="001A58B6" w:rsidP="001A58B6">
      <w:pPr>
        <w:jc w:val="both"/>
        <w:rPr>
          <w:rFonts w:ascii="Arial" w:hAnsi="Arial" w:cs="Arial"/>
        </w:rPr>
      </w:pPr>
      <w:r w:rsidRPr="00F05339">
        <w:rPr>
          <w:rFonts w:ascii="Arial" w:hAnsi="Arial" w:cs="Arial"/>
        </w:rPr>
        <w:t xml:space="preserve">Strong cooperation is key to deal with bigger yet fragmented EU Funds to meet the EU Green Deal ambition. New challenges emerge when hydrogen projects evolve and grow from R&amp;D&amp;I to large demos and full market deployment. An important element supporting the implementation of the European hydrogen strategy is the reinforcement of synergies among European funding instruments and actions to close the innovation gap in Europe. Synergies are needed pull together resources, align priorities and ultimately maximise the impact of clean hydrogen R&amp;I investments. In view of the prominent role synergies play in the 2021-2027 Multi-annual Financial Framework, 2021 was the year in which the seeds for effective cooperation between different EU funds gained decisive momentum. In preparation of the call 2022 and the SRIA of the Clean Hydrogen JU, discussions were held with all members of the Joint Undertaking, </w:t>
      </w:r>
      <w:proofErr w:type="gramStart"/>
      <w:r w:rsidRPr="00F05339">
        <w:rPr>
          <w:rFonts w:ascii="Arial" w:hAnsi="Arial" w:cs="Arial"/>
        </w:rPr>
        <w:t>i.e.</w:t>
      </w:r>
      <w:proofErr w:type="gramEnd"/>
      <w:r w:rsidRPr="00F05339">
        <w:rPr>
          <w:rFonts w:ascii="Arial" w:hAnsi="Arial" w:cs="Arial"/>
        </w:rPr>
        <w:t xml:space="preserve"> the EC, Hydrogen Europe and Hydrogen Europe Research but also other European partnerships which will use clean hydrogen as an enabler of the decarbonisation of their specific sectors and even with Member States and Regions. Building on the mandate provided in the Single Basic Act, the SRIA</w:t>
      </w:r>
      <w:r w:rsidRPr="00F05339">
        <w:rPr>
          <w:rStyle w:val="FootnoteReference"/>
          <w:rFonts w:ascii="Arial" w:hAnsi="Arial" w:cs="Arial"/>
        </w:rPr>
        <w:footnoteReference w:id="71"/>
      </w:r>
      <w:r w:rsidRPr="00F05339">
        <w:rPr>
          <w:rFonts w:ascii="Arial" w:hAnsi="Arial" w:cs="Arial"/>
        </w:rPr>
        <w:t xml:space="preserve"> that was adopted on 25 February 2022 properly frames these activities (see </w:t>
      </w:r>
      <w:r w:rsidRPr="00F05339">
        <w:rPr>
          <w:rFonts w:ascii="Arial" w:hAnsi="Arial" w:cs="Arial"/>
          <w:i/>
          <w:iCs/>
        </w:rPr>
        <w:t>4.1. Interface with EU policies and other programmes (Synergies)</w:t>
      </w:r>
      <w:r w:rsidRPr="00F05339">
        <w:rPr>
          <w:rFonts w:ascii="Arial" w:hAnsi="Arial" w:cs="Arial"/>
        </w:rPr>
        <w:t xml:space="preserve">). A toolbox to generate funding synergies was identified and cooperation mechanisms to deliver synergies between different stakeholders was established, also using the advisory bodies of the newly created Clean Hydrogen JU (see </w:t>
      </w:r>
      <w:r w:rsidRPr="00F05339">
        <w:rPr>
          <w:rFonts w:ascii="Arial" w:hAnsi="Arial" w:cs="Arial"/>
          <w:i/>
          <w:iCs/>
        </w:rPr>
        <w:t>3.3 STATE REPRESENTATIVES GROUP</w:t>
      </w:r>
      <w:r w:rsidRPr="00F05339">
        <w:rPr>
          <w:rFonts w:ascii="Arial" w:hAnsi="Arial" w:cs="Arial"/>
        </w:rPr>
        <w:t xml:space="preserve"> and </w:t>
      </w:r>
      <w:r w:rsidRPr="00F05339">
        <w:rPr>
          <w:rFonts w:ascii="Arial" w:hAnsi="Arial" w:cs="Arial"/>
          <w:i/>
          <w:iCs/>
        </w:rPr>
        <w:t>3.4 STAKEHOLDERS GROUP</w:t>
      </w:r>
      <w:r w:rsidRPr="00F05339">
        <w:rPr>
          <w:rFonts w:ascii="Arial" w:hAnsi="Arial" w:cs="Arial"/>
        </w:rPr>
        <w:t xml:space="preserve"> below for more detail on the advisory bodies of the JU). </w:t>
      </w:r>
    </w:p>
    <w:p w14:paraId="7CA1155F" w14:textId="77777777" w:rsidR="009519B8" w:rsidRPr="00F05339" w:rsidRDefault="009519B8" w:rsidP="002672A0">
      <w:pPr>
        <w:pStyle w:val="Heading3"/>
        <w:numPr>
          <w:ilvl w:val="2"/>
          <w:numId w:val="22"/>
        </w:numPr>
        <w:tabs>
          <w:tab w:val="num" w:pos="360"/>
        </w:tabs>
        <w:ind w:left="0" w:firstLine="0"/>
        <w:rPr>
          <w:rFonts w:ascii="Arial" w:hAnsi="Arial" w:cs="Arial"/>
        </w:rPr>
      </w:pPr>
      <w:bookmarkStart w:id="118" w:name="_Toc1656553"/>
      <w:bookmarkStart w:id="119" w:name="_Toc1731125"/>
      <w:bookmarkStart w:id="120" w:name="_Toc98496340"/>
      <w:bookmarkStart w:id="121" w:name="_Toc101516063"/>
      <w:r w:rsidRPr="00F05339">
        <w:rPr>
          <w:rFonts w:ascii="Arial" w:hAnsi="Arial" w:cs="Arial"/>
        </w:rPr>
        <w:t>International cooperation</w:t>
      </w:r>
      <w:bookmarkEnd w:id="118"/>
      <w:bookmarkEnd w:id="119"/>
      <w:bookmarkEnd w:id="120"/>
      <w:bookmarkEnd w:id="121"/>
    </w:p>
    <w:p w14:paraId="38345B19" w14:textId="18B8B7A5" w:rsidR="009519B8" w:rsidRPr="00F05339" w:rsidRDefault="009519B8" w:rsidP="009519B8">
      <w:pPr>
        <w:spacing w:after="0" w:line="240" w:lineRule="auto"/>
        <w:jc w:val="both"/>
        <w:rPr>
          <w:rFonts w:ascii="Arial" w:hAnsi="Arial" w:cs="Arial"/>
        </w:rPr>
      </w:pPr>
      <w:r w:rsidRPr="00F05339">
        <w:rPr>
          <w:rFonts w:ascii="Arial" w:hAnsi="Arial" w:cs="Arial"/>
        </w:rPr>
        <w:t>Given the importance of international cooperation in science and technology, explicitly recognised in the EU’s Innovation Union flagship initiative</w:t>
      </w:r>
      <w:r w:rsidRPr="00F05339">
        <w:rPr>
          <w:rStyle w:val="FootnoteReference"/>
          <w:rFonts w:ascii="Arial" w:hAnsi="Arial" w:cs="Arial"/>
        </w:rPr>
        <w:footnoteReference w:id="72"/>
      </w:r>
      <w:r w:rsidRPr="00F05339">
        <w:rPr>
          <w:rFonts w:ascii="Arial" w:hAnsi="Arial" w:cs="Arial"/>
        </w:rPr>
        <w:t xml:space="preserve"> and the H2020 </w:t>
      </w:r>
      <w:proofErr w:type="gramStart"/>
      <w:r w:rsidRPr="00F05339">
        <w:rPr>
          <w:rFonts w:ascii="Arial" w:hAnsi="Arial" w:cs="Arial"/>
        </w:rPr>
        <w:t>programme, and</w:t>
      </w:r>
      <w:proofErr w:type="gramEnd"/>
      <w:r w:rsidRPr="00F05339">
        <w:rPr>
          <w:rFonts w:ascii="Arial" w:hAnsi="Arial" w:cs="Arial"/>
        </w:rPr>
        <w:t xml:space="preserve"> described in the Communication ‘Enhancing and focusing EU international cooperation in research and innovation: a strategic approach’</w:t>
      </w:r>
      <w:r w:rsidRPr="00F05339">
        <w:rPr>
          <w:rStyle w:val="FootnoteReference"/>
          <w:rFonts w:ascii="Arial" w:hAnsi="Arial" w:cs="Arial"/>
        </w:rPr>
        <w:footnoteReference w:id="73"/>
      </w:r>
      <w:r w:rsidRPr="00F05339">
        <w:rPr>
          <w:rFonts w:ascii="Arial" w:hAnsi="Arial" w:cs="Arial"/>
        </w:rPr>
        <w:t xml:space="preserve">, the JU has continued to be active at the international level in order to align with, facilitate and accelerate the worldwide market introduction of FCH technologies. </w:t>
      </w:r>
    </w:p>
    <w:p w14:paraId="4B979557" w14:textId="77777777" w:rsidR="009519B8" w:rsidRPr="00F05339" w:rsidRDefault="009519B8" w:rsidP="009519B8">
      <w:pPr>
        <w:spacing w:after="0" w:line="240" w:lineRule="auto"/>
        <w:jc w:val="both"/>
        <w:rPr>
          <w:rFonts w:ascii="Arial" w:hAnsi="Arial" w:cs="Arial"/>
        </w:rPr>
      </w:pPr>
    </w:p>
    <w:p w14:paraId="39FF97DA" w14:textId="016A015F" w:rsidR="004B3F2A" w:rsidRPr="00F05339" w:rsidRDefault="009519B8" w:rsidP="004B3F2A">
      <w:pPr>
        <w:spacing w:after="0" w:line="240" w:lineRule="auto"/>
        <w:jc w:val="both"/>
        <w:rPr>
          <w:rFonts w:ascii="Arial" w:hAnsi="Arial" w:cs="Arial"/>
        </w:rPr>
      </w:pPr>
      <w:r w:rsidRPr="00F05339">
        <w:rPr>
          <w:rFonts w:ascii="Arial" w:hAnsi="Arial" w:cs="Arial"/>
        </w:rPr>
        <w:t>As the deployment of FCH technology is carried out globally and key partners of the JU are involved in these developments, the JU has continued to develop links with the major deployment programmes globally</w:t>
      </w:r>
      <w:r w:rsidR="004B3F2A" w:rsidRPr="00F05339">
        <w:rPr>
          <w:rFonts w:ascii="Arial" w:hAnsi="Arial" w:cs="Arial"/>
        </w:rPr>
        <w:t xml:space="preserve">, </w:t>
      </w:r>
      <w:r w:rsidRPr="00F05339">
        <w:rPr>
          <w:rFonts w:ascii="Arial" w:hAnsi="Arial" w:cs="Arial"/>
        </w:rPr>
        <w:t xml:space="preserve">mainly through the IPHE but also through the </w:t>
      </w:r>
      <w:r w:rsidRPr="00F05339">
        <w:rPr>
          <w:rFonts w:ascii="Arial" w:hAnsi="Arial" w:cs="Arial"/>
          <w:iCs/>
        </w:rPr>
        <w:t>Mission Innovation’s Innovation Challenge 8: Renewable and Clean Hydrogen</w:t>
      </w:r>
      <w:r w:rsidRPr="00F05339">
        <w:rPr>
          <w:rStyle w:val="FootnoteReference"/>
          <w:rFonts w:ascii="Arial" w:hAnsi="Arial" w:cs="Arial"/>
          <w:iCs/>
        </w:rPr>
        <w:footnoteReference w:id="74"/>
      </w:r>
      <w:r w:rsidRPr="00F05339">
        <w:rPr>
          <w:rFonts w:ascii="Arial" w:hAnsi="Arial" w:cs="Arial"/>
          <w:iCs/>
        </w:rPr>
        <w:t xml:space="preserve"> (MI-IC8)</w:t>
      </w:r>
      <w:r w:rsidRPr="00F05339">
        <w:rPr>
          <w:rFonts w:ascii="Arial" w:hAnsi="Arial" w:cs="Arial"/>
          <w:i/>
        </w:rPr>
        <w:t xml:space="preserve"> </w:t>
      </w:r>
      <w:r w:rsidRPr="00F05339">
        <w:rPr>
          <w:rFonts w:ascii="Arial" w:hAnsi="Arial" w:cs="Arial"/>
        </w:rPr>
        <w:t xml:space="preserve">to harmonise standards and regulations and to accelerate market preparation. </w:t>
      </w:r>
    </w:p>
    <w:p w14:paraId="3037F4A6" w14:textId="77777777" w:rsidR="003D36A5" w:rsidRPr="00F05339" w:rsidRDefault="003D36A5" w:rsidP="004B3F2A">
      <w:pPr>
        <w:spacing w:after="0" w:line="240" w:lineRule="auto"/>
        <w:jc w:val="both"/>
        <w:rPr>
          <w:rFonts w:ascii="Arial" w:hAnsi="Arial" w:cs="Arial"/>
        </w:rPr>
      </w:pPr>
    </w:p>
    <w:p w14:paraId="36350FB8" w14:textId="355AE871" w:rsidR="003D36A5" w:rsidRPr="00F05339" w:rsidRDefault="003D36A5" w:rsidP="003D36A5">
      <w:pPr>
        <w:jc w:val="both"/>
        <w:rPr>
          <w:rFonts w:ascii="Arial" w:hAnsi="Arial" w:cs="Arial"/>
        </w:rPr>
      </w:pPr>
      <w:r w:rsidRPr="00F05339">
        <w:rPr>
          <w:rFonts w:ascii="Arial" w:hAnsi="Arial" w:cs="Arial"/>
        </w:rPr>
        <w:t xml:space="preserve">In this respect, the JU continued its straight collaboration with EC representatives on the MI2.0 - Clean Hydrogen Mission and, during 2021, developed a Hydrogen Valley Platform under the umbrella of Mission Innovation’s Renewable and Clean Hydrogen Innovation Challenge. As mentioned in Section </w:t>
      </w:r>
      <w:r w:rsidRPr="00F05339">
        <w:rPr>
          <w:rFonts w:ascii="Arial" w:hAnsi="Arial" w:cs="Arial"/>
          <w:i/>
          <w:iCs/>
        </w:rPr>
        <w:t>1.2.6 Hydrogen valleys and ecosystems</w:t>
      </w:r>
      <w:r w:rsidRPr="00F05339">
        <w:rPr>
          <w:rFonts w:ascii="Arial" w:hAnsi="Arial" w:cs="Arial"/>
        </w:rPr>
        <w:t xml:space="preserve">, the platform was publicly </w:t>
      </w:r>
      <w:r w:rsidRPr="00F05339">
        <w:rPr>
          <w:rFonts w:ascii="Arial" w:hAnsi="Arial" w:cs="Arial"/>
        </w:rPr>
        <w:lastRenderedPageBreak/>
        <w:t>launched on 19 January 2021</w:t>
      </w:r>
      <w:r w:rsidRPr="00F05339">
        <w:rPr>
          <w:rStyle w:val="FootnoteReference"/>
          <w:rFonts w:ascii="Arial" w:hAnsi="Arial" w:cs="Arial"/>
        </w:rPr>
        <w:footnoteReference w:id="75"/>
      </w:r>
      <w:r w:rsidRPr="00F05339">
        <w:rPr>
          <w:rFonts w:ascii="Arial" w:hAnsi="Arial" w:cs="Arial"/>
        </w:rPr>
        <w:t xml:space="preserve"> and gathered more than 1000 participants from across the world. It presents and connects the existing regional clusters, with 36 hydrogen valleys from over 18 countries already featured. It is aimed primarily at project developers but is also raising awareness among policymakers and is intended to inspire others willing to replicate similar projects. A new contract to further developed the successful Hydrogen Valley Platform shall be awarded in the first half of 2022. </w:t>
      </w:r>
    </w:p>
    <w:p w14:paraId="432CC0F8" w14:textId="5AC3577A" w:rsidR="004B3F2A" w:rsidRPr="00F05339" w:rsidRDefault="009519B8" w:rsidP="009608A8">
      <w:pPr>
        <w:jc w:val="both"/>
        <w:rPr>
          <w:rFonts w:ascii="Arial" w:hAnsi="Arial" w:cs="Arial"/>
        </w:rPr>
      </w:pPr>
      <w:r w:rsidRPr="00F05339">
        <w:rPr>
          <w:rFonts w:ascii="Arial" w:hAnsi="Arial" w:cs="Arial"/>
        </w:rPr>
        <w:t xml:space="preserve">In support of the JRC, the JU continued to contribute to the activities of the IEA Hydrogen Technology Collaboration Programme executive committee to optimise and share the effort. In particular, it </w:t>
      </w:r>
      <w:r w:rsidR="008C7EFA" w:rsidRPr="00F05339">
        <w:rPr>
          <w:rFonts w:ascii="Arial" w:hAnsi="Arial" w:cs="Arial"/>
        </w:rPr>
        <w:t>completed its contribution towards t</w:t>
      </w:r>
      <w:r w:rsidRPr="00F05339">
        <w:rPr>
          <w:rFonts w:ascii="Arial" w:hAnsi="Arial" w:cs="Arial"/>
        </w:rPr>
        <w:t>he IEA tasks related to Power-to-X (task 38)</w:t>
      </w:r>
      <w:r w:rsidR="008C7EFA" w:rsidRPr="00F05339">
        <w:rPr>
          <w:rFonts w:ascii="Arial" w:hAnsi="Arial" w:cs="Arial"/>
        </w:rPr>
        <w:t xml:space="preserve"> </w:t>
      </w:r>
      <w:proofErr w:type="gramStart"/>
      <w:r w:rsidR="008C7EFA" w:rsidRPr="00F05339">
        <w:rPr>
          <w:rFonts w:ascii="Arial" w:hAnsi="Arial" w:cs="Arial"/>
        </w:rPr>
        <w:t xml:space="preserve">and </w:t>
      </w:r>
      <w:r w:rsidRPr="00F05339">
        <w:rPr>
          <w:rFonts w:ascii="Arial" w:hAnsi="Arial" w:cs="Arial"/>
        </w:rPr>
        <w:t xml:space="preserve"> Maritime</w:t>
      </w:r>
      <w:proofErr w:type="gramEnd"/>
      <w:r w:rsidRPr="00F05339">
        <w:rPr>
          <w:rFonts w:ascii="Arial" w:hAnsi="Arial" w:cs="Arial"/>
        </w:rPr>
        <w:t xml:space="preserve"> Applications (task 39), </w:t>
      </w:r>
      <w:r w:rsidR="008C7EFA" w:rsidRPr="00F05339">
        <w:rPr>
          <w:rFonts w:ascii="Arial" w:hAnsi="Arial" w:cs="Arial"/>
        </w:rPr>
        <w:t xml:space="preserve">while it continued its contribution towards </w:t>
      </w:r>
      <w:r w:rsidRPr="00F05339">
        <w:rPr>
          <w:rFonts w:ascii="Arial" w:hAnsi="Arial" w:cs="Arial"/>
        </w:rPr>
        <w:t>Data and Modelling</w:t>
      </w:r>
      <w:r w:rsidRPr="009608A8">
        <w:footnoteReference w:id="76"/>
      </w:r>
      <w:r w:rsidRPr="00F05339">
        <w:rPr>
          <w:rFonts w:ascii="Arial" w:hAnsi="Arial" w:cs="Arial"/>
        </w:rPr>
        <w:t xml:space="preserve"> (task 41).</w:t>
      </w:r>
      <w:r w:rsidR="008C7EFA" w:rsidRPr="00F05339">
        <w:rPr>
          <w:rFonts w:ascii="Arial" w:hAnsi="Arial" w:cs="Arial"/>
        </w:rPr>
        <w:t xml:space="preserve"> </w:t>
      </w:r>
      <w:proofErr w:type="gramStart"/>
      <w:r w:rsidR="008C7EFA" w:rsidRPr="00F05339">
        <w:rPr>
          <w:rFonts w:ascii="Arial" w:hAnsi="Arial" w:cs="Arial"/>
        </w:rPr>
        <w:t>Moreover</w:t>
      </w:r>
      <w:proofErr w:type="gramEnd"/>
      <w:r w:rsidR="008C7EFA" w:rsidRPr="00F05339">
        <w:rPr>
          <w:rFonts w:ascii="Arial" w:hAnsi="Arial" w:cs="Arial"/>
        </w:rPr>
        <w:t xml:space="preserve"> it agreed to support JRC in the </w:t>
      </w:r>
      <w:r w:rsidR="004B3F2A" w:rsidRPr="00F05339">
        <w:rPr>
          <w:rFonts w:ascii="Arial" w:hAnsi="Arial" w:cs="Arial"/>
        </w:rPr>
        <w:t>working-groups on ‘Renewable Hydrogen’, ‘Hydrogen Underground Storage’</w:t>
      </w:r>
      <w:r w:rsidR="008C7EFA" w:rsidRPr="00F05339">
        <w:rPr>
          <w:rFonts w:ascii="Arial" w:hAnsi="Arial" w:cs="Arial"/>
        </w:rPr>
        <w:t xml:space="preserve"> and</w:t>
      </w:r>
      <w:r w:rsidR="004B3F2A" w:rsidRPr="00F05339">
        <w:rPr>
          <w:rFonts w:ascii="Arial" w:hAnsi="Arial" w:cs="Arial"/>
        </w:rPr>
        <w:t xml:space="preserve"> ‘Hydrogen Export Value Chains’.</w:t>
      </w:r>
    </w:p>
    <w:p w14:paraId="0D1C8BAC" w14:textId="3D418E6E" w:rsidR="009A0E8B" w:rsidRPr="00F05339" w:rsidRDefault="000707F2" w:rsidP="00864737">
      <w:pPr>
        <w:pStyle w:val="Heading3"/>
        <w:numPr>
          <w:ilvl w:val="1"/>
          <w:numId w:val="1"/>
        </w:numPr>
        <w:jc w:val="both"/>
        <w:rPr>
          <w:rFonts w:ascii="Arial" w:hAnsi="Arial" w:cs="Arial"/>
        </w:rPr>
      </w:pPr>
      <w:bookmarkStart w:id="122" w:name="_Toc98496341"/>
      <w:bookmarkStart w:id="123" w:name="_Toc101516064"/>
      <w:r w:rsidRPr="00F05339">
        <w:rPr>
          <w:rFonts w:ascii="Arial" w:hAnsi="Arial" w:cs="Arial"/>
        </w:rPr>
        <w:t>Calls for proposals</w:t>
      </w:r>
      <w:r w:rsidR="00987765" w:rsidRPr="00F05339">
        <w:rPr>
          <w:rFonts w:ascii="Arial" w:hAnsi="Arial" w:cs="Arial"/>
        </w:rPr>
        <w:t xml:space="preserve"> and grant information</w:t>
      </w:r>
      <w:bookmarkEnd w:id="122"/>
      <w:bookmarkEnd w:id="123"/>
    </w:p>
    <w:p w14:paraId="1B26FD62" w14:textId="518185EA" w:rsidR="00E33CC7" w:rsidRPr="00BB4A45" w:rsidRDefault="00A66EC9" w:rsidP="00BB4A45">
      <w:pPr>
        <w:rPr>
          <w:rFonts w:ascii="Arial" w:hAnsi="Arial" w:cs="Arial"/>
          <w:b/>
          <w:bCs/>
          <w:color w:val="00B0F0"/>
          <w:sz w:val="24"/>
          <w:szCs w:val="24"/>
        </w:rPr>
      </w:pPr>
      <w:bookmarkStart w:id="124" w:name="_Toc98496342"/>
      <w:r w:rsidRPr="00BB4A45">
        <w:rPr>
          <w:rFonts w:ascii="Arial" w:hAnsi="Arial" w:cs="Arial"/>
          <w:color w:val="00B0F0"/>
          <w:sz w:val="24"/>
          <w:szCs w:val="24"/>
        </w:rPr>
        <w:t>2020 Call</w:t>
      </w:r>
      <w:bookmarkEnd w:id="124"/>
    </w:p>
    <w:p w14:paraId="7DF2E3F2" w14:textId="4DA5C998" w:rsidR="00E95A8E" w:rsidRPr="00F05339" w:rsidRDefault="00A66EC9" w:rsidP="00A66EC9">
      <w:pPr>
        <w:rPr>
          <w:rFonts w:ascii="Arial" w:hAnsi="Arial" w:cs="Arial"/>
        </w:rPr>
      </w:pPr>
      <w:r w:rsidRPr="00F05339">
        <w:rPr>
          <w:rFonts w:ascii="Arial" w:hAnsi="Arial" w:cs="Arial"/>
        </w:rPr>
        <w:t>In the AAR 20</w:t>
      </w:r>
      <w:r w:rsidR="00E95A8E" w:rsidRPr="00F05339">
        <w:rPr>
          <w:rFonts w:ascii="Arial" w:hAnsi="Arial" w:cs="Arial"/>
        </w:rPr>
        <w:t>20</w:t>
      </w:r>
      <w:r w:rsidRPr="00F05339">
        <w:rPr>
          <w:rFonts w:ascii="Arial" w:hAnsi="Arial" w:cs="Arial"/>
        </w:rPr>
        <w:t>,</w:t>
      </w:r>
      <w:r w:rsidR="00E95A8E" w:rsidRPr="00F05339">
        <w:rPr>
          <w:rFonts w:ascii="Arial" w:hAnsi="Arial" w:cs="Arial"/>
        </w:rPr>
        <w:t xml:space="preserve"> one </w:t>
      </w:r>
      <w:r w:rsidRPr="00F05339">
        <w:rPr>
          <w:rFonts w:ascii="Arial" w:hAnsi="Arial" w:cs="Arial"/>
        </w:rPr>
        <w:t>grants agreement (GA) w</w:t>
      </w:r>
      <w:r w:rsidR="00B32463">
        <w:rPr>
          <w:rFonts w:ascii="Arial" w:hAnsi="Arial" w:cs="Arial"/>
        </w:rPr>
        <w:t>as</w:t>
      </w:r>
      <w:r w:rsidRPr="00F05339">
        <w:rPr>
          <w:rFonts w:ascii="Arial" w:hAnsi="Arial" w:cs="Arial"/>
        </w:rPr>
        <w:t xml:space="preserve"> indicated as ongoing</w:t>
      </w:r>
      <w:r w:rsidR="00E95A8E" w:rsidRPr="00F05339">
        <w:rPr>
          <w:rFonts w:ascii="Arial" w:hAnsi="Arial" w:cs="Arial"/>
        </w:rPr>
        <w:t xml:space="preserve"> because it requested an extension of the TTG deadline, due to exceptional circumstances: </w:t>
      </w:r>
    </w:p>
    <w:p w14:paraId="5A21A327" w14:textId="114B4A81" w:rsidR="00E95A8E" w:rsidRPr="00F05339" w:rsidRDefault="00E95A8E" w:rsidP="002672A0">
      <w:pPr>
        <w:pStyle w:val="ListParagraph"/>
        <w:numPr>
          <w:ilvl w:val="0"/>
          <w:numId w:val="7"/>
        </w:numPr>
        <w:rPr>
          <w:rFonts w:ascii="Arial" w:hAnsi="Arial" w:cs="Arial"/>
        </w:rPr>
      </w:pPr>
      <w:r w:rsidRPr="00F05339">
        <w:rPr>
          <w:rFonts w:ascii="Arial" w:hAnsi="Arial" w:cs="Arial"/>
        </w:rPr>
        <w:t>101007108 MegaSyn: the GA was signed on 2</w:t>
      </w:r>
      <w:r w:rsidRPr="00F05339">
        <w:rPr>
          <w:rFonts w:ascii="Arial" w:hAnsi="Arial" w:cs="Arial"/>
          <w:vertAlign w:val="superscript"/>
        </w:rPr>
        <w:t>nd</w:t>
      </w:r>
      <w:r w:rsidRPr="00F05339">
        <w:rPr>
          <w:rFonts w:ascii="Arial" w:hAnsi="Arial" w:cs="Arial"/>
        </w:rPr>
        <w:t xml:space="preserve"> March 2021</w:t>
      </w:r>
    </w:p>
    <w:p w14:paraId="15860C7E" w14:textId="4219E7DE" w:rsidR="00613FC8" w:rsidRPr="00B32463" w:rsidRDefault="00613FC8" w:rsidP="00613FC8">
      <w:pPr>
        <w:autoSpaceDE w:val="0"/>
        <w:autoSpaceDN w:val="0"/>
        <w:adjustRightInd w:val="0"/>
        <w:spacing w:after="0" w:line="240" w:lineRule="auto"/>
        <w:rPr>
          <w:rFonts w:ascii="Arial" w:hAnsi="Arial" w:cs="Arial"/>
        </w:rPr>
      </w:pPr>
      <w:r w:rsidRPr="00B32463">
        <w:rPr>
          <w:rFonts w:ascii="Arial" w:hAnsi="Arial" w:cs="Arial"/>
        </w:rPr>
        <w:t>Moreover</w:t>
      </w:r>
      <w:r w:rsidR="00E95A8E" w:rsidRPr="00B32463">
        <w:rPr>
          <w:rFonts w:ascii="Arial" w:hAnsi="Arial" w:cs="Arial"/>
        </w:rPr>
        <w:t xml:space="preserve">, </w:t>
      </w:r>
      <w:r w:rsidRPr="00B32463">
        <w:rPr>
          <w:rFonts w:ascii="Arial" w:hAnsi="Arial" w:cs="Arial"/>
          <w:lang w:eastAsia="en-GB"/>
        </w:rPr>
        <w:t>budget became available in addition to the</w:t>
      </w:r>
      <w:r w:rsidRPr="00B32463">
        <w:rPr>
          <w:rFonts w:ascii="Arial" w:hAnsi="Arial" w:cs="Arial"/>
          <w:b/>
          <w:bCs/>
          <w:lang w:eastAsia="en-GB"/>
        </w:rPr>
        <w:t xml:space="preserve"> leftover call budget </w:t>
      </w:r>
      <w:r w:rsidRPr="00B32463">
        <w:rPr>
          <w:rFonts w:ascii="Arial" w:hAnsi="Arial" w:cs="Arial"/>
          <w:lang w:eastAsia="en-GB"/>
        </w:rPr>
        <w:t xml:space="preserve">(see AWP2020 / 3.3 Call management rules – budget flexibility). Therefore, two proposals from the reserve lists have been promoted to main list. Thus, </w:t>
      </w:r>
      <w:r w:rsidRPr="00B32463">
        <w:rPr>
          <w:rFonts w:ascii="Arial" w:hAnsi="Arial" w:cs="Arial"/>
        </w:rPr>
        <w:t xml:space="preserve">two additional </w:t>
      </w:r>
      <w:proofErr w:type="gramStart"/>
      <w:r w:rsidR="00E95A8E" w:rsidRPr="00B32463">
        <w:rPr>
          <w:rFonts w:ascii="Arial" w:hAnsi="Arial" w:cs="Arial"/>
        </w:rPr>
        <w:t>GAs</w:t>
      </w:r>
      <w:proofErr w:type="gramEnd"/>
      <w:r w:rsidR="00E95A8E" w:rsidRPr="00B32463">
        <w:rPr>
          <w:rFonts w:ascii="Arial" w:hAnsi="Arial" w:cs="Arial"/>
        </w:rPr>
        <w:t xml:space="preserve"> </w:t>
      </w:r>
      <w:r w:rsidRPr="00B32463">
        <w:rPr>
          <w:rFonts w:ascii="Arial" w:hAnsi="Arial" w:cs="Arial"/>
        </w:rPr>
        <w:t xml:space="preserve">from call 2020 </w:t>
      </w:r>
      <w:r w:rsidR="00E95A8E" w:rsidRPr="00B32463">
        <w:rPr>
          <w:rFonts w:ascii="Arial" w:hAnsi="Arial" w:cs="Arial"/>
        </w:rPr>
        <w:t xml:space="preserve">have been </w:t>
      </w:r>
      <w:r w:rsidRPr="00B32463">
        <w:rPr>
          <w:rFonts w:ascii="Arial" w:hAnsi="Arial" w:cs="Arial"/>
        </w:rPr>
        <w:t xml:space="preserve">signed in 2021: </w:t>
      </w:r>
    </w:p>
    <w:p w14:paraId="469421EC" w14:textId="7A858049" w:rsidR="00613FC8" w:rsidRPr="00F05339" w:rsidRDefault="00613FC8" w:rsidP="002672A0">
      <w:pPr>
        <w:pStyle w:val="ListParagraph"/>
        <w:numPr>
          <w:ilvl w:val="0"/>
          <w:numId w:val="7"/>
        </w:numPr>
        <w:autoSpaceDE w:val="0"/>
        <w:autoSpaceDN w:val="0"/>
        <w:adjustRightInd w:val="0"/>
        <w:spacing w:after="0" w:line="240" w:lineRule="auto"/>
        <w:rPr>
          <w:rFonts w:ascii="Arial" w:hAnsi="Arial" w:cs="Arial"/>
        </w:rPr>
      </w:pPr>
      <w:r w:rsidRPr="00F05339">
        <w:rPr>
          <w:rFonts w:ascii="Arial" w:hAnsi="Arial" w:cs="Arial"/>
        </w:rPr>
        <w:t>101006632 – HyUsPRe: the GA was signed on 7</w:t>
      </w:r>
      <w:r w:rsidRPr="00F05339">
        <w:rPr>
          <w:rFonts w:ascii="Arial" w:hAnsi="Arial" w:cs="Arial"/>
          <w:vertAlign w:val="superscript"/>
        </w:rPr>
        <w:t>th</w:t>
      </w:r>
      <w:r w:rsidRPr="00F05339">
        <w:rPr>
          <w:rFonts w:ascii="Arial" w:hAnsi="Arial" w:cs="Arial"/>
        </w:rPr>
        <w:t xml:space="preserve"> July 2021</w:t>
      </w:r>
    </w:p>
    <w:p w14:paraId="5CE06423" w14:textId="0EE22534" w:rsidR="00613FC8" w:rsidRPr="00F05339" w:rsidRDefault="00613FC8" w:rsidP="002672A0">
      <w:pPr>
        <w:pStyle w:val="ListParagraph"/>
        <w:numPr>
          <w:ilvl w:val="0"/>
          <w:numId w:val="7"/>
        </w:numPr>
        <w:autoSpaceDE w:val="0"/>
        <w:autoSpaceDN w:val="0"/>
        <w:adjustRightInd w:val="0"/>
        <w:spacing w:after="0" w:line="240" w:lineRule="auto"/>
        <w:rPr>
          <w:rFonts w:ascii="Arial" w:hAnsi="Arial" w:cs="Arial"/>
        </w:rPr>
      </w:pPr>
      <w:r w:rsidRPr="00F05339">
        <w:rPr>
          <w:rFonts w:ascii="Arial" w:hAnsi="Arial" w:cs="Arial"/>
        </w:rPr>
        <w:t>101007170 - MORELife: the GA was signed on 17</w:t>
      </w:r>
      <w:r w:rsidRPr="00F05339">
        <w:rPr>
          <w:rFonts w:ascii="Arial" w:hAnsi="Arial" w:cs="Arial"/>
          <w:vertAlign w:val="superscript"/>
        </w:rPr>
        <w:t>th</w:t>
      </w:r>
      <w:r w:rsidRPr="00F05339">
        <w:rPr>
          <w:rFonts w:ascii="Arial" w:hAnsi="Arial" w:cs="Arial"/>
        </w:rPr>
        <w:t xml:space="preserve"> July 2021 </w:t>
      </w:r>
    </w:p>
    <w:p w14:paraId="673B99B4" w14:textId="12FFC57B" w:rsidR="00613FC8" w:rsidRPr="00F05339" w:rsidRDefault="00613FC8" w:rsidP="00613FC8">
      <w:pPr>
        <w:rPr>
          <w:rFonts w:ascii="Arial" w:hAnsi="Arial" w:cs="Arial"/>
        </w:rPr>
      </w:pPr>
    </w:p>
    <w:p w14:paraId="257394EE" w14:textId="77777777" w:rsidR="003B088A" w:rsidRPr="00F05339" w:rsidRDefault="00DB3802" w:rsidP="00864737">
      <w:pPr>
        <w:pStyle w:val="Heading3"/>
        <w:numPr>
          <w:ilvl w:val="2"/>
          <w:numId w:val="1"/>
        </w:numPr>
        <w:ind w:left="1225" w:hanging="505"/>
        <w:jc w:val="both"/>
        <w:rPr>
          <w:rFonts w:ascii="Arial" w:eastAsia="Calibri" w:hAnsi="Arial" w:cs="Arial"/>
          <w:b w:val="0"/>
          <w:bCs w:val="0"/>
          <w:color w:val="0070C0"/>
          <w:sz w:val="22"/>
          <w:szCs w:val="22"/>
        </w:rPr>
      </w:pPr>
      <w:bookmarkStart w:id="125" w:name="_Toc98496344"/>
      <w:bookmarkStart w:id="126" w:name="_Toc101516065"/>
      <w:r w:rsidRPr="00F05339">
        <w:rPr>
          <w:rFonts w:ascii="Arial" w:hAnsi="Arial" w:cs="Arial"/>
        </w:rPr>
        <w:t xml:space="preserve">Progress against KPIs / </w:t>
      </w:r>
      <w:r w:rsidR="00D41A02" w:rsidRPr="00F05339">
        <w:rPr>
          <w:rFonts w:ascii="Arial" w:hAnsi="Arial" w:cs="Arial"/>
        </w:rPr>
        <w:t>Statistics</w:t>
      </w:r>
      <w:r w:rsidR="00B30D29" w:rsidRPr="00F05339">
        <w:rPr>
          <w:rFonts w:ascii="Arial" w:hAnsi="Arial" w:cs="Arial"/>
        </w:rPr>
        <w:t xml:space="preserve"> (</w:t>
      </w:r>
      <w:r w:rsidR="003B088A" w:rsidRPr="00F05339">
        <w:rPr>
          <w:rFonts w:ascii="Arial" w:hAnsi="Arial" w:cs="Arial"/>
        </w:rPr>
        <w:t>A</w:t>
      </w:r>
      <w:r w:rsidR="00B30D29" w:rsidRPr="00F05339">
        <w:rPr>
          <w:rFonts w:ascii="Arial" w:hAnsi="Arial" w:cs="Arial"/>
        </w:rPr>
        <w:t>nnex</w:t>
      </w:r>
      <w:r w:rsidR="003B088A" w:rsidRPr="00F05339">
        <w:rPr>
          <w:rFonts w:ascii="Arial" w:hAnsi="Arial" w:cs="Arial"/>
        </w:rPr>
        <w:t xml:space="preserve">es </w:t>
      </w:r>
      <w:r w:rsidR="00F81EF3" w:rsidRPr="00F05339">
        <w:rPr>
          <w:rFonts w:ascii="Arial" w:hAnsi="Arial" w:cs="Arial"/>
        </w:rPr>
        <w:t xml:space="preserve">5, </w:t>
      </w:r>
      <w:r w:rsidR="003B088A" w:rsidRPr="00F05339">
        <w:rPr>
          <w:rFonts w:ascii="Arial" w:hAnsi="Arial" w:cs="Arial"/>
        </w:rPr>
        <w:t>6 and 7</w:t>
      </w:r>
      <w:r w:rsidR="00B30D29" w:rsidRPr="00F05339">
        <w:rPr>
          <w:rFonts w:ascii="Arial" w:hAnsi="Arial" w:cs="Arial"/>
        </w:rPr>
        <w:t>)</w:t>
      </w:r>
      <w:bookmarkEnd w:id="125"/>
      <w:bookmarkEnd w:id="126"/>
      <w:r w:rsidR="00987765" w:rsidRPr="00F05339">
        <w:rPr>
          <w:rFonts w:ascii="Arial" w:hAnsi="Arial" w:cs="Arial"/>
        </w:rPr>
        <w:t xml:space="preserve"> </w:t>
      </w:r>
    </w:p>
    <w:p w14:paraId="1A3564D2" w14:textId="77777777" w:rsidR="00613FC8" w:rsidRPr="00F05339" w:rsidRDefault="00613FC8" w:rsidP="00613FC8">
      <w:pPr>
        <w:rPr>
          <w:rFonts w:ascii="Arial" w:hAnsi="Arial" w:cs="Arial"/>
        </w:rPr>
      </w:pPr>
      <w:r w:rsidRPr="00F05339">
        <w:rPr>
          <w:rFonts w:ascii="Arial" w:hAnsi="Arial" w:cs="Arial"/>
        </w:rPr>
        <w:t>Not applicable, as there had been no call for proposals in 2021.</w:t>
      </w:r>
    </w:p>
    <w:p w14:paraId="394291E1" w14:textId="6258C9D5" w:rsidR="00082D30" w:rsidRPr="00F05339" w:rsidRDefault="000707F2" w:rsidP="00A57F60">
      <w:pPr>
        <w:pStyle w:val="Heading3"/>
        <w:numPr>
          <w:ilvl w:val="2"/>
          <w:numId w:val="1"/>
        </w:numPr>
        <w:ind w:left="1418" w:hanging="698"/>
        <w:jc w:val="both"/>
        <w:rPr>
          <w:rFonts w:ascii="Arial" w:hAnsi="Arial" w:cs="Arial"/>
        </w:rPr>
      </w:pPr>
      <w:bookmarkStart w:id="127" w:name="_Toc98496345"/>
      <w:bookmarkStart w:id="128" w:name="_Toc101516066"/>
      <w:r w:rsidRPr="00F05339">
        <w:rPr>
          <w:rFonts w:ascii="Arial" w:hAnsi="Arial" w:cs="Arial"/>
        </w:rPr>
        <w:t>Evaluation</w:t>
      </w:r>
      <w:r w:rsidR="00D41A02" w:rsidRPr="00F05339">
        <w:rPr>
          <w:rFonts w:ascii="Arial" w:hAnsi="Arial" w:cs="Arial"/>
        </w:rPr>
        <w:t>:</w:t>
      </w:r>
      <w:r w:rsidR="00AB0F3C" w:rsidRPr="00F05339">
        <w:rPr>
          <w:rFonts w:ascii="Arial" w:hAnsi="Arial" w:cs="Arial"/>
        </w:rPr>
        <w:t xml:space="preserve"> </w:t>
      </w:r>
      <w:r w:rsidR="001F392F" w:rsidRPr="00F05339">
        <w:rPr>
          <w:rFonts w:ascii="Arial" w:hAnsi="Arial" w:cs="Arial"/>
        </w:rPr>
        <w:t xml:space="preserve">procedures and </w:t>
      </w:r>
      <w:r w:rsidR="00D41A02" w:rsidRPr="00F05339">
        <w:rPr>
          <w:rFonts w:ascii="Arial" w:hAnsi="Arial" w:cs="Arial"/>
        </w:rPr>
        <w:t>g</w:t>
      </w:r>
      <w:r w:rsidRPr="00F05339">
        <w:rPr>
          <w:rFonts w:ascii="Arial" w:hAnsi="Arial" w:cs="Arial"/>
        </w:rPr>
        <w:t xml:space="preserve">lobal </w:t>
      </w:r>
      <w:r w:rsidR="008E52B2" w:rsidRPr="00F05339">
        <w:rPr>
          <w:rFonts w:ascii="Arial" w:hAnsi="Arial" w:cs="Arial"/>
        </w:rPr>
        <w:t>e</w:t>
      </w:r>
      <w:r w:rsidRPr="00F05339">
        <w:rPr>
          <w:rFonts w:ascii="Arial" w:hAnsi="Arial" w:cs="Arial"/>
        </w:rPr>
        <w:t xml:space="preserve">valuation </w:t>
      </w:r>
      <w:r w:rsidR="00D41A02" w:rsidRPr="00F05339">
        <w:rPr>
          <w:rFonts w:ascii="Arial" w:hAnsi="Arial" w:cs="Arial"/>
        </w:rPr>
        <w:t>o</w:t>
      </w:r>
      <w:r w:rsidRPr="00F05339">
        <w:rPr>
          <w:rFonts w:ascii="Arial" w:hAnsi="Arial" w:cs="Arial"/>
        </w:rPr>
        <w:t>utcome</w:t>
      </w:r>
      <w:r w:rsidR="00D41A02" w:rsidRPr="00F05339">
        <w:rPr>
          <w:rFonts w:ascii="Arial" w:hAnsi="Arial" w:cs="Arial"/>
        </w:rPr>
        <w:t>, redress, statistics (</w:t>
      </w:r>
      <w:r w:rsidR="009B2F0A" w:rsidRPr="00F05339">
        <w:rPr>
          <w:rFonts w:ascii="Arial" w:hAnsi="Arial" w:cs="Arial"/>
        </w:rPr>
        <w:t>no.</w:t>
      </w:r>
      <w:r w:rsidR="00D41A02" w:rsidRPr="00F05339">
        <w:rPr>
          <w:rFonts w:ascii="Arial" w:hAnsi="Arial" w:cs="Arial"/>
        </w:rPr>
        <w:t xml:space="preserve"> of evaluators, gender, area, etc.)</w:t>
      </w:r>
      <w:bookmarkEnd w:id="127"/>
      <w:bookmarkEnd w:id="128"/>
    </w:p>
    <w:p w14:paraId="0343E1D3" w14:textId="2B1AECB0" w:rsidR="00613FC8" w:rsidRPr="00F05339" w:rsidRDefault="00613FC8" w:rsidP="00613FC8">
      <w:pPr>
        <w:rPr>
          <w:rFonts w:ascii="Arial" w:hAnsi="Arial" w:cs="Arial"/>
        </w:rPr>
      </w:pPr>
      <w:r w:rsidRPr="00F05339">
        <w:rPr>
          <w:rFonts w:ascii="Arial" w:hAnsi="Arial" w:cs="Arial"/>
        </w:rPr>
        <w:t>Not applicable, as there had been no call for proposals in 2021.</w:t>
      </w:r>
    </w:p>
    <w:p w14:paraId="42F6F64D" w14:textId="77777777" w:rsidR="00613FC8" w:rsidRPr="00F05339" w:rsidRDefault="00613FC8" w:rsidP="00613FC8">
      <w:pPr>
        <w:rPr>
          <w:rFonts w:ascii="Arial" w:hAnsi="Arial" w:cs="Arial"/>
        </w:rPr>
      </w:pPr>
      <w:bookmarkStart w:id="129" w:name="_Hlk98149781"/>
    </w:p>
    <w:p w14:paraId="35242E76" w14:textId="0339ECFC" w:rsidR="00F53441" w:rsidRPr="00F05339" w:rsidRDefault="00F53441" w:rsidP="00864737">
      <w:pPr>
        <w:pStyle w:val="Heading3"/>
        <w:numPr>
          <w:ilvl w:val="1"/>
          <w:numId w:val="1"/>
        </w:numPr>
        <w:jc w:val="both"/>
        <w:rPr>
          <w:rFonts w:ascii="Arial" w:hAnsi="Arial" w:cs="Arial"/>
        </w:rPr>
      </w:pPr>
      <w:bookmarkStart w:id="130" w:name="_Toc98496346"/>
      <w:bookmarkStart w:id="131" w:name="_Toc101516067"/>
      <w:r w:rsidRPr="00F05339">
        <w:rPr>
          <w:rFonts w:ascii="Arial" w:hAnsi="Arial" w:cs="Arial"/>
        </w:rPr>
        <w:t>Call</w:t>
      </w:r>
      <w:r w:rsidR="00E4511B">
        <w:rPr>
          <w:rFonts w:ascii="Arial" w:hAnsi="Arial" w:cs="Arial"/>
        </w:rPr>
        <w:t>s</w:t>
      </w:r>
      <w:r w:rsidRPr="00F05339">
        <w:rPr>
          <w:rFonts w:ascii="Arial" w:hAnsi="Arial" w:cs="Arial"/>
        </w:rPr>
        <w:t xml:space="preserve"> for tender</w:t>
      </w:r>
      <w:bookmarkEnd w:id="130"/>
      <w:bookmarkEnd w:id="131"/>
      <w:r w:rsidRPr="00F05339">
        <w:rPr>
          <w:rFonts w:ascii="Arial" w:hAnsi="Arial" w:cs="Arial"/>
        </w:rPr>
        <w:t xml:space="preserve"> </w:t>
      </w:r>
    </w:p>
    <w:p w14:paraId="790534C9" w14:textId="3970435D" w:rsidR="00196C2E" w:rsidRPr="00F05339" w:rsidRDefault="00196C2E" w:rsidP="00196C2E">
      <w:pPr>
        <w:jc w:val="both"/>
        <w:rPr>
          <w:rFonts w:ascii="Arial" w:hAnsi="Arial" w:cs="Arial"/>
        </w:rPr>
      </w:pPr>
      <w:bookmarkStart w:id="132" w:name="_Toc98496347"/>
      <w:bookmarkEnd w:id="129"/>
      <w:proofErr w:type="gramStart"/>
      <w:r w:rsidRPr="00F05339">
        <w:rPr>
          <w:rFonts w:ascii="Arial" w:hAnsi="Arial" w:cs="Arial"/>
        </w:rPr>
        <w:t>On the basis of</w:t>
      </w:r>
      <w:proofErr w:type="gramEnd"/>
      <w:r w:rsidRPr="00F05339">
        <w:rPr>
          <w:rFonts w:ascii="Arial" w:hAnsi="Arial" w:cs="Arial"/>
        </w:rPr>
        <w:t xml:space="preserve"> AWP 2021, the FCH 2 JU, and as of </w:t>
      </w:r>
      <w:r>
        <w:rPr>
          <w:rFonts w:ascii="Arial" w:hAnsi="Arial" w:cs="Arial"/>
        </w:rPr>
        <w:t>30</w:t>
      </w:r>
      <w:r w:rsidRPr="00F05339">
        <w:rPr>
          <w:rFonts w:ascii="Arial" w:hAnsi="Arial" w:cs="Arial"/>
        </w:rPr>
        <w:t xml:space="preserve"> November 2021, the Clean Hydrogen JU, have launched the following </w:t>
      </w:r>
      <w:r>
        <w:rPr>
          <w:rFonts w:ascii="Arial" w:hAnsi="Arial" w:cs="Arial"/>
        </w:rPr>
        <w:t xml:space="preserve">new </w:t>
      </w:r>
      <w:r w:rsidRPr="00F05339">
        <w:rPr>
          <w:rFonts w:ascii="Arial" w:hAnsi="Arial" w:cs="Arial"/>
        </w:rPr>
        <w:t>operational procurements</w:t>
      </w:r>
      <w:r>
        <w:rPr>
          <w:rFonts w:ascii="Arial" w:hAnsi="Arial" w:cs="Arial"/>
        </w:rPr>
        <w:t xml:space="preserve"> in 2021</w:t>
      </w:r>
      <w:r w:rsidRPr="00F05339">
        <w:rPr>
          <w:rFonts w:ascii="Arial" w:hAnsi="Arial" w:cs="Arial"/>
        </w:rPr>
        <w:t>:</w:t>
      </w:r>
    </w:p>
    <w:p w14:paraId="57C70039" w14:textId="77777777" w:rsidR="00196C2E" w:rsidRPr="00F05339" w:rsidRDefault="00196C2E" w:rsidP="00196C2E">
      <w:pPr>
        <w:pStyle w:val="ListParagraph"/>
        <w:numPr>
          <w:ilvl w:val="0"/>
          <w:numId w:val="13"/>
        </w:numPr>
        <w:jc w:val="both"/>
        <w:rPr>
          <w:rFonts w:ascii="Arial" w:hAnsi="Arial" w:cs="Arial"/>
        </w:rPr>
      </w:pPr>
      <w:r w:rsidRPr="00F05339">
        <w:rPr>
          <w:rFonts w:ascii="Arial" w:hAnsi="Arial" w:cs="Arial"/>
        </w:rPr>
        <w:lastRenderedPageBreak/>
        <w:t>Study on hydrogen in ports and industrial coastal areas.</w:t>
      </w:r>
    </w:p>
    <w:p w14:paraId="086078A1" w14:textId="77777777" w:rsidR="00196C2E" w:rsidRPr="00F05339" w:rsidRDefault="00196C2E" w:rsidP="00196C2E">
      <w:pPr>
        <w:jc w:val="both"/>
        <w:rPr>
          <w:rFonts w:ascii="Arial" w:hAnsi="Arial" w:cs="Arial"/>
        </w:rPr>
      </w:pPr>
      <w:r w:rsidRPr="00F05339">
        <w:rPr>
          <w:rFonts w:ascii="Arial" w:hAnsi="Arial" w:cs="Arial"/>
        </w:rPr>
        <w:t xml:space="preserve">The aim of the study is twofold: foresight and community building. on foresight, the study will take into consideration the fact that the ports and the industrial coastal areas need to have mid and long-term visibility on the market potential of hydrogen, and a clear roadmap to implement it. Second, the community of “hydrogen ports” would gain in placing common issues at European level for collaborative resolution and developing case studies that can act as blueprints for other ports would accelerate the take-up of financial assistance by ports and industrial coastal areas. </w:t>
      </w:r>
    </w:p>
    <w:p w14:paraId="78007DDE" w14:textId="77777777" w:rsidR="00196C2E" w:rsidRPr="00F05339" w:rsidRDefault="00196C2E" w:rsidP="00196C2E">
      <w:pPr>
        <w:jc w:val="both"/>
        <w:rPr>
          <w:rFonts w:ascii="Arial" w:hAnsi="Arial" w:cs="Arial"/>
        </w:rPr>
      </w:pPr>
      <w:r w:rsidRPr="00F05339">
        <w:rPr>
          <w:rFonts w:ascii="Arial" w:hAnsi="Arial" w:cs="Arial"/>
        </w:rPr>
        <w:t>The contract for the implementation of the services was signed on 13 November 2021 for a period of 24 months and a budget of EUR 518,000.00 EUR. It included, among others, the provision of a final publishable report at the end of the contract.</w:t>
      </w:r>
    </w:p>
    <w:p w14:paraId="45E9B57E" w14:textId="77777777" w:rsidR="00196C2E" w:rsidRPr="00F05339" w:rsidRDefault="00196C2E" w:rsidP="00196C2E">
      <w:pPr>
        <w:pStyle w:val="ListParagraph"/>
        <w:numPr>
          <w:ilvl w:val="0"/>
          <w:numId w:val="13"/>
        </w:numPr>
        <w:jc w:val="both"/>
        <w:rPr>
          <w:rFonts w:ascii="Arial" w:hAnsi="Arial" w:cs="Arial"/>
        </w:rPr>
      </w:pPr>
      <w:r w:rsidRPr="00F05339">
        <w:rPr>
          <w:rFonts w:ascii="Arial" w:hAnsi="Arial" w:cs="Arial"/>
        </w:rPr>
        <w:t>Project Development Assistance for Cohesion Countries, Outermost Regions, and Islands</w:t>
      </w:r>
    </w:p>
    <w:p w14:paraId="31E488C1" w14:textId="77777777" w:rsidR="00196C2E" w:rsidRPr="00F05339" w:rsidRDefault="00196C2E" w:rsidP="00196C2E">
      <w:pPr>
        <w:jc w:val="both"/>
        <w:rPr>
          <w:rFonts w:ascii="Arial" w:hAnsi="Arial" w:cs="Arial"/>
        </w:rPr>
      </w:pPr>
      <w:r w:rsidRPr="00F05339">
        <w:rPr>
          <w:rFonts w:ascii="Arial" w:hAnsi="Arial" w:cs="Arial"/>
        </w:rPr>
        <w:t>There are four general objectives in this procurement: (1) To further widen the Clean Hydrogen JU geographical coverage by selecting and bringing a set of at least 15 projects from Cohesion Countries10, Outermost Regions and Islands in general, bringing new Hydrogen flagships to a high level of preparedness; (2) To provide regions and cities the necessary technical, financial and legal services; (3) To further develop the existing inter-regional, inter-island and cross-city networks in which both the selected regions and cities and its Observer Network could benefit from tools, methods and expertise gathered in both the first and the current PDA. This objective should be accomplished by helping foster collaborations from interested public authorities in view of indirectly assisting otherwise less mature projects and therefore enhance their chances of becoming reality in the future; (4) To boost the chances of grant funding and financing support by raising awareness among the relevant Regional and National European Structural and Investment Funds’ (ESIF) Managing Authorities as well as any Promotional Bank or specifically tailored commercial bank willing to increase their exposure to hydrogen projects with a local impact.</w:t>
      </w:r>
    </w:p>
    <w:p w14:paraId="275F0FC2" w14:textId="77777777" w:rsidR="00196C2E" w:rsidRPr="00F05339" w:rsidRDefault="00196C2E" w:rsidP="00196C2E">
      <w:pPr>
        <w:jc w:val="both"/>
        <w:rPr>
          <w:rFonts w:ascii="Arial" w:hAnsi="Arial" w:cs="Arial"/>
        </w:rPr>
      </w:pPr>
      <w:r w:rsidRPr="00F05339">
        <w:rPr>
          <w:rFonts w:ascii="Arial" w:hAnsi="Arial" w:cs="Arial"/>
        </w:rPr>
        <w:t xml:space="preserve">The call for tenders was published in </w:t>
      </w:r>
      <w:r>
        <w:rPr>
          <w:rFonts w:ascii="Arial" w:hAnsi="Arial" w:cs="Arial"/>
        </w:rPr>
        <w:t>December</w:t>
      </w:r>
      <w:r w:rsidRPr="00F05339">
        <w:rPr>
          <w:rFonts w:ascii="Arial" w:hAnsi="Arial" w:cs="Arial"/>
        </w:rPr>
        <w:t xml:space="preserve"> 2021; it is currently</w:t>
      </w:r>
      <w:r w:rsidRPr="00F05339">
        <w:rPr>
          <w:rStyle w:val="FootnoteReference"/>
          <w:rFonts w:ascii="Arial" w:hAnsi="Arial" w:cs="Arial"/>
        </w:rPr>
        <w:footnoteReference w:id="77"/>
      </w:r>
      <w:r w:rsidRPr="00F05339">
        <w:rPr>
          <w:rFonts w:ascii="Arial" w:hAnsi="Arial" w:cs="Arial"/>
        </w:rPr>
        <w:t xml:space="preserve"> under evaluation. The maximum value of the contract is 1,000,000.00 EUR.</w:t>
      </w:r>
    </w:p>
    <w:p w14:paraId="04EC4F6F" w14:textId="1BA0E21C" w:rsidR="00196C2E" w:rsidRPr="00F05339" w:rsidRDefault="00196C2E" w:rsidP="00196C2E">
      <w:pPr>
        <w:jc w:val="both"/>
        <w:rPr>
          <w:rFonts w:ascii="Arial" w:hAnsi="Arial" w:cs="Arial"/>
        </w:rPr>
      </w:pPr>
      <w:bookmarkStart w:id="133" w:name="_Hlk101255113"/>
      <w:r w:rsidRPr="00F05339">
        <w:rPr>
          <w:rFonts w:ascii="Arial" w:hAnsi="Arial" w:cs="Arial"/>
        </w:rPr>
        <w:t xml:space="preserve">In view of </w:t>
      </w:r>
      <w:r w:rsidR="00F5672A">
        <w:rPr>
          <w:rFonts w:ascii="Arial" w:hAnsi="Arial" w:cs="Arial"/>
        </w:rPr>
        <w:t xml:space="preserve">request of the </w:t>
      </w:r>
      <w:r w:rsidR="005D5FE6">
        <w:rPr>
          <w:rFonts w:ascii="Arial" w:hAnsi="Arial" w:cs="Arial"/>
        </w:rPr>
        <w:t>discharge</w:t>
      </w:r>
      <w:r w:rsidR="00F5672A">
        <w:rPr>
          <w:rFonts w:ascii="Arial" w:hAnsi="Arial" w:cs="Arial"/>
        </w:rPr>
        <w:t xml:space="preserve"> authority </w:t>
      </w:r>
      <w:r w:rsidRPr="00F05339">
        <w:rPr>
          <w:rFonts w:ascii="Arial" w:hAnsi="Arial" w:cs="Arial"/>
          <w:i/>
          <w:iCs/>
        </w:rPr>
        <w:t>for the financial year 2020))</w:t>
      </w:r>
      <w:r w:rsidRPr="00F05339">
        <w:rPr>
          <w:rStyle w:val="FootnoteReference"/>
          <w:rFonts w:ascii="Arial" w:hAnsi="Arial" w:cs="Arial"/>
          <w:i/>
          <w:iCs/>
        </w:rPr>
        <w:footnoteReference w:id="78"/>
      </w:r>
      <w:r w:rsidRPr="00F05339">
        <w:rPr>
          <w:rFonts w:ascii="Arial" w:hAnsi="Arial" w:cs="Arial"/>
          <w:i/>
          <w:iCs/>
        </w:rPr>
        <w:t xml:space="preserve">, </w:t>
      </w:r>
      <w:r w:rsidR="005D5FE6">
        <w:rPr>
          <w:rFonts w:ascii="Arial" w:hAnsi="Arial" w:cs="Arial"/>
          <w:i/>
          <w:iCs/>
        </w:rPr>
        <w:t xml:space="preserve">the JU includes in the present report the fact that </w:t>
      </w:r>
      <w:r w:rsidRPr="00F05339">
        <w:rPr>
          <w:rFonts w:ascii="Arial" w:hAnsi="Arial" w:cs="Arial"/>
        </w:rPr>
        <w:t>the launch of the study in question is accompanied by a detailed internal and external market research, whose aim was to find the most accurate market price for the contract.</w:t>
      </w:r>
    </w:p>
    <w:bookmarkEnd w:id="133"/>
    <w:p w14:paraId="78B01383" w14:textId="77777777" w:rsidR="00196C2E" w:rsidRPr="00F05339" w:rsidRDefault="00196C2E" w:rsidP="00196C2E">
      <w:pPr>
        <w:pStyle w:val="ListParagraph"/>
        <w:jc w:val="both"/>
        <w:rPr>
          <w:rFonts w:ascii="Arial" w:hAnsi="Arial" w:cs="Arial"/>
        </w:rPr>
      </w:pPr>
    </w:p>
    <w:p w14:paraId="15E97FA7" w14:textId="77777777" w:rsidR="00196C2E" w:rsidRPr="00F05339" w:rsidRDefault="00196C2E" w:rsidP="00196C2E">
      <w:pPr>
        <w:pStyle w:val="ListParagraph"/>
        <w:numPr>
          <w:ilvl w:val="0"/>
          <w:numId w:val="13"/>
        </w:numPr>
        <w:jc w:val="both"/>
        <w:rPr>
          <w:rFonts w:ascii="Arial" w:hAnsi="Arial" w:cs="Arial"/>
        </w:rPr>
      </w:pPr>
      <w:r w:rsidRPr="00F05339">
        <w:rPr>
          <w:rFonts w:ascii="Arial" w:hAnsi="Arial" w:cs="Arial"/>
        </w:rPr>
        <w:t>Technical Assistance support to generate synergies with Member States/Regions</w:t>
      </w:r>
    </w:p>
    <w:p w14:paraId="39D2F545" w14:textId="77777777" w:rsidR="00196C2E" w:rsidRPr="00F05339" w:rsidRDefault="00196C2E" w:rsidP="00196C2E">
      <w:pPr>
        <w:jc w:val="both"/>
        <w:rPr>
          <w:rFonts w:ascii="Arial" w:hAnsi="Arial" w:cs="Arial"/>
          <w:bCs/>
        </w:rPr>
      </w:pPr>
      <w:r w:rsidRPr="00F05339">
        <w:rPr>
          <w:rFonts w:ascii="Arial" w:hAnsi="Arial" w:cs="Arial"/>
          <w:bCs/>
        </w:rPr>
        <w:t xml:space="preserve">Although the drafting of tender specifications for the study was initiated immediately after the financing decision was in place, the scope of synergies evolved significantly throughout 2021 until the approval of the SRIA of the new JU. This led to an unavoidable delay in the approval </w:t>
      </w:r>
      <w:r w:rsidRPr="00F05339">
        <w:rPr>
          <w:rFonts w:ascii="Arial" w:hAnsi="Arial" w:cs="Arial"/>
          <w:bCs/>
        </w:rPr>
        <w:lastRenderedPageBreak/>
        <w:t xml:space="preserve">of the technical specifications of this procurement. </w:t>
      </w:r>
      <w:proofErr w:type="gramStart"/>
      <w:r w:rsidRPr="00F05339">
        <w:rPr>
          <w:rFonts w:ascii="Arial" w:hAnsi="Arial" w:cs="Arial"/>
          <w:bCs/>
        </w:rPr>
        <w:t>Consequently</w:t>
      </w:r>
      <w:proofErr w:type="gramEnd"/>
      <w:r w:rsidRPr="00F05339">
        <w:rPr>
          <w:rFonts w:ascii="Arial" w:hAnsi="Arial" w:cs="Arial"/>
          <w:bCs/>
        </w:rPr>
        <w:t xml:space="preserve"> it is expected to be published in the first </w:t>
      </w:r>
      <w:r>
        <w:rPr>
          <w:rFonts w:ascii="Arial" w:hAnsi="Arial" w:cs="Arial"/>
          <w:bCs/>
        </w:rPr>
        <w:t>half</w:t>
      </w:r>
      <w:r w:rsidRPr="00F05339">
        <w:rPr>
          <w:rFonts w:ascii="Arial" w:hAnsi="Arial" w:cs="Arial"/>
          <w:bCs/>
        </w:rPr>
        <w:t xml:space="preserve"> of 2022.  </w:t>
      </w:r>
    </w:p>
    <w:p w14:paraId="55D4B0B8" w14:textId="77777777" w:rsidR="00196C2E" w:rsidRPr="00F05339" w:rsidRDefault="00196C2E" w:rsidP="00196C2E">
      <w:pPr>
        <w:pStyle w:val="ListParagraph"/>
        <w:numPr>
          <w:ilvl w:val="0"/>
          <w:numId w:val="13"/>
        </w:numPr>
        <w:jc w:val="both"/>
        <w:rPr>
          <w:rFonts w:ascii="Arial" w:hAnsi="Arial" w:cs="Arial"/>
        </w:rPr>
      </w:pPr>
      <w:r w:rsidRPr="00F05339">
        <w:rPr>
          <w:rFonts w:ascii="Arial" w:hAnsi="Arial" w:cs="Arial"/>
        </w:rPr>
        <w:t>Procurement of services in “Support to Mission Innovation 2.0 – Clean Hydrogen Mission H2.0 Valley Platform”.</w:t>
      </w:r>
    </w:p>
    <w:p w14:paraId="5B8C56B0" w14:textId="77777777" w:rsidR="00196C2E" w:rsidRPr="00F05339" w:rsidRDefault="00196C2E" w:rsidP="00196C2E">
      <w:pPr>
        <w:jc w:val="both"/>
        <w:rPr>
          <w:rFonts w:ascii="Arial" w:hAnsi="Arial" w:cs="Arial"/>
        </w:rPr>
      </w:pPr>
      <w:r w:rsidRPr="00F05339">
        <w:rPr>
          <w:rFonts w:ascii="Arial" w:hAnsi="Arial" w:cs="Arial"/>
        </w:rPr>
        <w:t>Based on (i) a lean and effective cooperation between the Fuel Cells and Hydrogen 2 Joint Undertaking and the Mission Innovation co-leads to co-design and steer the previous procurement (the so-called Steering Committee) and (ii) the lessons learned during the first two years of operation of the Hydrogen Valley Platform (phase 1), the FCH 2 JU (now the Clean Hydrogen JU) launched a new procurement to take the Hydrogen Valley concept to the next level and develop the H2.0 Valley platform. H2.0 Valley will serve as a tool to help project developers and to promote the concept among policy makers and private stakeholders.</w:t>
      </w:r>
    </w:p>
    <w:p w14:paraId="31E68198" w14:textId="77777777" w:rsidR="00196C2E" w:rsidRPr="00F05339" w:rsidRDefault="00196C2E" w:rsidP="00196C2E">
      <w:pPr>
        <w:jc w:val="both"/>
        <w:rPr>
          <w:rFonts w:ascii="Arial" w:hAnsi="Arial" w:cs="Arial"/>
        </w:rPr>
      </w:pPr>
      <w:r w:rsidRPr="00F05339">
        <w:rPr>
          <w:rFonts w:ascii="Arial" w:hAnsi="Arial" w:cs="Arial"/>
        </w:rPr>
        <w:t>The call for tenders was published in December 2021, and it is currently</w:t>
      </w:r>
      <w:r w:rsidRPr="00F05339">
        <w:rPr>
          <w:rStyle w:val="FootnoteReference"/>
          <w:rFonts w:ascii="Arial" w:hAnsi="Arial" w:cs="Arial"/>
        </w:rPr>
        <w:footnoteReference w:id="79"/>
      </w:r>
      <w:r w:rsidRPr="00F05339">
        <w:rPr>
          <w:rFonts w:ascii="Arial" w:hAnsi="Arial" w:cs="Arial"/>
        </w:rPr>
        <w:t xml:space="preserve"> under evaluation. The maximum value of the contract will be of 500,000.00 EUR.</w:t>
      </w:r>
    </w:p>
    <w:p w14:paraId="58B7B2CC" w14:textId="4422A732" w:rsidR="00196C2E" w:rsidRPr="00F05339" w:rsidRDefault="00777C28" w:rsidP="00196C2E">
      <w:pPr>
        <w:jc w:val="both"/>
        <w:rPr>
          <w:rFonts w:ascii="Arial" w:hAnsi="Arial" w:cs="Arial"/>
        </w:rPr>
      </w:pPr>
      <w:r w:rsidRPr="00F05339">
        <w:rPr>
          <w:rFonts w:ascii="Arial" w:hAnsi="Arial" w:cs="Arial"/>
        </w:rPr>
        <w:t xml:space="preserve">In view of </w:t>
      </w:r>
      <w:r>
        <w:rPr>
          <w:rFonts w:ascii="Arial" w:hAnsi="Arial" w:cs="Arial"/>
        </w:rPr>
        <w:t xml:space="preserve">request of the discharge authority </w:t>
      </w:r>
      <w:r w:rsidRPr="00F05339">
        <w:rPr>
          <w:rFonts w:ascii="Arial" w:hAnsi="Arial" w:cs="Arial"/>
          <w:i/>
          <w:iCs/>
        </w:rPr>
        <w:t>for the financial year 2020))</w:t>
      </w:r>
      <w:r w:rsidRPr="00F05339">
        <w:rPr>
          <w:rStyle w:val="FootnoteReference"/>
          <w:rFonts w:ascii="Arial" w:hAnsi="Arial" w:cs="Arial"/>
          <w:i/>
          <w:iCs/>
        </w:rPr>
        <w:footnoteReference w:id="80"/>
      </w:r>
      <w:r w:rsidRPr="00F05339">
        <w:rPr>
          <w:rFonts w:ascii="Arial" w:hAnsi="Arial" w:cs="Arial"/>
          <w:i/>
          <w:iCs/>
        </w:rPr>
        <w:t xml:space="preserve">, </w:t>
      </w:r>
      <w:r>
        <w:rPr>
          <w:rFonts w:ascii="Arial" w:hAnsi="Arial" w:cs="Arial"/>
          <w:i/>
          <w:iCs/>
        </w:rPr>
        <w:t xml:space="preserve">the JU includes in the present report the fact that </w:t>
      </w:r>
      <w:r w:rsidRPr="00F05339">
        <w:rPr>
          <w:rFonts w:ascii="Arial" w:hAnsi="Arial" w:cs="Arial"/>
        </w:rPr>
        <w:t>the launch of the study in question is accompanied by a detailed internal and external market research, whose aim was to find the most accurate market price for the contract</w:t>
      </w:r>
      <w:r w:rsidR="00196C2E" w:rsidRPr="00F05339">
        <w:rPr>
          <w:rFonts w:ascii="Arial" w:hAnsi="Arial" w:cs="Arial"/>
        </w:rPr>
        <w:t>.</w:t>
      </w:r>
    </w:p>
    <w:p w14:paraId="1A53150D" w14:textId="77777777" w:rsidR="00196C2E" w:rsidRPr="00F05339" w:rsidRDefault="00196C2E" w:rsidP="00196C2E">
      <w:pPr>
        <w:pStyle w:val="ListParagraph"/>
        <w:numPr>
          <w:ilvl w:val="0"/>
          <w:numId w:val="13"/>
        </w:numPr>
        <w:jc w:val="both"/>
        <w:rPr>
          <w:rFonts w:ascii="Arial" w:hAnsi="Arial" w:cs="Arial"/>
        </w:rPr>
      </w:pPr>
      <w:r w:rsidRPr="00F05339">
        <w:rPr>
          <w:rFonts w:ascii="Arial" w:hAnsi="Arial" w:cs="Arial"/>
        </w:rPr>
        <w:t xml:space="preserve">Public opinion survey </w:t>
      </w:r>
    </w:p>
    <w:p w14:paraId="005B5E81" w14:textId="77777777" w:rsidR="00196C2E" w:rsidRPr="00F05339" w:rsidRDefault="00196C2E" w:rsidP="00196C2E">
      <w:pPr>
        <w:jc w:val="both"/>
        <w:rPr>
          <w:rFonts w:ascii="Arial" w:hAnsi="Arial" w:cs="Arial"/>
        </w:rPr>
      </w:pPr>
      <w:r w:rsidRPr="00F05339">
        <w:rPr>
          <w:rFonts w:ascii="Arial" w:hAnsi="Arial" w:cs="Arial"/>
        </w:rPr>
        <w:t xml:space="preserve">The public survey to be conducted under this contract shall provide a rapid assessment of the state of public opinion EU </w:t>
      </w:r>
      <w:proofErr w:type="gramStart"/>
      <w:r w:rsidRPr="00F05339">
        <w:rPr>
          <w:rFonts w:ascii="Arial" w:hAnsi="Arial" w:cs="Arial"/>
        </w:rPr>
        <w:t>wide, and</w:t>
      </w:r>
      <w:proofErr w:type="gramEnd"/>
      <w:r w:rsidRPr="00F05339">
        <w:rPr>
          <w:rFonts w:ascii="Arial" w:hAnsi="Arial" w:cs="Arial"/>
        </w:rPr>
        <w:t xml:space="preserve"> contribute to the development of baseline (benchmark). In terms of geographic scope - the survey shall cover all Member States of the EU. The main objectives of the public survey are: i) To gain insights into perceptions on the use of fuel cells and hydrogen (FCH) technologies relating to </w:t>
      </w:r>
      <w:proofErr w:type="gramStart"/>
      <w:r w:rsidRPr="00F05339">
        <w:rPr>
          <w:rFonts w:ascii="Arial" w:hAnsi="Arial" w:cs="Arial"/>
        </w:rPr>
        <w:t>a number of</w:t>
      </w:r>
      <w:proofErr w:type="gramEnd"/>
      <w:r w:rsidRPr="00F05339">
        <w:rPr>
          <w:rFonts w:ascii="Arial" w:hAnsi="Arial" w:cs="Arial"/>
        </w:rPr>
        <w:t xml:space="preserve"> aspects: overall awareness, acceptance and uptake of hydrogen technologies; awareness and acceptance relating to safety of hydrogen technologies; awareness and acceptance of hydrogen as an efficient and sustainable energy vector; uptake of possible applications of hydrogen technologies. ii) To understand the state of awareness and acceptance of FCH technologies by the public and identify differences relating to a set of specific criteria (e.g. age, gender, nationality, regions); iii) To elaborate a benchmark (baseline) that will make it possible to monitor changing perceptions in the European population; and iv) To evaluate the obtained results and provide deriving strategic advice, with a focus on possible communication activities, on how to raise awareness and build confidence for further use of FCH technologies in the general public. </w:t>
      </w:r>
    </w:p>
    <w:p w14:paraId="4C4538FA" w14:textId="77777777" w:rsidR="00196C2E" w:rsidRPr="009B1153" w:rsidRDefault="00196C2E" w:rsidP="00196C2E">
      <w:pPr>
        <w:jc w:val="both"/>
        <w:rPr>
          <w:rFonts w:ascii="Arial" w:hAnsi="Arial" w:cs="Arial"/>
        </w:rPr>
      </w:pPr>
      <w:r w:rsidRPr="00F05339">
        <w:rPr>
          <w:rFonts w:ascii="Arial" w:hAnsi="Arial" w:cs="Arial"/>
        </w:rPr>
        <w:t>the call for tenders was published in July 2021. The contract for the implementation of the services is currently</w:t>
      </w:r>
      <w:r w:rsidRPr="00F05339">
        <w:rPr>
          <w:rStyle w:val="FootnoteReference"/>
          <w:rFonts w:ascii="Arial" w:hAnsi="Arial" w:cs="Arial"/>
        </w:rPr>
        <w:footnoteReference w:id="81"/>
      </w:r>
      <w:r w:rsidRPr="00F05339">
        <w:rPr>
          <w:rFonts w:ascii="Arial" w:hAnsi="Arial" w:cs="Arial"/>
        </w:rPr>
        <w:t xml:space="preserve"> under signature for a period of 11 months and a budget of EUR 385,000.00 EUR.</w:t>
      </w:r>
    </w:p>
    <w:p w14:paraId="16A7BEEB" w14:textId="77777777" w:rsidR="00196C2E" w:rsidRPr="00F05339" w:rsidRDefault="00196C2E" w:rsidP="00196C2E">
      <w:pPr>
        <w:jc w:val="both"/>
        <w:rPr>
          <w:rFonts w:ascii="Arial" w:hAnsi="Arial" w:cs="Arial"/>
        </w:rPr>
      </w:pPr>
      <w:r w:rsidRPr="00F05339">
        <w:rPr>
          <w:rFonts w:ascii="Arial" w:hAnsi="Arial" w:cs="Arial"/>
        </w:rPr>
        <w:lastRenderedPageBreak/>
        <w:t>The procurement was added to the work programme of the JU through the Governing Board Decision of 31.05.2021, adopting the second amendment of the AWP 2021.</w:t>
      </w:r>
    </w:p>
    <w:p w14:paraId="3C53F50B" w14:textId="502CE6E3" w:rsidR="00196C2E" w:rsidRPr="00F05339" w:rsidRDefault="00777C28" w:rsidP="00196C2E">
      <w:pPr>
        <w:jc w:val="both"/>
        <w:rPr>
          <w:rFonts w:ascii="Arial" w:hAnsi="Arial" w:cs="Arial"/>
        </w:rPr>
      </w:pPr>
      <w:r w:rsidRPr="00F05339">
        <w:rPr>
          <w:rFonts w:ascii="Arial" w:hAnsi="Arial" w:cs="Arial"/>
        </w:rPr>
        <w:t xml:space="preserve">In view of </w:t>
      </w:r>
      <w:r>
        <w:rPr>
          <w:rFonts w:ascii="Arial" w:hAnsi="Arial" w:cs="Arial"/>
        </w:rPr>
        <w:t xml:space="preserve">request of the discharge authority </w:t>
      </w:r>
      <w:r w:rsidRPr="00F05339">
        <w:rPr>
          <w:rFonts w:ascii="Arial" w:hAnsi="Arial" w:cs="Arial"/>
          <w:i/>
          <w:iCs/>
        </w:rPr>
        <w:t>for the financial year 2020))</w:t>
      </w:r>
      <w:r w:rsidRPr="00F05339">
        <w:rPr>
          <w:rStyle w:val="FootnoteReference"/>
          <w:rFonts w:ascii="Arial" w:hAnsi="Arial" w:cs="Arial"/>
          <w:i/>
          <w:iCs/>
        </w:rPr>
        <w:footnoteReference w:id="82"/>
      </w:r>
      <w:r w:rsidRPr="00F05339">
        <w:rPr>
          <w:rFonts w:ascii="Arial" w:hAnsi="Arial" w:cs="Arial"/>
          <w:i/>
          <w:iCs/>
        </w:rPr>
        <w:t xml:space="preserve">, </w:t>
      </w:r>
      <w:r>
        <w:rPr>
          <w:rFonts w:ascii="Arial" w:hAnsi="Arial" w:cs="Arial"/>
          <w:i/>
          <w:iCs/>
        </w:rPr>
        <w:t xml:space="preserve">the JU includes in the present report the fact that </w:t>
      </w:r>
      <w:r w:rsidRPr="00F05339">
        <w:rPr>
          <w:rFonts w:ascii="Arial" w:hAnsi="Arial" w:cs="Arial"/>
        </w:rPr>
        <w:t>the launch of the study in question is accompanied by a detailed internal and external market research, whose aim was to find the most accurate market price for the contract</w:t>
      </w:r>
      <w:r w:rsidR="00196C2E" w:rsidRPr="00F05339">
        <w:rPr>
          <w:rFonts w:ascii="Arial" w:hAnsi="Arial" w:cs="Arial"/>
        </w:rPr>
        <w:t>.</w:t>
      </w:r>
    </w:p>
    <w:p w14:paraId="7BEC7F42" w14:textId="77777777" w:rsidR="00196C2E" w:rsidRPr="00F05339" w:rsidRDefault="00196C2E" w:rsidP="00196C2E">
      <w:pPr>
        <w:pStyle w:val="ListParagraph"/>
        <w:numPr>
          <w:ilvl w:val="0"/>
          <w:numId w:val="13"/>
        </w:numPr>
        <w:jc w:val="both"/>
        <w:rPr>
          <w:rFonts w:ascii="Arial" w:hAnsi="Arial" w:cs="Arial"/>
          <w:bCs/>
        </w:rPr>
      </w:pPr>
      <w:r w:rsidRPr="00F05339">
        <w:rPr>
          <w:rFonts w:ascii="Arial" w:hAnsi="Arial" w:cs="Arial"/>
          <w:bCs/>
        </w:rPr>
        <w:t xml:space="preserve">Study on the impact of deployment BEV and FCEV infrastructures </w:t>
      </w:r>
    </w:p>
    <w:p w14:paraId="3ADB0621" w14:textId="77777777" w:rsidR="00196C2E" w:rsidRPr="00F05339" w:rsidRDefault="00196C2E" w:rsidP="00196C2E">
      <w:pPr>
        <w:jc w:val="both"/>
        <w:rPr>
          <w:rFonts w:ascii="Arial" w:hAnsi="Arial" w:cs="Arial"/>
          <w:bCs/>
        </w:rPr>
      </w:pPr>
      <w:r w:rsidRPr="00F05339">
        <w:rPr>
          <w:rFonts w:ascii="Arial" w:hAnsi="Arial" w:cs="Arial"/>
          <w:bCs/>
        </w:rPr>
        <w:t xml:space="preserve">The objective of this tender is to provide evidence, through a comprehensive study, of the possible optimal blend between electric recharging and hydrogen refuelling infrastructure covering the full spectrum of road transport applications. The study should allow to assess, both per Member State and at European level, the best way to deploy these infrastructures, the </w:t>
      </w:r>
      <w:proofErr w:type="gramStart"/>
      <w:r w:rsidRPr="00F05339">
        <w:rPr>
          <w:rFonts w:ascii="Arial" w:hAnsi="Arial" w:cs="Arial"/>
          <w:bCs/>
        </w:rPr>
        <w:t>synergies</w:t>
      </w:r>
      <w:proofErr w:type="gramEnd"/>
      <w:r w:rsidRPr="00F05339">
        <w:rPr>
          <w:rFonts w:ascii="Arial" w:hAnsi="Arial" w:cs="Arial"/>
          <w:bCs/>
        </w:rPr>
        <w:t xml:space="preserve"> and interactions with other existing ones.</w:t>
      </w:r>
    </w:p>
    <w:p w14:paraId="7F870344" w14:textId="26E1D2D1" w:rsidR="00196C2E" w:rsidRPr="00F05339" w:rsidRDefault="00777C28" w:rsidP="00196C2E">
      <w:pPr>
        <w:jc w:val="both"/>
        <w:rPr>
          <w:rFonts w:ascii="Arial" w:hAnsi="Arial" w:cs="Arial"/>
          <w:bCs/>
        </w:rPr>
      </w:pPr>
      <w:r>
        <w:rPr>
          <w:rFonts w:ascii="Arial" w:hAnsi="Arial" w:cs="Arial"/>
          <w:bCs/>
        </w:rPr>
        <w:t>In 2020, due to reasons external to the JU, as reported in the corresponding AAR, t</w:t>
      </w:r>
      <w:r w:rsidR="00196C2E" w:rsidRPr="00F05339">
        <w:rPr>
          <w:rFonts w:ascii="Arial" w:hAnsi="Arial" w:cs="Arial"/>
          <w:bCs/>
        </w:rPr>
        <w:t xml:space="preserve">he study was transferred to the public </w:t>
      </w:r>
      <w:proofErr w:type="gramStart"/>
      <w:r w:rsidR="00196C2E" w:rsidRPr="00F05339">
        <w:rPr>
          <w:rFonts w:ascii="Arial" w:hAnsi="Arial" w:cs="Arial"/>
          <w:bCs/>
        </w:rPr>
        <w:t xml:space="preserve">procurements </w:t>
      </w:r>
      <w:r>
        <w:rPr>
          <w:rFonts w:ascii="Arial" w:hAnsi="Arial" w:cs="Arial"/>
          <w:bCs/>
        </w:rPr>
        <w:t xml:space="preserve"> to</w:t>
      </w:r>
      <w:proofErr w:type="gramEnd"/>
      <w:r>
        <w:rPr>
          <w:rFonts w:ascii="Arial" w:hAnsi="Arial" w:cs="Arial"/>
          <w:bCs/>
        </w:rPr>
        <w:t xml:space="preserve"> be carried out </w:t>
      </w:r>
      <w:r w:rsidR="00196C2E" w:rsidRPr="00F05339">
        <w:rPr>
          <w:rFonts w:ascii="Arial" w:hAnsi="Arial" w:cs="Arial"/>
          <w:bCs/>
        </w:rPr>
        <w:t>in 2021</w:t>
      </w:r>
      <w:r>
        <w:rPr>
          <w:rFonts w:ascii="Arial" w:hAnsi="Arial" w:cs="Arial"/>
          <w:bCs/>
        </w:rPr>
        <w:t>.</w:t>
      </w:r>
      <w:r w:rsidR="00196C2E" w:rsidRPr="00F05339">
        <w:rPr>
          <w:rFonts w:ascii="Arial" w:hAnsi="Arial" w:cs="Arial"/>
          <w:bCs/>
        </w:rPr>
        <w:t xml:space="preserve">. </w:t>
      </w:r>
    </w:p>
    <w:p w14:paraId="79953B64" w14:textId="77777777" w:rsidR="00196C2E" w:rsidRPr="00F05339" w:rsidRDefault="00196C2E" w:rsidP="00196C2E">
      <w:pPr>
        <w:jc w:val="both"/>
        <w:rPr>
          <w:rFonts w:ascii="Arial" w:hAnsi="Arial" w:cs="Arial"/>
          <w:bCs/>
        </w:rPr>
      </w:pPr>
      <w:r w:rsidRPr="00F05339">
        <w:rPr>
          <w:rFonts w:ascii="Arial" w:hAnsi="Arial" w:cs="Arial"/>
          <w:bCs/>
        </w:rPr>
        <w:t xml:space="preserve">The contract for the implementation of the services was signed on 01/09/2021 for a period of 8 months and a budget of EUR 200,000.00 EUR. </w:t>
      </w:r>
      <w:proofErr w:type="gramStart"/>
      <w:r w:rsidRPr="00F05339">
        <w:rPr>
          <w:rFonts w:ascii="Arial" w:hAnsi="Arial" w:cs="Arial"/>
          <w:bCs/>
        </w:rPr>
        <w:t>Final results</w:t>
      </w:r>
      <w:proofErr w:type="gramEnd"/>
      <w:r w:rsidRPr="00F05339">
        <w:rPr>
          <w:rFonts w:ascii="Arial" w:hAnsi="Arial" w:cs="Arial"/>
          <w:bCs/>
        </w:rPr>
        <w:t xml:space="preserve"> are expected by end of May 2022.</w:t>
      </w:r>
    </w:p>
    <w:p w14:paraId="3FA22DDB" w14:textId="33D6FBF7" w:rsidR="00F53441" w:rsidRPr="00F05339" w:rsidRDefault="00F53441" w:rsidP="00864737">
      <w:pPr>
        <w:pStyle w:val="Heading3"/>
        <w:numPr>
          <w:ilvl w:val="1"/>
          <w:numId w:val="1"/>
        </w:numPr>
        <w:jc w:val="both"/>
        <w:rPr>
          <w:rFonts w:ascii="Arial" w:hAnsi="Arial" w:cs="Arial"/>
        </w:rPr>
      </w:pPr>
      <w:bookmarkStart w:id="134" w:name="_Toc101516068"/>
      <w:r w:rsidRPr="00F05339">
        <w:rPr>
          <w:rFonts w:ascii="Arial" w:hAnsi="Arial" w:cs="Arial"/>
        </w:rPr>
        <w:t>Dissemination and information about projects results</w:t>
      </w:r>
      <w:bookmarkEnd w:id="132"/>
      <w:bookmarkEnd w:id="134"/>
    </w:p>
    <w:p w14:paraId="1256625E" w14:textId="3EEB3F94" w:rsidR="00D125E0" w:rsidRDefault="00D125E0" w:rsidP="00D125E0">
      <w:pPr>
        <w:jc w:val="both"/>
        <w:rPr>
          <w:rFonts w:ascii="Arial" w:hAnsi="Arial" w:cs="Arial"/>
        </w:rPr>
      </w:pPr>
      <w:r w:rsidRPr="00B97F86">
        <w:rPr>
          <w:rFonts w:ascii="Arial" w:hAnsi="Arial" w:cs="Arial"/>
        </w:rPr>
        <w:t>Closely aligned with the knowledge management</w:t>
      </w:r>
      <w:r>
        <w:rPr>
          <w:rFonts w:ascii="Arial" w:hAnsi="Arial" w:cs="Arial"/>
        </w:rPr>
        <w:t xml:space="preserve"> objectives</w:t>
      </w:r>
      <w:r w:rsidRPr="00B97F86">
        <w:rPr>
          <w:rFonts w:ascii="Arial" w:hAnsi="Arial" w:cs="Arial"/>
        </w:rPr>
        <w:t xml:space="preserve">, </w:t>
      </w:r>
      <w:r>
        <w:rPr>
          <w:rFonts w:ascii="Arial" w:hAnsi="Arial" w:cs="Arial"/>
        </w:rPr>
        <w:t xml:space="preserve">the </w:t>
      </w:r>
      <w:r w:rsidRPr="00B97F86">
        <w:rPr>
          <w:rFonts w:ascii="Arial" w:hAnsi="Arial" w:cs="Arial"/>
        </w:rPr>
        <w:t xml:space="preserve">monitoring </w:t>
      </w:r>
      <w:r>
        <w:rPr>
          <w:rFonts w:ascii="Arial" w:hAnsi="Arial" w:cs="Arial"/>
        </w:rPr>
        <w:t xml:space="preserve">of </w:t>
      </w:r>
      <w:r w:rsidRPr="00B97F86">
        <w:rPr>
          <w:rFonts w:ascii="Arial" w:hAnsi="Arial" w:cs="Arial"/>
        </w:rPr>
        <w:t>the</w:t>
      </w:r>
      <w:r w:rsidRPr="00B97F86" w:rsidDel="00561473">
        <w:rPr>
          <w:rFonts w:ascii="Arial" w:hAnsi="Arial" w:cs="Arial"/>
        </w:rPr>
        <w:t xml:space="preserve"> </w:t>
      </w:r>
      <w:r w:rsidRPr="00B97F86">
        <w:rPr>
          <w:rFonts w:ascii="Arial" w:hAnsi="Arial" w:cs="Arial"/>
        </w:rPr>
        <w:t xml:space="preserve">dissemination and exploitation activities of </w:t>
      </w:r>
      <w:r>
        <w:rPr>
          <w:rFonts w:ascii="Arial" w:hAnsi="Arial" w:cs="Arial"/>
        </w:rPr>
        <w:t xml:space="preserve">JU </w:t>
      </w:r>
      <w:r w:rsidRPr="00B97F86">
        <w:rPr>
          <w:rFonts w:ascii="Arial" w:hAnsi="Arial" w:cs="Arial"/>
        </w:rPr>
        <w:t>project</w:t>
      </w:r>
      <w:r>
        <w:rPr>
          <w:rFonts w:ascii="Arial" w:hAnsi="Arial" w:cs="Arial"/>
        </w:rPr>
        <w:t>s</w:t>
      </w:r>
      <w:r w:rsidRPr="00B97F86">
        <w:rPr>
          <w:rFonts w:ascii="Arial" w:hAnsi="Arial" w:cs="Arial"/>
        </w:rPr>
        <w:t xml:space="preserve"> continued during 20</w:t>
      </w:r>
      <w:r>
        <w:rPr>
          <w:rFonts w:ascii="Arial" w:hAnsi="Arial" w:cs="Arial"/>
        </w:rPr>
        <w:t>2</w:t>
      </w:r>
      <w:r w:rsidRPr="00D125E0">
        <w:rPr>
          <w:rFonts w:ascii="Arial" w:hAnsi="Arial" w:cs="Arial"/>
        </w:rPr>
        <w:t>1</w:t>
      </w:r>
      <w:r>
        <w:rPr>
          <w:rFonts w:ascii="Arial" w:hAnsi="Arial" w:cs="Arial"/>
        </w:rPr>
        <w:t xml:space="preserve">, as well as following closely the EC activities towards preparation for the post-H2020 period and the Horizon Europe. </w:t>
      </w:r>
      <w:r w:rsidR="001731C4">
        <w:rPr>
          <w:rFonts w:ascii="Arial" w:hAnsi="Arial" w:cs="Arial"/>
        </w:rPr>
        <w:t xml:space="preserve">The </w:t>
      </w:r>
      <w:r>
        <w:rPr>
          <w:rFonts w:ascii="Arial" w:hAnsi="Arial" w:cs="Arial"/>
        </w:rPr>
        <w:t>JU will continue to support efforts in the same direction.</w:t>
      </w:r>
    </w:p>
    <w:p w14:paraId="3AD7FB09" w14:textId="18CE00E6" w:rsidR="00F36753" w:rsidRDefault="00D125E0" w:rsidP="000572B5">
      <w:pPr>
        <w:jc w:val="both"/>
        <w:rPr>
          <w:rFonts w:ascii="Arial" w:hAnsi="Arial" w:cs="Arial"/>
          <w:szCs w:val="32"/>
        </w:rPr>
      </w:pPr>
      <w:r w:rsidRPr="009B207E">
        <w:rPr>
          <w:rFonts w:ascii="Arial" w:hAnsi="Arial" w:cs="Arial"/>
          <w:b/>
        </w:rPr>
        <w:t>Dissemination and Exploitation Internal Guide</w:t>
      </w:r>
      <w:r w:rsidRPr="009813F3">
        <w:rPr>
          <w:rFonts w:ascii="Arial" w:hAnsi="Arial" w:cs="Arial"/>
          <w:b/>
        </w:rPr>
        <w:t xml:space="preserve">: </w:t>
      </w:r>
      <w:r w:rsidR="00A118BC" w:rsidRPr="009608A8">
        <w:rPr>
          <w:rFonts w:ascii="Arial" w:hAnsi="Arial" w:cs="Arial"/>
          <w:bCs/>
        </w:rPr>
        <w:t xml:space="preserve">In H2020, </w:t>
      </w:r>
      <w:r w:rsidRPr="009813F3">
        <w:rPr>
          <w:rFonts w:ascii="Arial" w:hAnsi="Arial" w:cs="Arial"/>
          <w:szCs w:val="32"/>
        </w:rPr>
        <w:t xml:space="preserve">JU strongly and actively supported the initiatives of the EC to reinforce the Dissemination and Exploitation (D&amp;E) of the results of the projects. </w:t>
      </w:r>
      <w:r w:rsidR="00513718">
        <w:rPr>
          <w:rFonts w:ascii="Arial" w:hAnsi="Arial" w:cs="Arial"/>
          <w:szCs w:val="32"/>
        </w:rPr>
        <w:t xml:space="preserve">However, during an audit performed in 2020 </w:t>
      </w:r>
      <w:r w:rsidR="00513718" w:rsidRPr="00513718">
        <w:rPr>
          <w:rFonts w:ascii="Arial" w:hAnsi="Arial" w:cs="Arial"/>
          <w:szCs w:val="32"/>
        </w:rPr>
        <w:t xml:space="preserve">to assess the adequacy of the design and the efficiency and effectiveness of the internal control system in place in </w:t>
      </w:r>
      <w:r w:rsidR="00513718">
        <w:rPr>
          <w:rFonts w:ascii="Arial" w:hAnsi="Arial" w:cs="Arial"/>
          <w:szCs w:val="32"/>
        </w:rPr>
        <w:t xml:space="preserve">JU </w:t>
      </w:r>
      <w:r w:rsidR="00513718" w:rsidRPr="00513718">
        <w:rPr>
          <w:rFonts w:ascii="Arial" w:hAnsi="Arial" w:cs="Arial"/>
          <w:szCs w:val="32"/>
        </w:rPr>
        <w:t>for the implementation of grant agreements under the Horizon 2020 programme</w:t>
      </w:r>
      <w:r w:rsidR="00513718">
        <w:rPr>
          <w:rFonts w:ascii="Arial" w:hAnsi="Arial" w:cs="Arial"/>
          <w:szCs w:val="32"/>
        </w:rPr>
        <w:t xml:space="preserve">, the IAS made a recommendation concerning the monitoring of dissemination, </w:t>
      </w:r>
      <w:proofErr w:type="gramStart"/>
      <w:r w:rsidR="00513718">
        <w:rPr>
          <w:rFonts w:ascii="Arial" w:hAnsi="Arial" w:cs="Arial"/>
          <w:szCs w:val="32"/>
        </w:rPr>
        <w:t>exploitation</w:t>
      </w:r>
      <w:proofErr w:type="gramEnd"/>
      <w:r w:rsidR="00513718">
        <w:rPr>
          <w:rFonts w:ascii="Arial" w:hAnsi="Arial" w:cs="Arial"/>
          <w:szCs w:val="32"/>
        </w:rPr>
        <w:t xml:space="preserve"> and communications of the project.</w:t>
      </w:r>
      <w:r w:rsidR="00311CA4">
        <w:rPr>
          <w:rFonts w:ascii="Arial" w:hAnsi="Arial" w:cs="Arial"/>
          <w:szCs w:val="32"/>
        </w:rPr>
        <w:t xml:space="preserve"> The action plan included verification steps for the POs to follow up the submission during the periodic assessment of an updated D&amp;E plan, assessing its quality and adequacy, </w:t>
      </w:r>
      <w:r w:rsidR="000572B5">
        <w:rPr>
          <w:rFonts w:ascii="Arial" w:hAnsi="Arial" w:cs="Arial"/>
          <w:szCs w:val="32"/>
        </w:rPr>
        <w:t xml:space="preserve">and the peer-reviewed publications and communication material </w:t>
      </w:r>
      <w:r w:rsidR="000572B5" w:rsidRPr="000572B5">
        <w:rPr>
          <w:rFonts w:ascii="Arial" w:hAnsi="Arial" w:cs="Arial"/>
          <w:szCs w:val="32"/>
        </w:rPr>
        <w:t>by project partners to fulfil the requirements set out in the grant</w:t>
      </w:r>
      <w:r w:rsidR="000572B5">
        <w:rPr>
          <w:rFonts w:ascii="Arial" w:hAnsi="Arial" w:cs="Arial"/>
          <w:szCs w:val="32"/>
        </w:rPr>
        <w:t xml:space="preserve"> agreement. Also, the JU should include instructions for the project coordinators to emphasize on D&amp;E during the kick-off meetings and, finally, </w:t>
      </w:r>
      <w:r w:rsidR="000572B5" w:rsidRPr="000572B5">
        <w:rPr>
          <w:rFonts w:ascii="Arial" w:hAnsi="Arial" w:cs="Arial"/>
          <w:szCs w:val="32"/>
        </w:rPr>
        <w:t xml:space="preserve">share </w:t>
      </w:r>
      <w:r w:rsidR="000572B5">
        <w:rPr>
          <w:rFonts w:ascii="Arial" w:hAnsi="Arial" w:cs="Arial"/>
          <w:szCs w:val="32"/>
        </w:rPr>
        <w:t xml:space="preserve">its </w:t>
      </w:r>
      <w:r w:rsidR="000572B5" w:rsidRPr="000572B5">
        <w:rPr>
          <w:rFonts w:ascii="Arial" w:hAnsi="Arial" w:cs="Arial"/>
          <w:szCs w:val="32"/>
        </w:rPr>
        <w:t>general observations and recommendations</w:t>
      </w:r>
      <w:r w:rsidR="000572B5">
        <w:rPr>
          <w:rFonts w:ascii="Arial" w:hAnsi="Arial" w:cs="Arial"/>
          <w:szCs w:val="32"/>
        </w:rPr>
        <w:t xml:space="preserve"> concerning the implementation of the D&amp;E plans with the director of the CIC.</w:t>
      </w:r>
    </w:p>
    <w:p w14:paraId="05A44343" w14:textId="32053FB6" w:rsidR="00513718" w:rsidRPr="00196C2E" w:rsidRDefault="00424AB1" w:rsidP="000572B5">
      <w:pPr>
        <w:jc w:val="both"/>
        <w:rPr>
          <w:rFonts w:ascii="Arial" w:hAnsi="Arial" w:cs="Arial"/>
          <w:szCs w:val="32"/>
        </w:rPr>
      </w:pPr>
      <w:r>
        <w:rPr>
          <w:rFonts w:ascii="Arial" w:hAnsi="Arial" w:cs="Arial"/>
          <w:szCs w:val="32"/>
        </w:rPr>
        <w:t xml:space="preserve">As </w:t>
      </w:r>
      <w:r w:rsidR="00C26D77">
        <w:rPr>
          <w:rFonts w:ascii="Arial" w:hAnsi="Arial" w:cs="Arial"/>
          <w:szCs w:val="32"/>
        </w:rPr>
        <w:t>part of the action plan</w:t>
      </w:r>
      <w:r>
        <w:rPr>
          <w:rFonts w:ascii="Arial" w:hAnsi="Arial" w:cs="Arial"/>
          <w:szCs w:val="32"/>
        </w:rPr>
        <w:t xml:space="preserve">, in June 2021 the JU </w:t>
      </w:r>
      <w:r w:rsidR="00C26D77">
        <w:rPr>
          <w:rFonts w:ascii="Arial" w:hAnsi="Arial" w:cs="Arial"/>
          <w:szCs w:val="32"/>
        </w:rPr>
        <w:t xml:space="preserve">sent a letter to the CIC to ask for guidance on the monitoring of implementation of the D&amp;E plans, during and after the end of the projects. The CIC replied focusing on the EC ecosystem of tools and services provided to support the </w:t>
      </w:r>
      <w:r w:rsidR="00C26D77">
        <w:rPr>
          <w:rFonts w:ascii="Arial" w:hAnsi="Arial" w:cs="Arial"/>
          <w:szCs w:val="32"/>
        </w:rPr>
        <w:lastRenderedPageBreak/>
        <w:t xml:space="preserve">projects (HRB, HRP etc) and additional tools to be developed </w:t>
      </w:r>
      <w:r w:rsidR="00772723">
        <w:rPr>
          <w:rFonts w:ascii="Arial" w:hAnsi="Arial" w:cs="Arial"/>
          <w:szCs w:val="32"/>
        </w:rPr>
        <w:t xml:space="preserve">by the D&amp;E Group </w:t>
      </w:r>
      <w:r w:rsidR="00C26D77">
        <w:rPr>
          <w:rFonts w:ascii="Arial" w:hAnsi="Arial" w:cs="Arial"/>
          <w:szCs w:val="32"/>
        </w:rPr>
        <w:t>for the monitoring of D&amp;E after the end of the project</w:t>
      </w:r>
      <w:r w:rsidR="00F36753">
        <w:rPr>
          <w:rFonts w:ascii="Arial" w:hAnsi="Arial" w:cs="Arial"/>
          <w:szCs w:val="32"/>
        </w:rPr>
        <w:t>s</w:t>
      </w:r>
      <w:r w:rsidR="00772723">
        <w:rPr>
          <w:rFonts w:ascii="Arial" w:hAnsi="Arial" w:cs="Arial"/>
          <w:szCs w:val="32"/>
        </w:rPr>
        <w:t xml:space="preserve"> under Horizon Europe</w:t>
      </w:r>
      <w:r w:rsidR="00F36753">
        <w:rPr>
          <w:rFonts w:ascii="Arial" w:hAnsi="Arial" w:cs="Arial"/>
          <w:szCs w:val="32"/>
        </w:rPr>
        <w:t>.</w:t>
      </w:r>
    </w:p>
    <w:p w14:paraId="170867D3" w14:textId="1C053616" w:rsidR="00D125E0" w:rsidRDefault="00F36753" w:rsidP="00D125E0">
      <w:pPr>
        <w:jc w:val="both"/>
        <w:rPr>
          <w:rFonts w:ascii="Arial" w:hAnsi="Arial" w:cs="Arial"/>
          <w:szCs w:val="32"/>
        </w:rPr>
      </w:pPr>
      <w:r>
        <w:rPr>
          <w:rFonts w:ascii="Arial" w:hAnsi="Arial" w:cs="Arial"/>
          <w:szCs w:val="32"/>
        </w:rPr>
        <w:t xml:space="preserve">Moreover, the JU has developed a </w:t>
      </w:r>
      <w:r w:rsidRPr="00A118BC">
        <w:rPr>
          <w:rFonts w:ascii="Arial" w:hAnsi="Arial" w:cs="Arial"/>
          <w:szCs w:val="32"/>
        </w:rPr>
        <w:t>Dissemination and Exploitation Internal Guide</w:t>
      </w:r>
      <w:r>
        <w:rPr>
          <w:rFonts w:ascii="Arial" w:hAnsi="Arial" w:cs="Arial"/>
          <w:szCs w:val="32"/>
        </w:rPr>
        <w:t xml:space="preserve"> </w:t>
      </w:r>
      <w:r w:rsidRPr="00A118BC">
        <w:rPr>
          <w:rFonts w:ascii="Arial" w:hAnsi="Arial" w:cs="Arial"/>
          <w:szCs w:val="32"/>
        </w:rPr>
        <w:t>for the project officers and the officials of the Operations and Communications Unit to serve as a flexible guidance framework to monitor dissemination and exploitation obligations under the H2020 and the Horizon Europe Framework Programmes</w:t>
      </w:r>
      <w:r>
        <w:rPr>
          <w:rFonts w:ascii="Arial" w:hAnsi="Arial" w:cs="Arial"/>
          <w:szCs w:val="32"/>
        </w:rPr>
        <w:t>. As an integral part of the action plan, this Guide outlines</w:t>
      </w:r>
      <w:r w:rsidR="00D125E0" w:rsidRPr="009813F3">
        <w:rPr>
          <w:rFonts w:ascii="Arial" w:hAnsi="Arial" w:cs="Arial"/>
          <w:szCs w:val="32"/>
        </w:rPr>
        <w:t xml:space="preserve"> the D&amp;E monitoring good practices that are already implemented for the projects during and beyond their lifetime</w:t>
      </w:r>
      <w:r w:rsidRPr="00F36753">
        <w:rPr>
          <w:rFonts w:ascii="Arial" w:hAnsi="Arial" w:cs="Arial"/>
          <w:szCs w:val="32"/>
        </w:rPr>
        <w:t xml:space="preserve"> </w:t>
      </w:r>
      <w:r w:rsidRPr="009813F3">
        <w:rPr>
          <w:rFonts w:ascii="Arial" w:hAnsi="Arial" w:cs="Arial"/>
          <w:szCs w:val="32"/>
        </w:rPr>
        <w:t>and what additional steps are foreseen to enhance the monitoring of the D&amp;E in project level under H2020 programme in a concrete, structured manner.</w:t>
      </w:r>
      <w:r w:rsidR="00790416">
        <w:rPr>
          <w:rFonts w:ascii="Arial" w:hAnsi="Arial" w:cs="Arial"/>
          <w:szCs w:val="32"/>
        </w:rPr>
        <w:t xml:space="preserve"> </w:t>
      </w:r>
      <w:r w:rsidR="00D125E0" w:rsidRPr="009813F3">
        <w:rPr>
          <w:rFonts w:ascii="Arial" w:hAnsi="Arial" w:cs="Arial"/>
          <w:szCs w:val="32"/>
        </w:rPr>
        <w:t>A list of consecutive steps to follow is provided, followed by detailed guidelines in each step, that extends from the Call for Proposals and the Model Grand Agreement</w:t>
      </w:r>
      <w:r w:rsidR="00D125E0">
        <w:rPr>
          <w:rStyle w:val="FootnoteReference"/>
          <w:rFonts w:ascii="Arial" w:hAnsi="Arial" w:cs="Arial"/>
          <w:szCs w:val="32"/>
        </w:rPr>
        <w:footnoteReference w:id="83"/>
      </w:r>
      <w:r w:rsidR="00D125E0" w:rsidRPr="009813F3">
        <w:rPr>
          <w:rFonts w:ascii="Arial" w:hAnsi="Arial" w:cs="Arial"/>
          <w:szCs w:val="32"/>
        </w:rPr>
        <w:t xml:space="preserve"> provisions to the period of 4-years after the end of the project. This project-level approach is being complemented by a thorough </w:t>
      </w:r>
      <w:r w:rsidR="00D125E0">
        <w:rPr>
          <w:rFonts w:ascii="Arial" w:hAnsi="Arial" w:cs="Arial"/>
          <w:szCs w:val="32"/>
        </w:rPr>
        <w:t>mapping</w:t>
      </w:r>
      <w:r w:rsidR="00D125E0" w:rsidRPr="009813F3">
        <w:rPr>
          <w:rFonts w:ascii="Arial" w:hAnsi="Arial" w:cs="Arial"/>
          <w:szCs w:val="32"/>
        </w:rPr>
        <w:t xml:space="preserve"> of overarching activities that the JU currently </w:t>
      </w:r>
      <w:r w:rsidR="00D125E0" w:rsidRPr="000A2004">
        <w:rPr>
          <w:rFonts w:ascii="Arial" w:hAnsi="Arial" w:cs="Arial"/>
          <w:szCs w:val="32"/>
        </w:rPr>
        <w:t>perform</w:t>
      </w:r>
      <w:r w:rsidR="00D125E0">
        <w:rPr>
          <w:rFonts w:ascii="Arial" w:hAnsi="Arial" w:cs="Arial"/>
          <w:szCs w:val="32"/>
        </w:rPr>
        <w:t>s</w:t>
      </w:r>
      <w:r w:rsidR="00D125E0" w:rsidRPr="009813F3">
        <w:rPr>
          <w:rFonts w:ascii="Arial" w:hAnsi="Arial" w:cs="Arial"/>
          <w:szCs w:val="32"/>
        </w:rPr>
        <w:t xml:space="preserve"> to support the D&amp;E function in programme level.</w:t>
      </w:r>
      <w:r w:rsidR="00D125E0" w:rsidRPr="00FC6C43">
        <w:rPr>
          <w:rFonts w:ascii="Arial" w:hAnsi="Arial" w:cs="Arial"/>
          <w:szCs w:val="32"/>
        </w:rPr>
        <w:t xml:space="preserve"> </w:t>
      </w:r>
      <w:r w:rsidR="00D125E0">
        <w:rPr>
          <w:rFonts w:ascii="Arial" w:hAnsi="Arial" w:cs="Arial"/>
          <w:szCs w:val="32"/>
        </w:rPr>
        <w:t>A training session focused on the new guidance and the implementation of the steps for the POs will take place in March 2022.</w:t>
      </w:r>
    </w:p>
    <w:p w14:paraId="3883BB8E" w14:textId="2521444C" w:rsidR="00D125E0" w:rsidRDefault="00D125E0" w:rsidP="00D125E0">
      <w:pPr>
        <w:jc w:val="both"/>
        <w:rPr>
          <w:rFonts w:ascii="Arial" w:hAnsi="Arial" w:cs="Arial"/>
          <w:bCs/>
        </w:rPr>
      </w:pPr>
      <w:r w:rsidRPr="009B207E">
        <w:rPr>
          <w:rFonts w:ascii="Arial" w:hAnsi="Arial" w:cs="Arial"/>
          <w:b/>
        </w:rPr>
        <w:t xml:space="preserve">New activity for ended projects: </w:t>
      </w:r>
      <w:r>
        <w:rPr>
          <w:rFonts w:ascii="Arial" w:hAnsi="Arial" w:cs="Arial"/>
          <w:bCs/>
        </w:rPr>
        <w:t xml:space="preserve">One of the main issues regarding the project implementation remains the continuation of the D&amp;E activities of the project beneficiaries after the end of the funding period and the last payment. According </w:t>
      </w:r>
      <w:r w:rsidRPr="009813F3">
        <w:rPr>
          <w:rFonts w:ascii="Arial" w:hAnsi="Arial" w:cs="Arial"/>
          <w:bCs/>
        </w:rPr>
        <w:t xml:space="preserve">to the Article 28.1 of H2020 </w:t>
      </w:r>
      <w:r w:rsidR="00FC6485">
        <w:rPr>
          <w:rFonts w:ascii="Arial" w:hAnsi="Arial" w:cs="Arial"/>
          <w:bCs/>
        </w:rPr>
        <w:t>Model Grant Agreement (</w:t>
      </w:r>
      <w:r w:rsidRPr="009813F3">
        <w:rPr>
          <w:rFonts w:ascii="Arial" w:hAnsi="Arial" w:cs="Arial"/>
          <w:bCs/>
        </w:rPr>
        <w:t>MGA</w:t>
      </w:r>
      <w:r w:rsidR="00FC6485">
        <w:rPr>
          <w:rFonts w:ascii="Arial" w:hAnsi="Arial" w:cs="Arial"/>
          <w:bCs/>
        </w:rPr>
        <w:t>)</w:t>
      </w:r>
      <w:r w:rsidRPr="009813F3">
        <w:rPr>
          <w:rFonts w:ascii="Arial" w:hAnsi="Arial" w:cs="Arial"/>
          <w:bCs/>
        </w:rPr>
        <w:t xml:space="preserve">, beneficiaries </w:t>
      </w:r>
      <w:proofErr w:type="gramStart"/>
      <w:r w:rsidRPr="009813F3">
        <w:rPr>
          <w:rFonts w:ascii="Arial" w:hAnsi="Arial" w:cs="Arial"/>
          <w:bCs/>
        </w:rPr>
        <w:t>have to</w:t>
      </w:r>
      <w:proofErr w:type="gramEnd"/>
      <w:r w:rsidRPr="009813F3">
        <w:rPr>
          <w:rFonts w:ascii="Arial" w:hAnsi="Arial" w:cs="Arial"/>
          <w:bCs/>
        </w:rPr>
        <w:t xml:space="preserve"> take measures aiming to ensure ‘exploitation’ of its results up to four years after the end of a project.</w:t>
      </w:r>
    </w:p>
    <w:p w14:paraId="30BF0F61" w14:textId="66724C9D" w:rsidR="00D125E0" w:rsidRPr="00461793" w:rsidRDefault="00D125E0" w:rsidP="00D125E0">
      <w:pPr>
        <w:jc w:val="both"/>
        <w:rPr>
          <w:rFonts w:cstheme="minorHAnsi"/>
        </w:rPr>
      </w:pPr>
      <w:r w:rsidRPr="009B207E">
        <w:rPr>
          <w:rFonts w:ascii="Arial" w:hAnsi="Arial" w:cs="Arial"/>
          <w:bCs/>
        </w:rPr>
        <w:t xml:space="preserve">The new internal D&amp;E guide has been put in force </w:t>
      </w:r>
      <w:r>
        <w:rPr>
          <w:rFonts w:ascii="Arial" w:hAnsi="Arial" w:cs="Arial"/>
          <w:bCs/>
        </w:rPr>
        <w:t xml:space="preserve">in November 2021 </w:t>
      </w:r>
      <w:r w:rsidRPr="009B207E">
        <w:rPr>
          <w:rFonts w:ascii="Arial" w:hAnsi="Arial" w:cs="Arial"/>
          <w:bCs/>
        </w:rPr>
        <w:t>with the dispatch of a specific correspondence</w:t>
      </w:r>
      <w:r w:rsidRPr="00927E36">
        <w:rPr>
          <w:rFonts w:ascii="Arial" w:hAnsi="Arial" w:cs="Arial"/>
          <w:bCs/>
        </w:rPr>
        <w:t xml:space="preserve"> through C</w:t>
      </w:r>
      <w:r w:rsidR="00FC6485">
        <w:rPr>
          <w:rFonts w:ascii="Arial" w:hAnsi="Arial" w:cs="Arial"/>
          <w:bCs/>
        </w:rPr>
        <w:t>OMPASS</w:t>
      </w:r>
      <w:r>
        <w:rPr>
          <w:rFonts w:ascii="Arial" w:hAnsi="Arial" w:cs="Arial"/>
          <w:szCs w:val="32"/>
        </w:rPr>
        <w:t xml:space="preserve"> to 7 projects that concluded their funding period approximately 18 months before (in the 1</w:t>
      </w:r>
      <w:r w:rsidRPr="00461793">
        <w:rPr>
          <w:rFonts w:ascii="Arial" w:hAnsi="Arial" w:cs="Arial"/>
          <w:szCs w:val="32"/>
          <w:vertAlign w:val="superscript"/>
        </w:rPr>
        <w:t>st</w:t>
      </w:r>
      <w:r>
        <w:rPr>
          <w:rFonts w:ascii="Arial" w:hAnsi="Arial" w:cs="Arial"/>
          <w:szCs w:val="32"/>
        </w:rPr>
        <w:t xml:space="preserve"> semester of 2020), as a means to collect information on the D&amp;E activities of the projects after the final payment and to motivate them to proceed with the exploitation of their results using all the available EC tools and services (like the Horizon Results Platform, the HR Booster etc). This activity is expected to be performed at least twice a year to comply by the provision of the internal D&amp;E guide.</w:t>
      </w:r>
    </w:p>
    <w:p w14:paraId="2CBDB915" w14:textId="77777777" w:rsidR="00D125E0" w:rsidRPr="00927E36" w:rsidRDefault="00D125E0" w:rsidP="00D125E0">
      <w:pPr>
        <w:jc w:val="both"/>
      </w:pPr>
      <w:r>
        <w:rPr>
          <w:rFonts w:ascii="Arial" w:hAnsi="Arial" w:cs="Arial"/>
          <w:b/>
        </w:rPr>
        <w:t>Horizon Groups</w:t>
      </w:r>
      <w:r w:rsidRPr="009767AA">
        <w:rPr>
          <w:rFonts w:ascii="Arial" w:hAnsi="Arial" w:cs="Arial"/>
          <w:b/>
        </w:rPr>
        <w:t>:</w:t>
      </w:r>
      <w:r>
        <w:rPr>
          <w:rFonts w:ascii="Arial" w:hAnsi="Arial" w:cs="Arial"/>
        </w:rPr>
        <w:t xml:space="preserve"> Under the new </w:t>
      </w:r>
      <w:r w:rsidRPr="007E5956">
        <w:rPr>
          <w:rFonts w:ascii="Arial" w:hAnsi="Arial" w:cs="Arial"/>
          <w:szCs w:val="32"/>
        </w:rPr>
        <w:t xml:space="preserve">Dissemination &amp; Exploitation (D&amp;E) </w:t>
      </w:r>
      <w:r>
        <w:rPr>
          <w:rFonts w:ascii="Arial" w:hAnsi="Arial" w:cs="Arial"/>
        </w:rPr>
        <w:t>Strategy</w:t>
      </w:r>
      <w:r>
        <w:rPr>
          <w:rStyle w:val="FootnoteReference"/>
          <w:rFonts w:ascii="Arial" w:hAnsi="Arial" w:cs="Arial"/>
        </w:rPr>
        <w:footnoteReference w:id="84"/>
      </w:r>
      <w:r w:rsidRPr="007E5956">
        <w:rPr>
          <w:rFonts w:ascii="Arial" w:hAnsi="Arial" w:cs="Arial"/>
          <w:szCs w:val="32"/>
        </w:rPr>
        <w:t xml:space="preserve"> for Horizon Europe</w:t>
      </w:r>
      <w:r>
        <w:rPr>
          <w:rFonts w:ascii="Arial" w:hAnsi="Arial" w:cs="Arial"/>
          <w:szCs w:val="32"/>
        </w:rPr>
        <w:t>,</w:t>
      </w:r>
      <w:r w:rsidRPr="007E5956">
        <w:rPr>
          <w:rFonts w:ascii="Arial" w:hAnsi="Arial" w:cs="Arial"/>
          <w:szCs w:val="32"/>
        </w:rPr>
        <w:t xml:space="preserve"> </w:t>
      </w:r>
      <w:r w:rsidRPr="00554134">
        <w:rPr>
          <w:rFonts w:ascii="Arial" w:hAnsi="Arial" w:cs="Arial"/>
          <w:szCs w:val="32"/>
        </w:rPr>
        <w:t>a revamped and streamlined governance (replacing the former D&amp;E Network configuration and its six Working Groups) for the implementation of the D&amp;E policy during 2021-2027</w:t>
      </w:r>
      <w:r>
        <w:rPr>
          <w:rFonts w:ascii="Arial" w:hAnsi="Arial" w:cs="Arial"/>
          <w:szCs w:val="32"/>
        </w:rPr>
        <w:t xml:space="preserve"> has been established and implemented during 2021</w:t>
      </w:r>
      <w:r w:rsidRPr="00554134">
        <w:rPr>
          <w:rFonts w:ascii="Arial" w:hAnsi="Arial" w:cs="Arial"/>
          <w:szCs w:val="32"/>
        </w:rPr>
        <w:t xml:space="preserve">. </w:t>
      </w:r>
      <w:r w:rsidRPr="009813F3">
        <w:rPr>
          <w:rFonts w:ascii="Arial" w:hAnsi="Arial" w:cs="Arial"/>
          <w:szCs w:val="32"/>
        </w:rPr>
        <w:t>The governance structure consist</w:t>
      </w:r>
      <w:r>
        <w:rPr>
          <w:rFonts w:ascii="Arial" w:hAnsi="Arial" w:cs="Arial"/>
          <w:szCs w:val="32"/>
        </w:rPr>
        <w:t>s</w:t>
      </w:r>
      <w:r w:rsidRPr="009813F3">
        <w:rPr>
          <w:rFonts w:ascii="Arial" w:hAnsi="Arial" w:cs="Arial"/>
          <w:szCs w:val="32"/>
        </w:rPr>
        <w:t xml:space="preserve"> of the following coordination groups:</w:t>
      </w:r>
    </w:p>
    <w:p w14:paraId="057220FE" w14:textId="77777777" w:rsidR="00D125E0" w:rsidRPr="00B364CB" w:rsidRDefault="00D125E0" w:rsidP="002672A0">
      <w:pPr>
        <w:pStyle w:val="MAWP-Bodytext"/>
        <w:numPr>
          <w:ilvl w:val="0"/>
          <w:numId w:val="36"/>
        </w:numPr>
      </w:pPr>
      <w:r w:rsidRPr="00B364CB">
        <w:t>The Horizon Dissemination &amp; Exploitation Group</w:t>
      </w:r>
      <w:r>
        <w:t xml:space="preserve"> (D&amp;E Group)</w:t>
      </w:r>
      <w:r w:rsidRPr="00B364CB">
        <w:t xml:space="preserve">, and </w:t>
      </w:r>
    </w:p>
    <w:p w14:paraId="066852E5" w14:textId="77777777" w:rsidR="00D125E0" w:rsidRPr="00B364CB" w:rsidRDefault="00D125E0" w:rsidP="002672A0">
      <w:pPr>
        <w:pStyle w:val="MAWP-Bodytext"/>
        <w:numPr>
          <w:ilvl w:val="0"/>
          <w:numId w:val="36"/>
        </w:numPr>
      </w:pPr>
      <w:r w:rsidRPr="00B364CB">
        <w:t>The Horizon Feedback to Policy Group</w:t>
      </w:r>
      <w:r>
        <w:t xml:space="preserve"> (F2P Group)</w:t>
      </w:r>
      <w:r w:rsidRPr="00B364CB">
        <w:t>.</w:t>
      </w:r>
    </w:p>
    <w:p w14:paraId="6B40CB85" w14:textId="0EF8B6B9" w:rsidR="00D125E0" w:rsidRDefault="00D125E0" w:rsidP="00D125E0">
      <w:pPr>
        <w:jc w:val="both"/>
        <w:rPr>
          <w:rFonts w:ascii="Arial" w:hAnsi="Arial" w:cs="Arial"/>
        </w:rPr>
      </w:pPr>
      <w:r>
        <w:rPr>
          <w:rFonts w:ascii="Arial" w:hAnsi="Arial" w:cs="Arial"/>
        </w:rPr>
        <w:t xml:space="preserve">For each of the groups 4 meetings per annum are scheduled. However, in 2021 only two meetings in each group were held. </w:t>
      </w:r>
      <w:r w:rsidR="009B379E">
        <w:rPr>
          <w:rFonts w:ascii="Arial" w:hAnsi="Arial" w:cs="Arial"/>
        </w:rPr>
        <w:t xml:space="preserve">The </w:t>
      </w:r>
      <w:r w:rsidRPr="00B97F86">
        <w:rPr>
          <w:rFonts w:ascii="Arial" w:hAnsi="Arial" w:cs="Arial"/>
        </w:rPr>
        <w:t>JU has appointed representatives for each group</w:t>
      </w:r>
      <w:r>
        <w:rPr>
          <w:rFonts w:ascii="Arial" w:hAnsi="Arial" w:cs="Arial"/>
        </w:rPr>
        <w:t xml:space="preserve">, </w:t>
      </w:r>
      <w:r w:rsidRPr="00B97F86">
        <w:rPr>
          <w:rFonts w:ascii="Arial" w:hAnsi="Arial" w:cs="Arial"/>
        </w:rPr>
        <w:t>following their activities closely</w:t>
      </w:r>
      <w:r>
        <w:rPr>
          <w:rFonts w:ascii="Arial" w:hAnsi="Arial" w:cs="Arial"/>
        </w:rPr>
        <w:t>,</w:t>
      </w:r>
      <w:r w:rsidRPr="00B97F86">
        <w:rPr>
          <w:rFonts w:ascii="Arial" w:hAnsi="Arial" w:cs="Arial"/>
        </w:rPr>
        <w:t xml:space="preserve"> while contributing to the periodical meetings. </w:t>
      </w:r>
    </w:p>
    <w:p w14:paraId="2FCC8D3A" w14:textId="77777777" w:rsidR="00D125E0" w:rsidRDefault="00D125E0" w:rsidP="00D125E0">
      <w:pPr>
        <w:jc w:val="both"/>
        <w:rPr>
          <w:rFonts w:ascii="Arial" w:hAnsi="Arial" w:cs="Arial"/>
        </w:rPr>
      </w:pPr>
      <w:r>
        <w:rPr>
          <w:rFonts w:ascii="Arial" w:hAnsi="Arial" w:cs="Arial"/>
        </w:rPr>
        <w:lastRenderedPageBreak/>
        <w:t>Following the preparation to establish an</w:t>
      </w:r>
      <w:r w:rsidRPr="00495215">
        <w:rPr>
          <w:rFonts w:ascii="Arial" w:hAnsi="Arial" w:cs="Arial"/>
        </w:rPr>
        <w:t xml:space="preserve"> i</w:t>
      </w:r>
      <w:r w:rsidRPr="009767AA">
        <w:rPr>
          <w:rFonts w:ascii="Arial" w:hAnsi="Arial" w:cs="Arial"/>
        </w:rPr>
        <w:t>ntegrated Dissemination &amp; Exploitation Ecosystem</w:t>
      </w:r>
      <w:r>
        <w:rPr>
          <w:rFonts w:ascii="Arial" w:hAnsi="Arial" w:cs="Arial"/>
        </w:rPr>
        <w:t xml:space="preserve"> of tools and services for the Horizon Europe and based on the work made and the actions performed by the former Working Groups, the kick-off meeting of the D&amp;E Group held in July 2021 to discuss the progress report of 2020-2021 and the D&amp;E Action Plan of 2021-2022, and the 2</w:t>
      </w:r>
      <w:r w:rsidRPr="009813F3">
        <w:rPr>
          <w:rFonts w:ascii="Arial" w:hAnsi="Arial" w:cs="Arial"/>
          <w:vertAlign w:val="superscript"/>
        </w:rPr>
        <w:t>nd</w:t>
      </w:r>
      <w:r>
        <w:rPr>
          <w:rFonts w:ascii="Arial" w:hAnsi="Arial" w:cs="Arial"/>
        </w:rPr>
        <w:t xml:space="preserve"> meeting in October 2021 to discuss the state-of-play of the action plan and best practices that the implementing bodies performing or planning on D&amp;E, focusing especially on the monitoring of D&amp;E activities of the projects after the end of the funding period.</w:t>
      </w:r>
    </w:p>
    <w:p w14:paraId="5552B0BA" w14:textId="77777777" w:rsidR="00D125E0" w:rsidRPr="00234747" w:rsidRDefault="00D125E0" w:rsidP="00D125E0">
      <w:pPr>
        <w:jc w:val="both"/>
        <w:rPr>
          <w:rFonts w:ascii="Arial" w:hAnsi="Arial" w:cs="Arial"/>
        </w:rPr>
      </w:pPr>
      <w:r>
        <w:rPr>
          <w:rFonts w:ascii="Arial" w:hAnsi="Arial" w:cs="Arial"/>
        </w:rPr>
        <w:t>As regards the F2P Group, the kick-off meeting was held in July 2021 and the 2</w:t>
      </w:r>
      <w:r w:rsidRPr="009813F3">
        <w:rPr>
          <w:rFonts w:ascii="Arial" w:hAnsi="Arial" w:cs="Arial"/>
          <w:vertAlign w:val="superscript"/>
        </w:rPr>
        <w:t>nd</w:t>
      </w:r>
      <w:r>
        <w:rPr>
          <w:rFonts w:ascii="Arial" w:hAnsi="Arial" w:cs="Arial"/>
        </w:rPr>
        <w:t xml:space="preserve"> in October 2021. The key issues are related to the implementation of the new Feedback-to-Policy Framework. The main steps of the action plan consist of the set-up of the Joint team in the level of Cluster 5 and the definition of the feedback to policy plans within the cluster, the gradual development of an ecosystem of tools to support the team and the trainings and activities to enable cultural change in the institutions and implementing bodies. </w:t>
      </w:r>
    </w:p>
    <w:p w14:paraId="6052B46C" w14:textId="76868AAE" w:rsidR="00D125E0" w:rsidRPr="002F0DA7" w:rsidRDefault="00D125E0" w:rsidP="00D125E0">
      <w:pPr>
        <w:jc w:val="both"/>
        <w:rPr>
          <w:rFonts w:ascii="Arial" w:hAnsi="Arial" w:cs="Arial"/>
        </w:rPr>
      </w:pPr>
      <w:r w:rsidRPr="009767AA">
        <w:rPr>
          <w:rFonts w:ascii="Arial" w:hAnsi="Arial" w:cs="Arial"/>
          <w:b/>
        </w:rPr>
        <w:t>Horizon Results Platform</w:t>
      </w:r>
      <w:r w:rsidRPr="004035C1">
        <w:rPr>
          <w:rFonts w:ascii="Arial" w:hAnsi="Arial" w:cs="Arial"/>
          <w:b/>
        </w:rPr>
        <w:t xml:space="preserve"> (HRP)</w:t>
      </w:r>
      <w:r w:rsidRPr="004035C1">
        <w:rPr>
          <w:rStyle w:val="FootnoteReference"/>
          <w:rFonts w:ascii="Arial" w:hAnsi="Arial" w:cs="Arial"/>
        </w:rPr>
        <w:footnoteReference w:id="85"/>
      </w:r>
      <w:r w:rsidRPr="004035C1">
        <w:rPr>
          <w:rFonts w:ascii="Arial" w:hAnsi="Arial" w:cs="Arial"/>
          <w:b/>
        </w:rPr>
        <w:t>:</w:t>
      </w:r>
      <w:r w:rsidRPr="004035C1">
        <w:rPr>
          <w:rFonts w:ascii="Arial" w:hAnsi="Arial" w:cs="Arial"/>
        </w:rPr>
        <w:t xml:space="preserve"> The </w:t>
      </w:r>
      <w:r w:rsidRPr="00932C6E">
        <w:rPr>
          <w:rFonts w:ascii="Arial" w:hAnsi="Arial" w:cs="Arial"/>
        </w:rPr>
        <w:t>HRP</w:t>
      </w:r>
      <w:r w:rsidRPr="004035C1">
        <w:rPr>
          <w:rFonts w:ascii="Arial" w:hAnsi="Arial" w:cs="Arial"/>
        </w:rPr>
        <w:t xml:space="preserve"> </w:t>
      </w:r>
      <w:r w:rsidRPr="009767AA">
        <w:rPr>
          <w:rFonts w:ascii="Arial" w:hAnsi="Arial" w:cs="Arial"/>
        </w:rPr>
        <w:t>is a D&amp;E tool</w:t>
      </w:r>
      <w:r w:rsidRPr="004035C1">
        <w:rPr>
          <w:rFonts w:ascii="Arial" w:hAnsi="Arial" w:cs="Arial"/>
        </w:rPr>
        <w:t xml:space="preserve"> launched by the DG-RTD in 2019</w:t>
      </w:r>
      <w:r w:rsidRPr="00932C6E">
        <w:rPr>
          <w:rFonts w:ascii="Arial" w:hAnsi="Arial" w:cs="Arial"/>
        </w:rPr>
        <w:t xml:space="preserve">, </w:t>
      </w:r>
      <w:r w:rsidRPr="009767AA">
        <w:rPr>
          <w:rFonts w:ascii="Arial" w:hAnsi="Arial" w:cs="Arial"/>
        </w:rPr>
        <w:t xml:space="preserve">a dedicated platform for </w:t>
      </w:r>
      <w:r w:rsidRPr="004035C1">
        <w:rPr>
          <w:rFonts w:ascii="Arial" w:hAnsi="Arial" w:cs="Arial"/>
        </w:rPr>
        <w:t xml:space="preserve">projects offered </w:t>
      </w:r>
      <w:r w:rsidRPr="009767AA">
        <w:rPr>
          <w:rFonts w:ascii="Arial" w:hAnsi="Arial" w:cs="Arial"/>
        </w:rPr>
        <w:t>t</w:t>
      </w:r>
      <w:r w:rsidRPr="004035C1">
        <w:rPr>
          <w:rFonts w:ascii="Arial" w:hAnsi="Arial" w:cs="Arial"/>
        </w:rPr>
        <w:t>o</w:t>
      </w:r>
      <w:r w:rsidRPr="00932C6E">
        <w:rPr>
          <w:rFonts w:ascii="Arial" w:hAnsi="Arial" w:cs="Arial"/>
        </w:rPr>
        <w:t xml:space="preserve"> present</w:t>
      </w:r>
      <w:r w:rsidRPr="004035C1">
        <w:rPr>
          <w:rFonts w:ascii="Arial" w:hAnsi="Arial" w:cs="Arial"/>
        </w:rPr>
        <w:t xml:space="preserve"> their projects’ results to targeted audiences (</w:t>
      </w:r>
      <w:proofErr w:type="gramStart"/>
      <w:r w:rsidRPr="004035C1">
        <w:rPr>
          <w:rFonts w:ascii="Arial" w:hAnsi="Arial" w:cs="Arial"/>
        </w:rPr>
        <w:t>e.g.</w:t>
      </w:r>
      <w:proofErr w:type="gramEnd"/>
      <w:r w:rsidRPr="004035C1">
        <w:rPr>
          <w:rFonts w:ascii="Arial" w:hAnsi="Arial" w:cs="Arial"/>
        </w:rPr>
        <w:t xml:space="preserve"> business partners, angel investors, venture capital, policy makers or business development assistance and others) and help the projects beneficiaries establish fruitful partnerships. </w:t>
      </w:r>
      <w:r>
        <w:rPr>
          <w:rFonts w:ascii="Arial" w:hAnsi="Arial" w:cs="Arial"/>
        </w:rPr>
        <w:t>Until the end of</w:t>
      </w:r>
      <w:r w:rsidRPr="004035C1">
        <w:rPr>
          <w:rFonts w:ascii="Arial" w:hAnsi="Arial" w:cs="Arial"/>
        </w:rPr>
        <w:t xml:space="preserve"> 202</w:t>
      </w:r>
      <w:r>
        <w:rPr>
          <w:rFonts w:ascii="Arial" w:hAnsi="Arial" w:cs="Arial"/>
        </w:rPr>
        <w:t>1,</w:t>
      </w:r>
      <w:r w:rsidRPr="004035C1">
        <w:rPr>
          <w:rFonts w:ascii="Arial" w:hAnsi="Arial" w:cs="Arial"/>
        </w:rPr>
        <w:t xml:space="preserve"> 2</w:t>
      </w:r>
      <w:r>
        <w:rPr>
          <w:rFonts w:ascii="Arial" w:hAnsi="Arial" w:cs="Arial"/>
        </w:rPr>
        <w:t>5</w:t>
      </w:r>
      <w:r w:rsidRPr="004035C1">
        <w:rPr>
          <w:rFonts w:ascii="Arial" w:hAnsi="Arial" w:cs="Arial"/>
        </w:rPr>
        <w:t xml:space="preserve"> project results </w:t>
      </w:r>
      <w:r>
        <w:rPr>
          <w:rFonts w:ascii="Arial" w:hAnsi="Arial" w:cs="Arial"/>
        </w:rPr>
        <w:t xml:space="preserve">in total </w:t>
      </w:r>
      <w:r w:rsidRPr="004035C1">
        <w:rPr>
          <w:rFonts w:ascii="Arial" w:hAnsi="Arial" w:cs="Arial"/>
        </w:rPr>
        <w:t xml:space="preserve">have been uploaded in the platform, while all JU projects have been </w:t>
      </w:r>
      <w:r>
        <w:rPr>
          <w:rFonts w:ascii="Arial" w:hAnsi="Arial" w:cs="Arial"/>
        </w:rPr>
        <w:t>encouraged to make use of</w:t>
      </w:r>
      <w:r w:rsidRPr="004035C1">
        <w:rPr>
          <w:rFonts w:ascii="Arial" w:hAnsi="Arial" w:cs="Arial"/>
        </w:rPr>
        <w:t xml:space="preserve"> this new tool and its benefits and encouraged to upload their results.</w:t>
      </w:r>
    </w:p>
    <w:p w14:paraId="5FE07FCE" w14:textId="3F66FE3E" w:rsidR="00D125E0" w:rsidRPr="009767AA" w:rsidRDefault="00D125E0" w:rsidP="00D125E0">
      <w:pPr>
        <w:jc w:val="both"/>
        <w:rPr>
          <w:rFonts w:ascii="Arial" w:hAnsi="Arial" w:cs="Arial"/>
        </w:rPr>
      </w:pPr>
      <w:r w:rsidRPr="009767AA">
        <w:rPr>
          <w:rFonts w:ascii="Arial" w:hAnsi="Arial" w:cs="Arial"/>
          <w:b/>
        </w:rPr>
        <w:t>Horizon Results Booster (HRB)</w:t>
      </w:r>
      <w:r w:rsidRPr="009767AA">
        <w:rPr>
          <w:rFonts w:ascii="Arial" w:hAnsi="Arial" w:cs="Arial"/>
        </w:rPr>
        <w:t xml:space="preserve">: The EC Horizon Results (Dissemination and Exploitation) Booster, </w:t>
      </w:r>
      <w:r>
        <w:rPr>
          <w:rFonts w:ascii="Arial" w:hAnsi="Arial" w:cs="Arial"/>
        </w:rPr>
        <w:t xml:space="preserve">the initiative based on the successful paradigm </w:t>
      </w:r>
      <w:r w:rsidRPr="009767AA">
        <w:rPr>
          <w:rFonts w:ascii="Arial" w:hAnsi="Arial" w:cs="Arial"/>
        </w:rPr>
        <w:t xml:space="preserve">of the </w:t>
      </w:r>
      <w:r>
        <w:rPr>
          <w:rFonts w:ascii="Arial" w:hAnsi="Arial" w:cs="Arial"/>
        </w:rPr>
        <w:t xml:space="preserve">completed </w:t>
      </w:r>
      <w:r w:rsidR="00FC6485" w:rsidRPr="00FC6485">
        <w:rPr>
          <w:rFonts w:ascii="Arial" w:hAnsi="Arial" w:cs="Arial"/>
        </w:rPr>
        <w:t xml:space="preserve">Support Services for Exploitation of Research Results </w:t>
      </w:r>
      <w:r w:rsidR="00FC6485">
        <w:rPr>
          <w:rFonts w:ascii="Arial" w:hAnsi="Arial" w:cs="Arial"/>
        </w:rPr>
        <w:t>(</w:t>
      </w:r>
      <w:r w:rsidRPr="009767AA">
        <w:rPr>
          <w:rFonts w:ascii="Arial" w:hAnsi="Arial" w:cs="Arial"/>
        </w:rPr>
        <w:t>SSERR</w:t>
      </w:r>
      <w:r w:rsidR="00FC6485">
        <w:rPr>
          <w:rFonts w:ascii="Arial" w:hAnsi="Arial" w:cs="Arial"/>
        </w:rPr>
        <w:t>)</w:t>
      </w:r>
      <w:r w:rsidRPr="009767AA">
        <w:rPr>
          <w:rFonts w:ascii="Arial" w:hAnsi="Arial" w:cs="Arial"/>
        </w:rPr>
        <w:t xml:space="preserve">, </w:t>
      </w:r>
      <w:r>
        <w:rPr>
          <w:rFonts w:ascii="Arial" w:hAnsi="Arial" w:cs="Arial"/>
        </w:rPr>
        <w:t xml:space="preserve">was </w:t>
      </w:r>
      <w:r w:rsidRPr="009767AA">
        <w:rPr>
          <w:rFonts w:ascii="Arial" w:hAnsi="Arial" w:cs="Arial"/>
        </w:rPr>
        <w:t xml:space="preserve">launched </w:t>
      </w:r>
      <w:r>
        <w:rPr>
          <w:rFonts w:ascii="Arial" w:hAnsi="Arial" w:cs="Arial"/>
        </w:rPr>
        <w:t>in</w:t>
      </w:r>
      <w:r w:rsidRPr="009767AA">
        <w:rPr>
          <w:rFonts w:ascii="Arial" w:hAnsi="Arial" w:cs="Arial"/>
        </w:rPr>
        <w:t xml:space="preserve"> 2019</w:t>
      </w:r>
      <w:r>
        <w:rPr>
          <w:rFonts w:ascii="Arial" w:hAnsi="Arial" w:cs="Arial"/>
        </w:rPr>
        <w:t xml:space="preserve">. The HRB services are available not only for on-going projects, completed projects can also apply to reinforce their efforts. So far, 8 projects </w:t>
      </w:r>
      <w:proofErr w:type="gramStart"/>
      <w:r>
        <w:rPr>
          <w:rFonts w:ascii="Arial" w:hAnsi="Arial" w:cs="Arial"/>
        </w:rPr>
        <w:t>has</w:t>
      </w:r>
      <w:proofErr w:type="gramEnd"/>
      <w:r>
        <w:rPr>
          <w:rFonts w:ascii="Arial" w:hAnsi="Arial" w:cs="Arial"/>
        </w:rPr>
        <w:t xml:space="preserve"> applied or already benefitted from these services. </w:t>
      </w:r>
      <w:r w:rsidRPr="009767AA">
        <w:rPr>
          <w:rFonts w:ascii="Arial" w:hAnsi="Arial" w:cs="Arial"/>
        </w:rPr>
        <w:t>Dissemination and exploitation of project results awareness start</w:t>
      </w:r>
      <w:r>
        <w:rPr>
          <w:rFonts w:ascii="Arial" w:hAnsi="Arial" w:cs="Arial"/>
        </w:rPr>
        <w:t>s</w:t>
      </w:r>
      <w:r w:rsidRPr="009767AA">
        <w:rPr>
          <w:rFonts w:ascii="Arial" w:hAnsi="Arial" w:cs="Arial"/>
        </w:rPr>
        <w:t xml:space="preserve"> </w:t>
      </w:r>
      <w:r>
        <w:rPr>
          <w:rFonts w:ascii="Arial" w:hAnsi="Arial" w:cs="Arial"/>
        </w:rPr>
        <w:t xml:space="preserve">even </w:t>
      </w:r>
      <w:r w:rsidRPr="009767AA">
        <w:rPr>
          <w:rFonts w:ascii="Arial" w:hAnsi="Arial" w:cs="Arial"/>
        </w:rPr>
        <w:t>before signature of the grant agreement, during its preparation and it is closely monitored throughout its duration.</w:t>
      </w:r>
      <w:r>
        <w:rPr>
          <w:rFonts w:ascii="Arial" w:hAnsi="Arial" w:cs="Arial"/>
        </w:rPr>
        <w:t xml:space="preserve"> </w:t>
      </w:r>
    </w:p>
    <w:p w14:paraId="4293E33E" w14:textId="6D3461F8" w:rsidR="00D125E0" w:rsidRPr="004035C1" w:rsidRDefault="00D125E0" w:rsidP="00D125E0">
      <w:pPr>
        <w:jc w:val="both"/>
        <w:rPr>
          <w:rFonts w:ascii="Arial" w:hAnsi="Arial" w:cs="Arial"/>
        </w:rPr>
      </w:pPr>
      <w:r w:rsidRPr="009767AA">
        <w:rPr>
          <w:rFonts w:ascii="Arial" w:hAnsi="Arial" w:cs="Arial"/>
          <w:b/>
        </w:rPr>
        <w:t xml:space="preserve">Innovation Radar (IR): </w:t>
      </w:r>
      <w:r w:rsidRPr="004035C1">
        <w:rPr>
          <w:rFonts w:ascii="Arial" w:hAnsi="Arial" w:cs="Arial"/>
        </w:rPr>
        <w:t xml:space="preserve">This </w:t>
      </w:r>
      <w:r>
        <w:rPr>
          <w:rFonts w:ascii="Arial" w:hAnsi="Arial" w:cs="Arial"/>
        </w:rPr>
        <w:t>platform collects</w:t>
      </w:r>
      <w:r w:rsidRPr="004035C1">
        <w:rPr>
          <w:rFonts w:ascii="Arial" w:hAnsi="Arial" w:cs="Arial"/>
        </w:rPr>
        <w:t xml:space="preserve"> high-potential innovations and the key innovators in H2020 projects. </w:t>
      </w:r>
      <w:r>
        <w:rPr>
          <w:rFonts w:ascii="Arial" w:hAnsi="Arial" w:cs="Arial"/>
        </w:rPr>
        <w:t>Usually during the</w:t>
      </w:r>
      <w:r w:rsidRPr="004035C1">
        <w:rPr>
          <w:rFonts w:ascii="Arial" w:hAnsi="Arial" w:cs="Arial"/>
        </w:rPr>
        <w:t xml:space="preserve"> project mid-term review</w:t>
      </w:r>
      <w:r>
        <w:rPr>
          <w:rFonts w:ascii="Arial" w:hAnsi="Arial" w:cs="Arial"/>
        </w:rPr>
        <w:t>s</w:t>
      </w:r>
      <w:r w:rsidRPr="004035C1">
        <w:rPr>
          <w:rFonts w:ascii="Arial" w:hAnsi="Arial" w:cs="Arial"/>
        </w:rPr>
        <w:t xml:space="preserve"> a dedicated expert is mandated to identify potential innovations and to fill out a questionnaire with the aim of providing information in a structured manner</w:t>
      </w:r>
      <w:r>
        <w:rPr>
          <w:rFonts w:ascii="Arial" w:hAnsi="Arial" w:cs="Arial"/>
        </w:rPr>
        <w:t xml:space="preserve"> about the innovations</w:t>
      </w:r>
      <w:r w:rsidR="00FC6485">
        <w:rPr>
          <w:rFonts w:ascii="Arial" w:hAnsi="Arial" w:cs="Arial"/>
        </w:rPr>
        <w:t>.</w:t>
      </w:r>
      <w:r>
        <w:rPr>
          <w:rFonts w:ascii="Arial" w:hAnsi="Arial" w:cs="Arial"/>
        </w:rPr>
        <w:t xml:space="preserve"> </w:t>
      </w:r>
      <w:r w:rsidRPr="004035C1">
        <w:rPr>
          <w:rFonts w:ascii="Arial" w:hAnsi="Arial" w:cs="Arial"/>
        </w:rPr>
        <w:t xml:space="preserve">With the help of the questionnaire, the Innovation Radar expert provides concrete recommendations on the innovation aspects of the project and for individual innovator organisations within the consortium. The purpose of the Innovation Radar exercise is not only to identify promising actors with the potential to grow, but also to stimulate and propel them to 'make it happen' faster and more efficiently. </w:t>
      </w:r>
      <w:r>
        <w:rPr>
          <w:rFonts w:ascii="Arial" w:hAnsi="Arial" w:cs="Arial"/>
        </w:rPr>
        <w:t>T</w:t>
      </w:r>
      <w:r w:rsidRPr="004035C1">
        <w:rPr>
          <w:rFonts w:ascii="Arial" w:hAnsi="Arial" w:cs="Arial"/>
        </w:rPr>
        <w:t xml:space="preserve">he innovation radar exercise </w:t>
      </w:r>
      <w:r>
        <w:rPr>
          <w:rFonts w:ascii="Arial" w:hAnsi="Arial" w:cs="Arial"/>
        </w:rPr>
        <w:t>was</w:t>
      </w:r>
      <w:r w:rsidRPr="004035C1">
        <w:rPr>
          <w:rFonts w:ascii="Arial" w:hAnsi="Arial" w:cs="Arial"/>
        </w:rPr>
        <w:t xml:space="preserve"> linked </w:t>
      </w:r>
      <w:r>
        <w:rPr>
          <w:rFonts w:ascii="Arial" w:hAnsi="Arial" w:cs="Arial"/>
        </w:rPr>
        <w:t xml:space="preserve">mainly </w:t>
      </w:r>
      <w:r w:rsidRPr="004035C1">
        <w:rPr>
          <w:rFonts w:ascii="Arial" w:hAnsi="Arial" w:cs="Arial"/>
        </w:rPr>
        <w:t>to the mid-term review exercise, when applicable, these recommendations were also integrated into the formal review report.</w:t>
      </w:r>
      <w:r>
        <w:rPr>
          <w:rFonts w:ascii="Arial" w:hAnsi="Arial" w:cs="Arial"/>
        </w:rPr>
        <w:t xml:space="preserve"> However, in June 2021 the IR exercise has been incorporated into the workflow of Project Monitoring, enabling the projects to proceed with submitting questionnaires across the whole lifetime of the project, regardless of the project monitoring milestones (even without using an expert) or updating previously analysed innovations if needed.</w:t>
      </w:r>
    </w:p>
    <w:p w14:paraId="3E81A075" w14:textId="456968C2" w:rsidR="00D125E0" w:rsidRDefault="00D125E0" w:rsidP="00D125E0">
      <w:pPr>
        <w:jc w:val="both"/>
        <w:rPr>
          <w:rFonts w:ascii="Arial" w:hAnsi="Arial" w:cs="Arial"/>
        </w:rPr>
      </w:pPr>
      <w:r w:rsidRPr="004035C1">
        <w:rPr>
          <w:rFonts w:ascii="Arial" w:hAnsi="Arial" w:cs="Arial"/>
        </w:rPr>
        <w:lastRenderedPageBreak/>
        <w:t xml:space="preserve">The JU </w:t>
      </w:r>
      <w:r>
        <w:rPr>
          <w:rFonts w:ascii="Arial" w:hAnsi="Arial" w:cs="Arial"/>
        </w:rPr>
        <w:t xml:space="preserve">projects participate in the IR since its pilot </w:t>
      </w:r>
      <w:r w:rsidRPr="004035C1">
        <w:rPr>
          <w:rFonts w:ascii="Arial" w:hAnsi="Arial" w:cs="Arial"/>
        </w:rPr>
        <w:t>in 2018</w:t>
      </w:r>
      <w:r>
        <w:rPr>
          <w:rFonts w:ascii="Arial" w:hAnsi="Arial" w:cs="Arial"/>
        </w:rPr>
        <w:t xml:space="preserve">. </w:t>
      </w:r>
      <w:r w:rsidRPr="004035C1">
        <w:rPr>
          <w:rFonts w:ascii="Arial" w:hAnsi="Arial" w:cs="Arial"/>
        </w:rPr>
        <w:t>So far, innovations of 5</w:t>
      </w:r>
      <w:r>
        <w:rPr>
          <w:rFonts w:ascii="Arial" w:hAnsi="Arial" w:cs="Arial"/>
        </w:rPr>
        <w:t>9</w:t>
      </w:r>
      <w:r w:rsidRPr="004035C1">
        <w:rPr>
          <w:rFonts w:ascii="Arial" w:hAnsi="Arial" w:cs="Arial"/>
        </w:rPr>
        <w:t xml:space="preserve"> JU projects in total ha</w:t>
      </w:r>
      <w:r>
        <w:rPr>
          <w:rFonts w:ascii="Arial" w:hAnsi="Arial" w:cs="Arial"/>
        </w:rPr>
        <w:t>s</w:t>
      </w:r>
      <w:r w:rsidRPr="004035C1">
        <w:rPr>
          <w:rFonts w:ascii="Arial" w:hAnsi="Arial" w:cs="Arial"/>
        </w:rPr>
        <w:t xml:space="preserve"> been analysed: a total of 1</w:t>
      </w:r>
      <w:r>
        <w:rPr>
          <w:rFonts w:ascii="Arial" w:hAnsi="Arial" w:cs="Arial"/>
        </w:rPr>
        <w:t>53</w:t>
      </w:r>
      <w:r w:rsidRPr="004035C1">
        <w:rPr>
          <w:rFonts w:ascii="Arial" w:hAnsi="Arial" w:cs="Arial"/>
        </w:rPr>
        <w:t xml:space="preserve"> innovations (</w:t>
      </w:r>
      <w:r>
        <w:rPr>
          <w:rFonts w:ascii="Arial" w:hAnsi="Arial" w:cs="Arial"/>
        </w:rPr>
        <w:t>more than half</w:t>
      </w:r>
      <w:r w:rsidRPr="004035C1">
        <w:rPr>
          <w:rFonts w:ascii="Arial" w:hAnsi="Arial" w:cs="Arial"/>
        </w:rPr>
        <w:t xml:space="preserve"> of which are considered as “very innovative” or “obviously innovative and easily appreciated advantages to customer”)</w:t>
      </w:r>
      <w:r>
        <w:rPr>
          <w:rFonts w:ascii="Arial" w:hAnsi="Arial" w:cs="Arial"/>
        </w:rPr>
        <w:t>,</w:t>
      </w:r>
      <w:r w:rsidRPr="004035C1">
        <w:rPr>
          <w:rFonts w:ascii="Arial" w:hAnsi="Arial" w:cs="Arial"/>
        </w:rPr>
        <w:t xml:space="preserve"> </w:t>
      </w:r>
      <w:r>
        <w:rPr>
          <w:rFonts w:ascii="Arial" w:hAnsi="Arial" w:cs="Arial"/>
        </w:rPr>
        <w:t>attributed to</w:t>
      </w:r>
      <w:r w:rsidRPr="004035C1">
        <w:rPr>
          <w:rFonts w:ascii="Arial" w:hAnsi="Arial" w:cs="Arial"/>
        </w:rPr>
        <w:t xml:space="preserve"> </w:t>
      </w:r>
      <w:r>
        <w:rPr>
          <w:rFonts w:ascii="Arial" w:hAnsi="Arial" w:cs="Arial"/>
        </w:rPr>
        <w:t>273</w:t>
      </w:r>
      <w:r w:rsidRPr="004035C1">
        <w:rPr>
          <w:rFonts w:ascii="Arial" w:hAnsi="Arial" w:cs="Arial"/>
        </w:rPr>
        <w:t xml:space="preserve"> innovators</w:t>
      </w:r>
      <w:r>
        <w:rPr>
          <w:rFonts w:ascii="Arial" w:hAnsi="Arial" w:cs="Arial"/>
        </w:rPr>
        <w:t>,</w:t>
      </w:r>
      <w:r w:rsidRPr="004035C1">
        <w:rPr>
          <w:rFonts w:ascii="Arial" w:hAnsi="Arial" w:cs="Arial"/>
        </w:rPr>
        <w:t xml:space="preserve"> have been identified and uploaded in the platform. In 202</w:t>
      </w:r>
      <w:r>
        <w:rPr>
          <w:rFonts w:ascii="Arial" w:hAnsi="Arial" w:cs="Arial"/>
        </w:rPr>
        <w:t>1</w:t>
      </w:r>
      <w:r w:rsidRPr="004035C1">
        <w:rPr>
          <w:rFonts w:ascii="Arial" w:hAnsi="Arial" w:cs="Arial"/>
        </w:rPr>
        <w:t xml:space="preserve">, </w:t>
      </w:r>
      <w:r>
        <w:rPr>
          <w:rFonts w:ascii="Arial" w:hAnsi="Arial" w:cs="Arial"/>
        </w:rPr>
        <w:t xml:space="preserve">24 project participants of 5 </w:t>
      </w:r>
      <w:r w:rsidRPr="004035C1">
        <w:rPr>
          <w:rFonts w:ascii="Arial" w:hAnsi="Arial" w:cs="Arial"/>
        </w:rPr>
        <w:t xml:space="preserve">JU projects </w:t>
      </w:r>
      <w:r>
        <w:rPr>
          <w:rFonts w:ascii="Arial" w:hAnsi="Arial" w:cs="Arial"/>
        </w:rPr>
        <w:t>submitted 10</w:t>
      </w:r>
      <w:r w:rsidRPr="004035C1">
        <w:rPr>
          <w:rFonts w:ascii="Arial" w:hAnsi="Arial" w:cs="Arial"/>
        </w:rPr>
        <w:t xml:space="preserve"> </w:t>
      </w:r>
      <w:r>
        <w:rPr>
          <w:rFonts w:ascii="Arial" w:hAnsi="Arial" w:cs="Arial"/>
        </w:rPr>
        <w:t>additional</w:t>
      </w:r>
      <w:r w:rsidRPr="004035C1">
        <w:rPr>
          <w:rFonts w:ascii="Arial" w:hAnsi="Arial" w:cs="Arial"/>
        </w:rPr>
        <w:t xml:space="preserve"> innovations</w:t>
      </w:r>
      <w:r>
        <w:rPr>
          <w:rFonts w:ascii="Arial" w:hAnsi="Arial" w:cs="Arial"/>
        </w:rPr>
        <w:t>, that are analysed and included in the platform.</w:t>
      </w:r>
      <w:r w:rsidRPr="004035C1">
        <w:rPr>
          <w:rFonts w:ascii="Arial" w:hAnsi="Arial" w:cs="Arial"/>
        </w:rPr>
        <w:t xml:space="preserve"> </w:t>
      </w:r>
    </w:p>
    <w:p w14:paraId="0DF587AB" w14:textId="77777777" w:rsidR="00D125E0" w:rsidRPr="004035C1" w:rsidRDefault="00D125E0" w:rsidP="00D125E0">
      <w:pPr>
        <w:jc w:val="both"/>
        <w:rPr>
          <w:rFonts w:ascii="Arial" w:hAnsi="Arial" w:cs="Arial"/>
        </w:rPr>
      </w:pPr>
      <w:r>
        <w:rPr>
          <w:noProof/>
          <w:lang w:eastAsia="en-GB"/>
        </w:rPr>
        <w:drawing>
          <wp:inline distT="0" distB="0" distL="0" distR="0" wp14:anchorId="32F4DBFB" wp14:editId="48140DC0">
            <wp:extent cx="5667375" cy="3543300"/>
            <wp:effectExtent l="0" t="0" r="9525" b="0"/>
            <wp:docPr id="24" name="Chart 24">
              <a:extLst xmlns:a="http://schemas.openxmlformats.org/drawingml/2006/main">
                <a:ext uri="{FF2B5EF4-FFF2-40B4-BE49-F238E27FC236}">
                  <a16:creationId xmlns:a16="http://schemas.microsoft.com/office/drawing/2014/main" id="{ED1A4432-C378-494C-AE6D-71C5DB03EC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1F625276" w14:textId="77E4C459" w:rsidR="00D125E0" w:rsidRDefault="00D125E0" w:rsidP="00D125E0">
      <w:pPr>
        <w:pStyle w:val="Caption"/>
        <w:jc w:val="both"/>
        <w:rPr>
          <w:rFonts w:ascii="Arial" w:hAnsi="Arial" w:cs="Arial"/>
        </w:rPr>
      </w:pPr>
      <w:r>
        <w:t xml:space="preserve">Figure </w:t>
      </w:r>
      <w:r w:rsidR="00950739">
        <w:t>1.5.1</w:t>
      </w:r>
      <w:r>
        <w:t xml:space="preserve">: </w:t>
      </w:r>
      <w:r>
        <w:rPr>
          <w:rFonts w:ascii="Arial" w:hAnsi="Arial" w:cs="Arial"/>
        </w:rPr>
        <w:t>Total no of innovations analysed and presented in Innovation radar and the innovators related to the JU projects</w:t>
      </w:r>
      <w:r w:rsidRPr="00B97F86">
        <w:rPr>
          <w:rFonts w:ascii="Arial" w:hAnsi="Arial" w:cs="Arial"/>
        </w:rPr>
        <w:t xml:space="preserve">. </w:t>
      </w:r>
    </w:p>
    <w:p w14:paraId="1A023A35" w14:textId="77777777" w:rsidR="00D125E0" w:rsidRDefault="00D125E0" w:rsidP="00D125E0">
      <w:pPr>
        <w:jc w:val="both"/>
      </w:pPr>
      <w:r>
        <w:rPr>
          <w:noProof/>
          <w:lang w:eastAsia="en-GB"/>
        </w:rPr>
        <w:lastRenderedPageBreak/>
        <w:drawing>
          <wp:inline distT="0" distB="0" distL="0" distR="0" wp14:anchorId="234190CA" wp14:editId="255C6209">
            <wp:extent cx="5731510" cy="3590925"/>
            <wp:effectExtent l="0" t="0" r="2540" b="9525"/>
            <wp:docPr id="25" name="Chart 25">
              <a:extLst xmlns:a="http://schemas.openxmlformats.org/drawingml/2006/main">
                <a:ext uri="{FF2B5EF4-FFF2-40B4-BE49-F238E27FC236}">
                  <a16:creationId xmlns:a16="http://schemas.microsoft.com/office/drawing/2014/main" id="{EA5E4F12-57B2-4860-B44D-D64126BA9F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27FC5B7" w14:textId="11012D17" w:rsidR="00D125E0" w:rsidRPr="00B97F86" w:rsidRDefault="00D125E0" w:rsidP="00D125E0">
      <w:pPr>
        <w:pStyle w:val="Caption"/>
        <w:jc w:val="both"/>
        <w:rPr>
          <w:rFonts w:ascii="Arial" w:hAnsi="Arial" w:cs="Arial"/>
        </w:rPr>
      </w:pPr>
      <w:r>
        <w:t xml:space="preserve">Figure </w:t>
      </w:r>
      <w:r w:rsidR="00950739">
        <w:t>1.5.2</w:t>
      </w:r>
      <w:r>
        <w:t xml:space="preserve">: </w:t>
      </w:r>
      <w:r w:rsidRPr="00B97F86">
        <w:rPr>
          <w:rFonts w:ascii="Arial" w:hAnsi="Arial" w:cs="Arial"/>
        </w:rPr>
        <w:t>Ranking of the different innovations base on their Innovator Capacity Score and Innovation Potential Index</w:t>
      </w:r>
    </w:p>
    <w:p w14:paraId="5AD0DBBD" w14:textId="77777777" w:rsidR="00D125E0" w:rsidRDefault="00D125E0" w:rsidP="00D125E0">
      <w:pPr>
        <w:jc w:val="both"/>
        <w:rPr>
          <w:rFonts w:ascii="Arial" w:hAnsi="Arial" w:cs="Arial"/>
        </w:rPr>
      </w:pPr>
      <w:r w:rsidRPr="004035C1">
        <w:rPr>
          <w:rFonts w:ascii="Arial" w:hAnsi="Arial" w:cs="Arial"/>
        </w:rPr>
        <w:t xml:space="preserve">These </w:t>
      </w:r>
      <w:r>
        <w:rPr>
          <w:rFonts w:ascii="Arial" w:hAnsi="Arial" w:cs="Arial"/>
        </w:rPr>
        <w:t xml:space="preserve">innovations </w:t>
      </w:r>
      <w:r w:rsidRPr="004035C1">
        <w:rPr>
          <w:rFonts w:ascii="Arial" w:hAnsi="Arial" w:cs="Arial"/>
        </w:rPr>
        <w:t>are displayed based on the Innovation Radar methodology, between ‘exploring’, ‘business</w:t>
      </w:r>
      <w:r w:rsidRPr="004035C1" w:rsidDel="008F0B91">
        <w:rPr>
          <w:rFonts w:ascii="Arial" w:hAnsi="Arial" w:cs="Arial"/>
        </w:rPr>
        <w:t xml:space="preserve"> </w:t>
      </w:r>
      <w:r w:rsidRPr="004035C1">
        <w:rPr>
          <w:rFonts w:ascii="Arial" w:hAnsi="Arial" w:cs="Arial"/>
        </w:rPr>
        <w:t>ready’</w:t>
      </w:r>
      <w:r>
        <w:rPr>
          <w:rFonts w:ascii="Arial" w:hAnsi="Arial" w:cs="Arial"/>
        </w:rPr>
        <w:t>,</w:t>
      </w:r>
      <w:r w:rsidRPr="004035C1">
        <w:rPr>
          <w:rFonts w:ascii="Arial" w:hAnsi="Arial" w:cs="Arial"/>
        </w:rPr>
        <w:t xml:space="preserve"> ‘market ready’ and</w:t>
      </w:r>
      <w:r>
        <w:rPr>
          <w:rFonts w:ascii="Arial" w:hAnsi="Arial" w:cs="Arial"/>
        </w:rPr>
        <w:t xml:space="preserve"> </w:t>
      </w:r>
      <w:r w:rsidRPr="004035C1">
        <w:rPr>
          <w:rFonts w:ascii="Arial" w:hAnsi="Arial" w:cs="Arial"/>
        </w:rPr>
        <w:t>‘tech ready’</w:t>
      </w:r>
      <w:r>
        <w:rPr>
          <w:rFonts w:ascii="Arial" w:hAnsi="Arial" w:cs="Arial"/>
        </w:rPr>
        <w:t>.</w:t>
      </w:r>
      <w:r w:rsidRPr="004035C1">
        <w:rPr>
          <w:rFonts w:ascii="Arial" w:hAnsi="Arial" w:cs="Arial"/>
        </w:rPr>
        <w:t xml:space="preserve"> Th</w:t>
      </w:r>
      <w:r>
        <w:rPr>
          <w:rFonts w:ascii="Arial" w:hAnsi="Arial" w:cs="Arial"/>
        </w:rPr>
        <w:t>is classification</w:t>
      </w:r>
      <w:r w:rsidRPr="004035C1">
        <w:rPr>
          <w:rFonts w:ascii="Arial" w:hAnsi="Arial" w:cs="Arial"/>
        </w:rPr>
        <w:t xml:space="preserve"> </w:t>
      </w:r>
      <w:r>
        <w:rPr>
          <w:rFonts w:ascii="Arial" w:hAnsi="Arial" w:cs="Arial"/>
        </w:rPr>
        <w:t>is</w:t>
      </w:r>
      <w:r w:rsidRPr="004035C1">
        <w:rPr>
          <w:rFonts w:ascii="Arial" w:hAnsi="Arial" w:cs="Arial"/>
        </w:rPr>
        <w:t xml:space="preserve"> meant to span the path between the most basic TRLs of ‘exploration’ to the most advanced and closest to </w:t>
      </w:r>
      <w:r>
        <w:rPr>
          <w:rFonts w:ascii="Arial" w:hAnsi="Arial" w:cs="Arial"/>
        </w:rPr>
        <w:t xml:space="preserve">the market, further </w:t>
      </w:r>
      <w:proofErr w:type="gramStart"/>
      <w:r>
        <w:rPr>
          <w:rFonts w:ascii="Arial" w:hAnsi="Arial" w:cs="Arial"/>
        </w:rPr>
        <w:t>research</w:t>
      </w:r>
      <w:proofErr w:type="gramEnd"/>
      <w:r>
        <w:rPr>
          <w:rFonts w:ascii="Arial" w:hAnsi="Arial" w:cs="Arial"/>
        </w:rPr>
        <w:t xml:space="preserve"> or standardization activities</w:t>
      </w:r>
      <w:r w:rsidRPr="004035C1">
        <w:rPr>
          <w:rFonts w:ascii="Arial" w:hAnsi="Arial" w:cs="Arial"/>
        </w:rPr>
        <w:t xml:space="preserve">. A very positive result has also been the identification of at least </w:t>
      </w:r>
      <w:r>
        <w:rPr>
          <w:rFonts w:ascii="Arial" w:hAnsi="Arial" w:cs="Arial"/>
        </w:rPr>
        <w:t>42</w:t>
      </w:r>
      <w:r w:rsidRPr="004035C1">
        <w:rPr>
          <w:rFonts w:ascii="Arial" w:hAnsi="Arial" w:cs="Arial"/>
        </w:rPr>
        <w:t xml:space="preserve"> innovations that score</w:t>
      </w:r>
      <w:r>
        <w:rPr>
          <w:rFonts w:ascii="Arial" w:hAnsi="Arial" w:cs="Arial"/>
        </w:rPr>
        <w:t>d</w:t>
      </w:r>
      <w:r w:rsidRPr="004035C1">
        <w:rPr>
          <w:rFonts w:ascii="Arial" w:hAnsi="Arial" w:cs="Arial"/>
        </w:rPr>
        <w:t xml:space="preserve"> above 50 points in the innovation potential indicator, making them ideal first candidates for follow-up actions for exploitation proposals</w:t>
      </w:r>
      <w:r>
        <w:rPr>
          <w:rFonts w:ascii="Arial" w:hAnsi="Arial" w:cs="Arial"/>
        </w:rPr>
        <w:t>.</w:t>
      </w:r>
      <w:r w:rsidRPr="004035C1">
        <w:rPr>
          <w:rFonts w:ascii="Arial" w:hAnsi="Arial" w:cs="Arial"/>
        </w:rPr>
        <w:t xml:space="preserve"> </w:t>
      </w:r>
    </w:p>
    <w:p w14:paraId="198ACED5" w14:textId="0DE1C072" w:rsidR="00D125E0" w:rsidRPr="009767AA" w:rsidRDefault="00D125E0" w:rsidP="00D125E0">
      <w:pPr>
        <w:jc w:val="both"/>
        <w:rPr>
          <w:rFonts w:ascii="Arial" w:hAnsi="Arial" w:cs="Arial"/>
        </w:rPr>
      </w:pPr>
      <w:r>
        <w:rPr>
          <w:noProof/>
          <w:lang w:eastAsia="en-GB"/>
        </w:rPr>
        <w:drawing>
          <wp:inline distT="0" distB="0" distL="0" distR="0" wp14:anchorId="6429C623" wp14:editId="31A328DF">
            <wp:extent cx="5181600" cy="2714625"/>
            <wp:effectExtent l="0" t="0" r="0" b="9525"/>
            <wp:docPr id="26" name="Chart 26">
              <a:extLst xmlns:a="http://schemas.openxmlformats.org/drawingml/2006/main">
                <a:ext uri="{FF2B5EF4-FFF2-40B4-BE49-F238E27FC236}">
                  <a16:creationId xmlns:a16="http://schemas.microsoft.com/office/drawing/2014/main" id="{4F75908C-C72B-493F-858E-31DEB3AF7E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D2D8DCD" w14:textId="2C682AD2" w:rsidR="00D125E0" w:rsidRPr="00B97F86" w:rsidRDefault="00D125E0" w:rsidP="00D125E0">
      <w:pPr>
        <w:pStyle w:val="Caption"/>
        <w:jc w:val="both"/>
        <w:rPr>
          <w:rFonts w:ascii="Arial" w:hAnsi="Arial" w:cs="Arial"/>
        </w:rPr>
      </w:pPr>
      <w:r>
        <w:t xml:space="preserve">Figure </w:t>
      </w:r>
      <w:r w:rsidR="00950739">
        <w:t>1.5.3</w:t>
      </w:r>
      <w:r>
        <w:t xml:space="preserve">: </w:t>
      </w:r>
      <w:r w:rsidRPr="00B97F86">
        <w:rPr>
          <w:rFonts w:ascii="Arial" w:hAnsi="Arial" w:cs="Arial"/>
        </w:rPr>
        <w:t xml:space="preserve">Clustering of Innovations based on the maturity level. </w:t>
      </w:r>
    </w:p>
    <w:p w14:paraId="57A5FC2A" w14:textId="1E4D7D6D" w:rsidR="00D125E0" w:rsidRDefault="00D125E0" w:rsidP="00D125E0">
      <w:pPr>
        <w:jc w:val="both"/>
        <w:rPr>
          <w:rFonts w:ascii="Arial" w:hAnsi="Arial" w:cs="Arial"/>
        </w:rPr>
      </w:pPr>
      <w:r>
        <w:rPr>
          <w:rFonts w:ascii="Arial" w:hAnsi="Arial" w:cs="Arial"/>
        </w:rPr>
        <w:lastRenderedPageBreak/>
        <w:t xml:space="preserve">Since the pilot launch of the IR, the JU is collecting valuable feedback to </w:t>
      </w:r>
      <w:r w:rsidRPr="00B97F86">
        <w:rPr>
          <w:rFonts w:ascii="Arial" w:hAnsi="Arial" w:cs="Arial"/>
        </w:rPr>
        <w:t>communic</w:t>
      </w:r>
      <w:r>
        <w:rPr>
          <w:rFonts w:ascii="Arial" w:hAnsi="Arial" w:cs="Arial"/>
        </w:rPr>
        <w:t>ate with EC (</w:t>
      </w:r>
      <w:proofErr w:type="gramStart"/>
      <w:r>
        <w:rPr>
          <w:rFonts w:ascii="Arial" w:hAnsi="Arial" w:cs="Arial"/>
        </w:rPr>
        <w:t>e.g.</w:t>
      </w:r>
      <w:proofErr w:type="gramEnd"/>
      <w:r>
        <w:rPr>
          <w:rFonts w:ascii="Arial" w:hAnsi="Arial" w:cs="Arial"/>
        </w:rPr>
        <w:t xml:space="preserve"> DG R&amp;I,</w:t>
      </w:r>
      <w:r w:rsidRPr="00B97F86">
        <w:rPr>
          <w:rFonts w:ascii="Arial" w:hAnsi="Arial" w:cs="Arial"/>
        </w:rPr>
        <w:t xml:space="preserve"> DG CONNECT</w:t>
      </w:r>
      <w:r>
        <w:rPr>
          <w:rFonts w:ascii="Arial" w:hAnsi="Arial" w:cs="Arial"/>
        </w:rPr>
        <w:t xml:space="preserve"> etc) and participates in the Innovation Radar R&amp;I family meetings to support further improvement of</w:t>
      </w:r>
      <w:r w:rsidRPr="00B97F86">
        <w:rPr>
          <w:rFonts w:ascii="Arial" w:hAnsi="Arial" w:cs="Arial"/>
        </w:rPr>
        <w:t xml:space="preserve"> </w:t>
      </w:r>
      <w:r>
        <w:rPr>
          <w:rFonts w:ascii="Arial" w:hAnsi="Arial" w:cs="Arial"/>
        </w:rPr>
        <w:t>Innovation Radar</w:t>
      </w:r>
      <w:r w:rsidRPr="00B97F86">
        <w:rPr>
          <w:rFonts w:ascii="Arial" w:hAnsi="Arial" w:cs="Arial"/>
        </w:rPr>
        <w:t xml:space="preserve"> </w:t>
      </w:r>
      <w:r>
        <w:rPr>
          <w:rFonts w:ascii="Arial" w:hAnsi="Arial" w:cs="Arial"/>
        </w:rPr>
        <w:t xml:space="preserve">and </w:t>
      </w:r>
      <w:r w:rsidRPr="00B97F86">
        <w:rPr>
          <w:rFonts w:ascii="Arial" w:hAnsi="Arial" w:cs="Arial"/>
        </w:rPr>
        <w:t>explor</w:t>
      </w:r>
      <w:r>
        <w:rPr>
          <w:rFonts w:ascii="Arial" w:hAnsi="Arial" w:cs="Arial"/>
        </w:rPr>
        <w:t>e</w:t>
      </w:r>
      <w:r w:rsidRPr="00B97F86">
        <w:rPr>
          <w:rFonts w:ascii="Arial" w:hAnsi="Arial" w:cs="Arial"/>
        </w:rPr>
        <w:t xml:space="preserve"> how the information collected can be further utilised by other EC services that support the commercial exploitation of research results (e.g.</w:t>
      </w:r>
      <w:r>
        <w:rPr>
          <w:rFonts w:ascii="Arial" w:hAnsi="Arial" w:cs="Arial"/>
        </w:rPr>
        <w:t xml:space="preserve"> Horizon Results Booster, Horizon Results platform etc.</w:t>
      </w:r>
      <w:r w:rsidRPr="00B97F86">
        <w:rPr>
          <w:rFonts w:ascii="Arial" w:hAnsi="Arial" w:cs="Arial"/>
        </w:rPr>
        <w:t>)</w:t>
      </w:r>
      <w:r>
        <w:rPr>
          <w:rStyle w:val="FootnoteReference"/>
          <w:rFonts w:ascii="Arial" w:hAnsi="Arial" w:cs="Arial"/>
        </w:rPr>
        <w:footnoteReference w:id="86"/>
      </w:r>
      <w:r w:rsidRPr="00B97F86">
        <w:rPr>
          <w:rFonts w:ascii="Arial" w:hAnsi="Arial" w:cs="Arial"/>
        </w:rPr>
        <w:t xml:space="preserve">. </w:t>
      </w:r>
      <w:r>
        <w:rPr>
          <w:rFonts w:ascii="Arial" w:hAnsi="Arial" w:cs="Arial"/>
        </w:rPr>
        <w:t>T</w:t>
      </w:r>
      <w:r w:rsidRPr="00B97F86">
        <w:rPr>
          <w:rFonts w:ascii="Arial" w:hAnsi="Arial" w:cs="Arial"/>
        </w:rPr>
        <w:t xml:space="preserve">he </w:t>
      </w:r>
      <w:r>
        <w:rPr>
          <w:rFonts w:ascii="Arial" w:hAnsi="Arial" w:cs="Arial"/>
        </w:rPr>
        <w:t xml:space="preserve">Programme Office </w:t>
      </w:r>
      <w:r w:rsidRPr="00B97F86">
        <w:rPr>
          <w:rFonts w:ascii="Arial" w:hAnsi="Arial" w:cs="Arial"/>
        </w:rPr>
        <w:t>monitor</w:t>
      </w:r>
      <w:r>
        <w:rPr>
          <w:rFonts w:ascii="Arial" w:hAnsi="Arial" w:cs="Arial"/>
        </w:rPr>
        <w:t>s</w:t>
      </w:r>
      <w:r w:rsidRPr="00B97F86">
        <w:rPr>
          <w:rFonts w:ascii="Arial" w:hAnsi="Arial" w:cs="Arial"/>
        </w:rPr>
        <w:t xml:space="preserve"> any project activity within these initiatives to </w:t>
      </w:r>
      <w:r>
        <w:rPr>
          <w:rFonts w:ascii="Arial" w:hAnsi="Arial" w:cs="Arial"/>
        </w:rPr>
        <w:t xml:space="preserve">guide them and </w:t>
      </w:r>
      <w:r w:rsidRPr="00B97F86">
        <w:rPr>
          <w:rFonts w:ascii="Arial" w:hAnsi="Arial" w:cs="Arial"/>
        </w:rPr>
        <w:t xml:space="preserve">provide dedicated assistance </w:t>
      </w:r>
      <w:r>
        <w:rPr>
          <w:rFonts w:ascii="Arial" w:hAnsi="Arial" w:cs="Arial"/>
        </w:rPr>
        <w:t>to enable dissemination and, finally, utilisation</w:t>
      </w:r>
      <w:r w:rsidRPr="00B97F86">
        <w:rPr>
          <w:rFonts w:ascii="Arial" w:hAnsi="Arial" w:cs="Arial"/>
        </w:rPr>
        <w:t xml:space="preserve"> of </w:t>
      </w:r>
      <w:r>
        <w:rPr>
          <w:rFonts w:ascii="Arial" w:hAnsi="Arial" w:cs="Arial"/>
        </w:rPr>
        <w:t>the Key Exploitable R</w:t>
      </w:r>
      <w:r w:rsidRPr="00B97F86">
        <w:rPr>
          <w:rFonts w:ascii="Arial" w:hAnsi="Arial" w:cs="Arial"/>
        </w:rPr>
        <w:t>esults</w:t>
      </w:r>
      <w:r>
        <w:rPr>
          <w:rFonts w:ascii="Arial" w:hAnsi="Arial" w:cs="Arial"/>
        </w:rPr>
        <w:t xml:space="preserve"> (KERs).</w:t>
      </w:r>
    </w:p>
    <w:p w14:paraId="15C7B97E" w14:textId="77777777" w:rsidR="00D125E0" w:rsidRDefault="00D125E0" w:rsidP="00D125E0">
      <w:pPr>
        <w:jc w:val="both"/>
        <w:rPr>
          <w:rFonts w:ascii="Arial" w:hAnsi="Arial" w:cs="Arial"/>
        </w:rPr>
      </w:pPr>
      <w:r>
        <w:rPr>
          <w:rFonts w:ascii="Arial" w:hAnsi="Arial" w:cs="Arial"/>
          <w:b/>
        </w:rPr>
        <w:t>D&amp;E Activities of the Projects</w:t>
      </w:r>
      <w:r w:rsidRPr="009767AA">
        <w:rPr>
          <w:rFonts w:ascii="Arial" w:hAnsi="Arial" w:cs="Arial"/>
          <w:b/>
        </w:rPr>
        <w:t>:</w:t>
      </w:r>
      <w:r>
        <w:rPr>
          <w:rFonts w:ascii="Arial" w:hAnsi="Arial" w:cs="Arial"/>
        </w:rPr>
        <w:t xml:space="preserve"> During the last two days of the 2</w:t>
      </w:r>
      <w:r w:rsidRPr="009813F3">
        <w:rPr>
          <w:rFonts w:ascii="Arial" w:hAnsi="Arial" w:cs="Arial"/>
          <w:vertAlign w:val="superscript"/>
        </w:rPr>
        <w:t>nd</w:t>
      </w:r>
      <w:r>
        <w:rPr>
          <w:rFonts w:ascii="Arial" w:hAnsi="Arial" w:cs="Arial"/>
        </w:rPr>
        <w:t xml:space="preserve"> European Hydrogen Week, the Programme Office organised the Programme Review Days 2021 (2-3 December 2021). The event is based on the annual data collection exercise organised every year to collect updated information and technological data of the projects that were ongoing during the period of reference (2020). Apart from the TRUST platform to collect descriptive and operational data from the activities of the projects, the other pillar of the exercise is the EU Survey Questionnaire that the projects submit to provide other type of information that can’t be captured</w:t>
      </w:r>
      <w:r w:rsidRPr="000A2004">
        <w:rPr>
          <w:rFonts w:ascii="Arial" w:hAnsi="Arial" w:cs="Arial"/>
        </w:rPr>
        <w:t xml:space="preserve"> </w:t>
      </w:r>
      <w:r>
        <w:rPr>
          <w:rFonts w:ascii="Arial" w:hAnsi="Arial" w:cs="Arial"/>
        </w:rPr>
        <w:t>otherwise. Its purpose is to gather the necessary input to support the in-depth assessment of the progress realised by the FCH 2 JU (and Clean Hydrogen JU) programme, identify its successes and form recommendations for improvement.</w:t>
      </w:r>
      <w:r w:rsidRPr="000403A6">
        <w:rPr>
          <w:rFonts w:ascii="Arial" w:hAnsi="Arial" w:cs="Arial"/>
        </w:rPr>
        <w:t xml:space="preserve"> </w:t>
      </w:r>
    </w:p>
    <w:p w14:paraId="2A23CF45" w14:textId="77777777" w:rsidR="00D125E0" w:rsidRPr="003B5275" w:rsidRDefault="00D125E0" w:rsidP="00D125E0">
      <w:pPr>
        <w:jc w:val="both"/>
        <w:rPr>
          <w:rFonts w:ascii="Arial" w:hAnsi="Arial" w:cs="Arial"/>
        </w:rPr>
      </w:pPr>
      <w:r>
        <w:rPr>
          <w:rFonts w:ascii="Arial" w:hAnsi="Arial" w:cs="Arial"/>
        </w:rPr>
        <w:t>According to the data provided by 85</w:t>
      </w:r>
      <w:r w:rsidRPr="009767AA">
        <w:rPr>
          <w:rFonts w:ascii="Arial" w:hAnsi="Arial" w:cs="Arial"/>
        </w:rPr>
        <w:t xml:space="preserve"> </w:t>
      </w:r>
      <w:r>
        <w:rPr>
          <w:rFonts w:ascii="Arial" w:hAnsi="Arial" w:cs="Arial"/>
        </w:rPr>
        <w:t xml:space="preserve">active </w:t>
      </w:r>
      <w:r w:rsidRPr="009767AA">
        <w:rPr>
          <w:rFonts w:ascii="Arial" w:hAnsi="Arial" w:cs="Arial"/>
        </w:rPr>
        <w:t xml:space="preserve">projects </w:t>
      </w:r>
      <w:r>
        <w:rPr>
          <w:rFonts w:ascii="Arial" w:hAnsi="Arial" w:cs="Arial"/>
        </w:rPr>
        <w:t>in 2020, r</w:t>
      </w:r>
      <w:r w:rsidRPr="003B5275">
        <w:rPr>
          <w:rFonts w:ascii="Arial" w:hAnsi="Arial" w:cs="Arial"/>
        </w:rPr>
        <w:t>egarding the D&amp;E activities and the KERs:</w:t>
      </w:r>
    </w:p>
    <w:p w14:paraId="3AD36242" w14:textId="77777777" w:rsidR="00D125E0" w:rsidRPr="003B5275" w:rsidRDefault="00D125E0" w:rsidP="002672A0">
      <w:pPr>
        <w:numPr>
          <w:ilvl w:val="0"/>
          <w:numId w:val="35"/>
        </w:numPr>
        <w:spacing w:after="120" w:line="288" w:lineRule="auto"/>
        <w:ind w:left="714" w:hanging="357"/>
        <w:jc w:val="both"/>
        <w:rPr>
          <w:rFonts w:ascii="Arial" w:hAnsi="Arial" w:cs="Arial"/>
        </w:rPr>
      </w:pPr>
      <w:r w:rsidRPr="003B5275">
        <w:rPr>
          <w:rFonts w:ascii="Arial" w:hAnsi="Arial" w:cs="Arial"/>
        </w:rPr>
        <w:t>6</w:t>
      </w:r>
      <w:r>
        <w:rPr>
          <w:rFonts w:ascii="Arial" w:hAnsi="Arial" w:cs="Arial"/>
        </w:rPr>
        <w:t>4</w:t>
      </w:r>
      <w:r w:rsidRPr="003B5275">
        <w:rPr>
          <w:rFonts w:ascii="Arial" w:hAnsi="Arial" w:cs="Arial"/>
        </w:rPr>
        <w:t xml:space="preserve"> projects report</w:t>
      </w:r>
      <w:r>
        <w:rPr>
          <w:rFonts w:ascii="Arial" w:hAnsi="Arial" w:cs="Arial"/>
        </w:rPr>
        <w:t xml:space="preserve">ed 245 dissemination activities in </w:t>
      </w:r>
      <w:proofErr w:type="gramStart"/>
      <w:r>
        <w:rPr>
          <w:rFonts w:ascii="Arial" w:hAnsi="Arial" w:cs="Arial"/>
        </w:rPr>
        <w:t>total;</w:t>
      </w:r>
      <w:proofErr w:type="gramEnd"/>
    </w:p>
    <w:p w14:paraId="5A6D4FCC" w14:textId="77777777" w:rsidR="00D125E0" w:rsidRPr="003B5275" w:rsidRDefault="00D125E0" w:rsidP="002672A0">
      <w:pPr>
        <w:numPr>
          <w:ilvl w:val="0"/>
          <w:numId w:val="35"/>
        </w:numPr>
        <w:spacing w:after="120" w:line="288" w:lineRule="auto"/>
        <w:ind w:left="714" w:hanging="357"/>
        <w:jc w:val="both"/>
        <w:rPr>
          <w:rFonts w:ascii="Arial" w:hAnsi="Arial" w:cs="Arial"/>
        </w:rPr>
      </w:pPr>
      <w:r>
        <w:rPr>
          <w:rFonts w:ascii="Arial" w:hAnsi="Arial" w:cs="Arial"/>
        </w:rPr>
        <w:t>4</w:t>
      </w:r>
      <w:r w:rsidRPr="003B5275">
        <w:rPr>
          <w:rFonts w:ascii="Arial" w:hAnsi="Arial" w:cs="Arial"/>
        </w:rPr>
        <w:t>3 projects reporte</w:t>
      </w:r>
      <w:r>
        <w:rPr>
          <w:rFonts w:ascii="Arial" w:hAnsi="Arial" w:cs="Arial"/>
        </w:rPr>
        <w:t xml:space="preserve">d 105 results in </w:t>
      </w:r>
      <w:proofErr w:type="gramStart"/>
      <w:r>
        <w:rPr>
          <w:rFonts w:ascii="Arial" w:hAnsi="Arial" w:cs="Arial"/>
        </w:rPr>
        <w:t>total;</w:t>
      </w:r>
      <w:proofErr w:type="gramEnd"/>
    </w:p>
    <w:p w14:paraId="2E9B2C70" w14:textId="77777777" w:rsidR="00D125E0" w:rsidRPr="003B5275" w:rsidRDefault="00D125E0" w:rsidP="002672A0">
      <w:pPr>
        <w:numPr>
          <w:ilvl w:val="0"/>
          <w:numId w:val="35"/>
        </w:numPr>
        <w:spacing w:after="120" w:line="288" w:lineRule="auto"/>
        <w:ind w:left="714" w:hanging="357"/>
        <w:jc w:val="both"/>
        <w:rPr>
          <w:rFonts w:ascii="Arial" w:hAnsi="Arial" w:cs="Arial"/>
        </w:rPr>
      </w:pPr>
      <w:r w:rsidRPr="003B5275">
        <w:rPr>
          <w:rFonts w:ascii="Arial" w:hAnsi="Arial" w:cs="Arial"/>
        </w:rPr>
        <w:t>3</w:t>
      </w:r>
      <w:r>
        <w:rPr>
          <w:rFonts w:ascii="Arial" w:hAnsi="Arial" w:cs="Arial"/>
        </w:rPr>
        <w:t>3</w:t>
      </w:r>
      <w:r w:rsidRPr="003B5275">
        <w:rPr>
          <w:rFonts w:ascii="Arial" w:hAnsi="Arial" w:cs="Arial"/>
        </w:rPr>
        <w:t xml:space="preserve"> projects reported </w:t>
      </w:r>
      <w:r>
        <w:rPr>
          <w:rFonts w:ascii="Arial" w:hAnsi="Arial" w:cs="Arial"/>
        </w:rPr>
        <w:t>73</w:t>
      </w:r>
      <w:r w:rsidRPr="003B5275">
        <w:rPr>
          <w:rFonts w:ascii="Arial" w:hAnsi="Arial" w:cs="Arial"/>
        </w:rPr>
        <w:t xml:space="preserve"> KERs</w:t>
      </w:r>
      <w:r>
        <w:rPr>
          <w:rFonts w:ascii="Arial" w:hAnsi="Arial" w:cs="Arial"/>
        </w:rPr>
        <w:t xml:space="preserve"> in total.</w:t>
      </w:r>
    </w:p>
    <w:p w14:paraId="12048AAC" w14:textId="77777777" w:rsidR="00D125E0" w:rsidRPr="00351A36" w:rsidRDefault="00D125E0" w:rsidP="00D125E0">
      <w:pPr>
        <w:jc w:val="both"/>
        <w:rPr>
          <w:rFonts w:ascii="Arial" w:hAnsi="Arial" w:cs="Arial"/>
        </w:rPr>
      </w:pPr>
      <w:r w:rsidRPr="00351A36">
        <w:rPr>
          <w:rFonts w:ascii="Arial" w:hAnsi="Arial" w:cs="Arial"/>
        </w:rPr>
        <w:t xml:space="preserve">Dissemination activities during 2020 appeared relatively less compared to 2019. Although the projects portfolio changes every year, as some projects were concluded whereas others started during the reference period, the dissemination activities is roughly estimated to had been reduced by -35% probably affected by the pandemic situation and the subsequent </w:t>
      </w:r>
      <w:proofErr w:type="gramStart"/>
      <w:r w:rsidRPr="00351A36">
        <w:rPr>
          <w:rFonts w:ascii="Arial" w:hAnsi="Arial" w:cs="Arial"/>
        </w:rPr>
        <w:t>lock-downs</w:t>
      </w:r>
      <w:proofErr w:type="gramEnd"/>
      <w:r w:rsidRPr="00351A36">
        <w:rPr>
          <w:rFonts w:ascii="Arial" w:hAnsi="Arial" w:cs="Arial"/>
        </w:rPr>
        <w:t xml:space="preserve"> during 2020.</w:t>
      </w:r>
    </w:p>
    <w:p w14:paraId="5348B4FC" w14:textId="77777777" w:rsidR="00D125E0" w:rsidRPr="003B5275" w:rsidRDefault="00D125E0" w:rsidP="00D125E0">
      <w:pPr>
        <w:jc w:val="both"/>
        <w:rPr>
          <w:rFonts w:ascii="Arial" w:hAnsi="Arial" w:cs="Arial"/>
        </w:rPr>
      </w:pPr>
      <w:r w:rsidRPr="003B5275">
        <w:rPr>
          <w:rFonts w:ascii="Arial" w:hAnsi="Arial" w:cs="Arial"/>
        </w:rPr>
        <w:t xml:space="preserve">Also, in total </w:t>
      </w:r>
      <w:r>
        <w:rPr>
          <w:rFonts w:ascii="Arial" w:hAnsi="Arial" w:cs="Arial"/>
        </w:rPr>
        <w:t>53</w:t>
      </w:r>
      <w:r w:rsidRPr="003B5275">
        <w:rPr>
          <w:rFonts w:ascii="Arial" w:hAnsi="Arial" w:cs="Arial"/>
        </w:rPr>
        <w:t xml:space="preserve"> publications were </w:t>
      </w:r>
      <w:proofErr w:type="gramStart"/>
      <w:r w:rsidRPr="003B5275">
        <w:rPr>
          <w:rFonts w:ascii="Arial" w:hAnsi="Arial" w:cs="Arial"/>
        </w:rPr>
        <w:t>reported</w:t>
      </w:r>
      <w:proofErr w:type="gramEnd"/>
      <w:r w:rsidRPr="003B5275">
        <w:rPr>
          <w:rFonts w:ascii="Arial" w:hAnsi="Arial" w:cs="Arial"/>
        </w:rPr>
        <w:t xml:space="preserve"> and </w:t>
      </w:r>
      <w:r>
        <w:rPr>
          <w:rFonts w:ascii="Arial" w:hAnsi="Arial" w:cs="Arial"/>
        </w:rPr>
        <w:t>2</w:t>
      </w:r>
      <w:r w:rsidRPr="003B5275">
        <w:rPr>
          <w:rFonts w:ascii="Arial" w:hAnsi="Arial" w:cs="Arial"/>
        </w:rPr>
        <w:t xml:space="preserve"> patent</w:t>
      </w:r>
      <w:r>
        <w:rPr>
          <w:rFonts w:ascii="Arial" w:hAnsi="Arial" w:cs="Arial"/>
        </w:rPr>
        <w:t>s were granted</w:t>
      </w:r>
      <w:r w:rsidRPr="003B5275">
        <w:rPr>
          <w:rFonts w:ascii="Arial" w:hAnsi="Arial" w:cs="Arial"/>
        </w:rPr>
        <w:t xml:space="preserve"> (</w:t>
      </w:r>
      <w:r>
        <w:rPr>
          <w:rFonts w:ascii="Arial" w:hAnsi="Arial" w:cs="Arial"/>
        </w:rPr>
        <w:t xml:space="preserve">under </w:t>
      </w:r>
      <w:r w:rsidRPr="009E3151">
        <w:rPr>
          <w:rFonts w:ascii="Arial" w:hAnsi="Arial" w:cs="Arial"/>
        </w:rPr>
        <w:t>projects DOLPHIN and NEWELY</w:t>
      </w:r>
      <w:r w:rsidRPr="003B5275">
        <w:rPr>
          <w:rFonts w:ascii="Arial" w:hAnsi="Arial" w:cs="Arial"/>
        </w:rPr>
        <w:t>)</w:t>
      </w:r>
      <w:r>
        <w:rPr>
          <w:rFonts w:ascii="Arial" w:hAnsi="Arial" w:cs="Arial"/>
        </w:rPr>
        <w:t>.</w:t>
      </w:r>
    </w:p>
    <w:p w14:paraId="275412D9" w14:textId="77777777" w:rsidR="00D125E0" w:rsidRDefault="00D125E0" w:rsidP="00D125E0">
      <w:pPr>
        <w:jc w:val="both"/>
        <w:rPr>
          <w:rFonts w:ascii="Arial" w:hAnsi="Arial" w:cs="Arial"/>
        </w:rPr>
      </w:pPr>
      <w:r>
        <w:rPr>
          <w:rFonts w:ascii="Arial" w:hAnsi="Arial" w:cs="Arial"/>
        </w:rPr>
        <w:t xml:space="preserve">As for the type of the reported activities, almost 29% </w:t>
      </w:r>
      <w:r w:rsidRPr="003B5275">
        <w:rPr>
          <w:rFonts w:ascii="Arial" w:hAnsi="Arial" w:cs="Arial"/>
        </w:rPr>
        <w:t>where related to activ</w:t>
      </w:r>
      <w:r>
        <w:rPr>
          <w:rFonts w:ascii="Arial" w:hAnsi="Arial" w:cs="Arial"/>
        </w:rPr>
        <w:t>e participation in conferences,</w:t>
      </w:r>
      <w:r w:rsidRPr="003B5275">
        <w:rPr>
          <w:rFonts w:ascii="Arial" w:hAnsi="Arial" w:cs="Arial"/>
        </w:rPr>
        <w:t xml:space="preserve"> </w:t>
      </w:r>
      <w:r>
        <w:rPr>
          <w:rFonts w:ascii="Arial" w:hAnsi="Arial" w:cs="Arial"/>
        </w:rPr>
        <w:t xml:space="preserve">27% to </w:t>
      </w:r>
      <w:r w:rsidRPr="003B5275">
        <w:rPr>
          <w:rFonts w:ascii="Arial" w:hAnsi="Arial" w:cs="Arial"/>
        </w:rPr>
        <w:t>scientific publications</w:t>
      </w:r>
      <w:r>
        <w:rPr>
          <w:rFonts w:ascii="Arial" w:hAnsi="Arial" w:cs="Arial"/>
        </w:rPr>
        <w:t xml:space="preserve">, 17% to meetings with policy stakeholders and 8% to education and training. </w:t>
      </w:r>
    </w:p>
    <w:p w14:paraId="5F63C681" w14:textId="77777777" w:rsidR="00D125E0" w:rsidRDefault="00D125E0" w:rsidP="00D125E0">
      <w:pPr>
        <w:jc w:val="both"/>
        <w:rPr>
          <w:rFonts w:ascii="Arial" w:hAnsi="Arial" w:cs="Arial"/>
        </w:rPr>
      </w:pPr>
      <w:r>
        <w:rPr>
          <w:noProof/>
          <w:lang w:eastAsia="en-GB"/>
        </w:rPr>
        <w:lastRenderedPageBreak/>
        <w:drawing>
          <wp:inline distT="0" distB="0" distL="0" distR="0" wp14:anchorId="5B63CC06" wp14:editId="3946442E">
            <wp:extent cx="5731510" cy="3873500"/>
            <wp:effectExtent l="0" t="0" r="2540" b="12700"/>
            <wp:docPr id="27" name="Chart 27">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11C31B22" w14:textId="356F87F5" w:rsidR="00D125E0" w:rsidRDefault="00D125E0" w:rsidP="00D125E0">
      <w:pPr>
        <w:pStyle w:val="Caption"/>
        <w:jc w:val="both"/>
      </w:pPr>
      <w:r>
        <w:t>Figure</w:t>
      </w:r>
      <w:r w:rsidR="00950739">
        <w:t xml:space="preserve"> 1.5.4</w:t>
      </w:r>
      <w:r>
        <w:t>: Type of the dissemination activities performed by FCH 2JU projects in 20</w:t>
      </w:r>
      <w:r w:rsidR="00A92564" w:rsidRPr="00A92564">
        <w:t>20</w:t>
      </w:r>
      <w:r w:rsidRPr="00B97F86">
        <w:t>.</w:t>
      </w:r>
    </w:p>
    <w:p w14:paraId="04F499C8" w14:textId="77777777" w:rsidR="00D125E0" w:rsidRDefault="00D125E0" w:rsidP="00D125E0">
      <w:pPr>
        <w:jc w:val="both"/>
        <w:rPr>
          <w:rFonts w:ascii="Arial" w:hAnsi="Arial" w:cs="Arial"/>
        </w:rPr>
      </w:pPr>
      <w:r>
        <w:rPr>
          <w:rFonts w:ascii="Arial" w:hAnsi="Arial" w:cs="Arial"/>
        </w:rPr>
        <w:t xml:space="preserve">Almost half of all the dissemination activities targeted the scientific and research communities, while another 15% targeted in industry and/or business partners and 11% in international policy makers and authorities. </w:t>
      </w:r>
    </w:p>
    <w:p w14:paraId="36BC4A80" w14:textId="77777777" w:rsidR="00D125E0" w:rsidRDefault="00D125E0" w:rsidP="00D125E0">
      <w:pPr>
        <w:jc w:val="both"/>
      </w:pPr>
      <w:r>
        <w:rPr>
          <w:noProof/>
          <w:lang w:eastAsia="en-GB"/>
        </w:rPr>
        <w:drawing>
          <wp:inline distT="0" distB="0" distL="0" distR="0" wp14:anchorId="210CC93E" wp14:editId="029119A2">
            <wp:extent cx="5670551" cy="3352800"/>
            <wp:effectExtent l="0" t="0" r="6350" b="0"/>
            <wp:docPr id="28" name="Chart 28">
              <a:extLst xmlns:a="http://schemas.openxmlformats.org/drawingml/2006/main">
                <a:ext uri="{FF2B5EF4-FFF2-40B4-BE49-F238E27FC236}">
                  <a16:creationId xmlns:a16="http://schemas.microsoft.com/office/drawing/2014/main" id="{00000000-0008-0000-02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082D6DB" w14:textId="154DA17F" w:rsidR="00D125E0" w:rsidRPr="00B97F86" w:rsidRDefault="00D125E0" w:rsidP="00D125E0">
      <w:pPr>
        <w:pStyle w:val="Caption"/>
        <w:jc w:val="both"/>
      </w:pPr>
      <w:r>
        <w:t>Figure</w:t>
      </w:r>
      <w:r w:rsidR="00950739">
        <w:t xml:space="preserve"> 1.5.5</w:t>
      </w:r>
      <w:r>
        <w:t>: Target audience of the dissemination activities performed by FCH 2JU projects in 20</w:t>
      </w:r>
      <w:r w:rsidR="00A92564" w:rsidRPr="00A92564">
        <w:t>20</w:t>
      </w:r>
      <w:r w:rsidRPr="00B97F86">
        <w:t>.</w:t>
      </w:r>
    </w:p>
    <w:p w14:paraId="66797EE6" w14:textId="77777777" w:rsidR="00D125E0" w:rsidRDefault="00D125E0" w:rsidP="00D125E0">
      <w:pPr>
        <w:jc w:val="both"/>
        <w:rPr>
          <w:rFonts w:ascii="Arial" w:hAnsi="Arial" w:cs="Arial"/>
        </w:rPr>
      </w:pPr>
      <w:r>
        <w:rPr>
          <w:rFonts w:ascii="Arial" w:hAnsi="Arial" w:cs="Arial"/>
        </w:rPr>
        <w:lastRenderedPageBreak/>
        <w:t xml:space="preserve">The projects </w:t>
      </w:r>
      <w:proofErr w:type="gramStart"/>
      <w:r>
        <w:rPr>
          <w:rFonts w:ascii="Arial" w:hAnsi="Arial" w:cs="Arial"/>
        </w:rPr>
        <w:t>reported also</w:t>
      </w:r>
      <w:proofErr w:type="gramEnd"/>
      <w:r>
        <w:rPr>
          <w:rFonts w:ascii="Arial" w:hAnsi="Arial" w:cs="Arial"/>
        </w:rPr>
        <w:t xml:space="preserve"> their main outputs and results, especially the key exploitable ones. In general, the types of all the reported results appear to be diverse: 30.5% of them are related to a new or improved product, 23.8% to a new or improved method, </w:t>
      </w:r>
      <w:proofErr w:type="gramStart"/>
      <w:r>
        <w:rPr>
          <w:rFonts w:ascii="Arial" w:hAnsi="Arial" w:cs="Arial"/>
        </w:rPr>
        <w:t>material</w:t>
      </w:r>
      <w:proofErr w:type="gramEnd"/>
      <w:r>
        <w:rPr>
          <w:rFonts w:ascii="Arial" w:hAnsi="Arial" w:cs="Arial"/>
        </w:rPr>
        <w:t xml:space="preserve"> or instrument, 12.4% are related to new or improved infrastructure and facilities and 6.7% to new or improved services, while a wide variety of different options (including other) were used for the rest.</w:t>
      </w:r>
    </w:p>
    <w:p w14:paraId="5E063AC2" w14:textId="77777777" w:rsidR="00D125E0" w:rsidRDefault="00D125E0" w:rsidP="00D125E0">
      <w:pPr>
        <w:jc w:val="both"/>
        <w:rPr>
          <w:rFonts w:ascii="Arial" w:hAnsi="Arial" w:cs="Arial"/>
        </w:rPr>
      </w:pPr>
      <w:r>
        <w:rPr>
          <w:noProof/>
          <w:lang w:eastAsia="en-GB"/>
        </w:rPr>
        <w:drawing>
          <wp:inline distT="0" distB="0" distL="0" distR="0" wp14:anchorId="1391019E" wp14:editId="30EC7699">
            <wp:extent cx="5524500" cy="3556000"/>
            <wp:effectExtent l="0" t="0" r="0" b="6350"/>
            <wp:docPr id="29" name="Chart 29">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30091253" w14:textId="27FC152B" w:rsidR="00D125E0" w:rsidRPr="00B97F86" w:rsidRDefault="00D125E0" w:rsidP="00D125E0">
      <w:pPr>
        <w:pStyle w:val="Caption"/>
        <w:jc w:val="both"/>
      </w:pPr>
      <w:r>
        <w:t>Figure</w:t>
      </w:r>
      <w:r w:rsidR="00950739" w:rsidRPr="00950739">
        <w:t xml:space="preserve"> 1.5.6</w:t>
      </w:r>
      <w:r>
        <w:t>: Result type of the outcomes and projects results reported by the projects in 2020</w:t>
      </w:r>
      <w:r w:rsidRPr="00B97F86">
        <w:t>.</w:t>
      </w:r>
    </w:p>
    <w:p w14:paraId="6710B891" w14:textId="77777777" w:rsidR="00D125E0" w:rsidRDefault="00D125E0" w:rsidP="00D125E0">
      <w:pPr>
        <w:jc w:val="both"/>
        <w:rPr>
          <w:rFonts w:ascii="Arial" w:hAnsi="Arial" w:cs="Arial"/>
        </w:rPr>
      </w:pPr>
      <w:r>
        <w:rPr>
          <w:rFonts w:ascii="Arial" w:hAnsi="Arial" w:cs="Arial"/>
        </w:rPr>
        <w:t xml:space="preserve">The projects flagged almost 70% of all the reported results as KERs or Key Results. As regards the potential of the KERs, the vast majority (78.8%) has been identified as having technological, </w:t>
      </w:r>
      <w:proofErr w:type="gramStart"/>
      <w:r>
        <w:rPr>
          <w:rFonts w:ascii="Arial" w:hAnsi="Arial" w:cs="Arial"/>
        </w:rPr>
        <w:t>business</w:t>
      </w:r>
      <w:proofErr w:type="gramEnd"/>
      <w:r>
        <w:rPr>
          <w:rFonts w:ascii="Arial" w:hAnsi="Arial" w:cs="Arial"/>
        </w:rPr>
        <w:t xml:space="preserve"> or economic high potential, which reflects the nature of the programme, while 12.1% are having a scientific potential, 6.1% societal and 3% policy or regulatory. </w:t>
      </w:r>
    </w:p>
    <w:p w14:paraId="07857848" w14:textId="77777777" w:rsidR="00D125E0" w:rsidRDefault="00D125E0" w:rsidP="00D125E0">
      <w:pPr>
        <w:pStyle w:val="Caption"/>
        <w:jc w:val="both"/>
        <w:rPr>
          <w:rFonts w:ascii="Arial" w:hAnsi="Arial" w:cs="Arial"/>
        </w:rPr>
      </w:pPr>
      <w:r>
        <w:rPr>
          <w:rFonts w:ascii="Arial" w:hAnsi="Arial" w:cs="Arial"/>
        </w:rPr>
        <w:t xml:space="preserve"> </w:t>
      </w:r>
      <w:r>
        <w:rPr>
          <w:noProof/>
          <w:lang w:eastAsia="en-GB"/>
        </w:rPr>
        <w:drawing>
          <wp:inline distT="0" distB="0" distL="0" distR="0" wp14:anchorId="0A60FED8" wp14:editId="7A8E9D07">
            <wp:extent cx="5638800" cy="2159000"/>
            <wp:effectExtent l="0" t="0" r="0" b="12700"/>
            <wp:docPr id="30" name="Chart 30">
              <a:extLst xmlns:a="http://schemas.openxmlformats.org/drawingml/2006/main">
                <a:ext uri="{FF2B5EF4-FFF2-40B4-BE49-F238E27FC236}">
                  <a16:creationId xmlns:a16="http://schemas.microsoft.com/office/drawing/2014/main" id="{00000000-0008-0000-04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26642153" w14:textId="159DEEAD" w:rsidR="00D125E0" w:rsidRDefault="00D125E0" w:rsidP="00D125E0">
      <w:pPr>
        <w:pStyle w:val="Caption"/>
        <w:jc w:val="both"/>
      </w:pPr>
      <w:r>
        <w:t>Figure</w:t>
      </w:r>
      <w:r w:rsidR="00A92564" w:rsidRPr="00A92564">
        <w:t xml:space="preserve"> 1.5.</w:t>
      </w:r>
      <w:r w:rsidR="00A92564" w:rsidRPr="007F45F9">
        <w:t>7</w:t>
      </w:r>
      <w:r>
        <w:t>: potential of the key exploitable results reported by the projects in 2020</w:t>
      </w:r>
      <w:r w:rsidRPr="00B97F86">
        <w:t>.</w:t>
      </w:r>
    </w:p>
    <w:p w14:paraId="6A5F2559" w14:textId="77777777" w:rsidR="00D125E0" w:rsidRPr="00CA3709" w:rsidRDefault="00D125E0" w:rsidP="00D125E0">
      <w:pPr>
        <w:jc w:val="both"/>
      </w:pPr>
      <w:r>
        <w:rPr>
          <w:rFonts w:ascii="Arial" w:hAnsi="Arial" w:cs="Arial"/>
        </w:rPr>
        <w:lastRenderedPageBreak/>
        <w:t>The reported results are expected to</w:t>
      </w:r>
      <w:r w:rsidRPr="00653539">
        <w:rPr>
          <w:rFonts w:ascii="Arial" w:hAnsi="Arial" w:cs="Arial"/>
        </w:rPr>
        <w:t xml:space="preserve"> </w:t>
      </w:r>
      <w:r>
        <w:rPr>
          <w:rFonts w:ascii="Arial" w:hAnsi="Arial" w:cs="Arial"/>
        </w:rPr>
        <w:t xml:space="preserve">impact the hydrogen and fuel cells sector in short-to-medium term. More than half of them (56%) are expected to have an impact in 1-5 years, while 38% seem to already </w:t>
      </w:r>
      <w:proofErr w:type="gramStart"/>
      <w:r>
        <w:rPr>
          <w:rFonts w:ascii="Arial" w:hAnsi="Arial" w:cs="Arial"/>
        </w:rPr>
        <w:t>influencing</w:t>
      </w:r>
      <w:proofErr w:type="gramEnd"/>
      <w:r>
        <w:rPr>
          <w:rFonts w:ascii="Arial" w:hAnsi="Arial" w:cs="Arial"/>
        </w:rPr>
        <w:t xml:space="preserve"> the related fields according to their owners (expected impact time up to 12 months). In terms of market maturity, most of the result cases are positioned in emerging market, where there is growing demand but not many market players are positioned yet (64.3%). Some results are positioned in a mature market (14.3%), while for the rest there is a potential to create a market (14.3%</w:t>
      </w:r>
      <w:proofErr w:type="gramStart"/>
      <w:r>
        <w:rPr>
          <w:rFonts w:ascii="Arial" w:hAnsi="Arial" w:cs="Arial"/>
        </w:rPr>
        <w:t>)</w:t>
      </w:r>
      <w:proofErr w:type="gramEnd"/>
      <w:r>
        <w:rPr>
          <w:rFonts w:ascii="Arial" w:hAnsi="Arial" w:cs="Arial"/>
        </w:rPr>
        <w:t xml:space="preserve"> or it is still uncertain whether a market can be created to incorporate them (7.1%). </w:t>
      </w:r>
    </w:p>
    <w:p w14:paraId="5F28AA03" w14:textId="77777777" w:rsidR="00D125E0" w:rsidRDefault="00D125E0" w:rsidP="00D125E0">
      <w:pPr>
        <w:pStyle w:val="Caption"/>
        <w:jc w:val="both"/>
      </w:pPr>
      <w:r>
        <w:rPr>
          <w:noProof/>
          <w:lang w:eastAsia="en-GB"/>
        </w:rPr>
        <w:drawing>
          <wp:anchor distT="0" distB="0" distL="114300" distR="114300" simplePos="0" relativeHeight="251664384" behindDoc="0" locked="0" layoutInCell="1" allowOverlap="1" wp14:anchorId="6CE3A62E" wp14:editId="4C2B0064">
            <wp:simplePos x="0" y="0"/>
            <wp:positionH relativeFrom="page">
              <wp:posOffset>3819525</wp:posOffset>
            </wp:positionH>
            <wp:positionV relativeFrom="paragraph">
              <wp:posOffset>-635</wp:posOffset>
            </wp:positionV>
            <wp:extent cx="2781300" cy="4191000"/>
            <wp:effectExtent l="0" t="0" r="0" b="0"/>
            <wp:wrapNone/>
            <wp:docPr id="31" name="Chart 31">
              <a:extLst xmlns:a="http://schemas.openxmlformats.org/drawingml/2006/main">
                <a:ext uri="{FF2B5EF4-FFF2-40B4-BE49-F238E27FC236}">
                  <a16:creationId xmlns:a16="http://schemas.microsoft.com/office/drawing/2014/main" id="{00000000-0008-0000-04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14:sizeRelV relativeFrom="margin">
              <wp14:pctHeight>0</wp14:pctHeight>
            </wp14:sizeRelV>
          </wp:anchor>
        </w:drawing>
      </w:r>
      <w:r>
        <w:rPr>
          <w:noProof/>
          <w:lang w:eastAsia="en-GB"/>
        </w:rPr>
        <w:drawing>
          <wp:inline distT="0" distB="0" distL="0" distR="0" wp14:anchorId="4F22B19D" wp14:editId="28BAD711">
            <wp:extent cx="2819400" cy="4143375"/>
            <wp:effectExtent l="0" t="0" r="0" b="9525"/>
            <wp:docPr id="32" name="Chart 32">
              <a:extLst xmlns:a="http://schemas.openxmlformats.org/drawingml/2006/main">
                <a:ext uri="{FF2B5EF4-FFF2-40B4-BE49-F238E27FC236}">
                  <a16:creationId xmlns:a16="http://schemas.microsoft.com/office/drawing/2014/main" id="{00000000-0008-0000-04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sidRPr="00431FD9">
        <w:rPr>
          <w:noProof/>
        </w:rPr>
        <w:t xml:space="preserve"> </w:t>
      </w:r>
    </w:p>
    <w:p w14:paraId="360F1766" w14:textId="3153293E" w:rsidR="00D125E0" w:rsidRPr="00721047" w:rsidRDefault="00D125E0" w:rsidP="00D125E0">
      <w:pPr>
        <w:pStyle w:val="Caption"/>
        <w:jc w:val="both"/>
      </w:pPr>
      <w:r>
        <w:t>Figure</w:t>
      </w:r>
      <w:r w:rsidR="007F45F9" w:rsidRPr="007F45F9">
        <w:t xml:space="preserve"> 1.5.8</w:t>
      </w:r>
      <w:r>
        <w:t>: Expected impact time of the reported results in 2020 and market maturity</w:t>
      </w:r>
      <w:r w:rsidRPr="00B97F86">
        <w:t>.</w:t>
      </w:r>
    </w:p>
    <w:p w14:paraId="7C016384" w14:textId="77777777" w:rsidR="00D125E0" w:rsidRDefault="00D125E0" w:rsidP="00D125E0">
      <w:pPr>
        <w:jc w:val="both"/>
        <w:rPr>
          <w:rFonts w:ascii="Arial" w:hAnsi="Arial" w:cs="Arial"/>
        </w:rPr>
      </w:pPr>
      <w:r w:rsidRPr="009767AA">
        <w:rPr>
          <w:rFonts w:ascii="Arial" w:hAnsi="Arial" w:cs="Arial"/>
        </w:rPr>
        <w:t xml:space="preserve">The </w:t>
      </w:r>
      <w:r w:rsidRPr="009767AA">
        <w:rPr>
          <w:rFonts w:ascii="Arial" w:hAnsi="Arial" w:cs="Arial"/>
          <w:b/>
        </w:rPr>
        <w:t>exploitation activities</w:t>
      </w:r>
      <w:r w:rsidRPr="009767AA">
        <w:rPr>
          <w:rFonts w:ascii="Arial" w:hAnsi="Arial" w:cs="Arial"/>
        </w:rPr>
        <w:t xml:space="preserve"> </w:t>
      </w:r>
      <w:r>
        <w:rPr>
          <w:rFonts w:ascii="Arial" w:hAnsi="Arial" w:cs="Arial"/>
        </w:rPr>
        <w:t xml:space="preserve">performed by the projects to support the uptake of the </w:t>
      </w:r>
      <w:proofErr w:type="gramStart"/>
      <w:r>
        <w:rPr>
          <w:rFonts w:ascii="Arial" w:hAnsi="Arial" w:cs="Arial"/>
        </w:rPr>
        <w:t>aforementioned results</w:t>
      </w:r>
      <w:proofErr w:type="gramEnd"/>
      <w:r>
        <w:rPr>
          <w:rFonts w:ascii="Arial" w:hAnsi="Arial" w:cs="Arial"/>
        </w:rPr>
        <w:t xml:space="preserve"> </w:t>
      </w:r>
      <w:r w:rsidRPr="00894DF1">
        <w:rPr>
          <w:rFonts w:ascii="Arial" w:hAnsi="Arial" w:cs="Arial"/>
        </w:rPr>
        <w:t xml:space="preserve">were </w:t>
      </w:r>
      <w:r>
        <w:rPr>
          <w:rFonts w:ascii="Arial" w:hAnsi="Arial" w:cs="Arial"/>
        </w:rPr>
        <w:t>quite</w:t>
      </w:r>
      <w:r w:rsidRPr="00894DF1">
        <w:rPr>
          <w:rFonts w:ascii="Arial" w:hAnsi="Arial" w:cs="Arial"/>
        </w:rPr>
        <w:t xml:space="preserve"> diverse</w:t>
      </w:r>
      <w:r>
        <w:rPr>
          <w:rFonts w:ascii="Arial" w:hAnsi="Arial" w:cs="Arial"/>
        </w:rPr>
        <w:t xml:space="preserve"> as well</w:t>
      </w:r>
      <w:r w:rsidRPr="00894DF1">
        <w:rPr>
          <w:rFonts w:ascii="Arial" w:hAnsi="Arial" w:cs="Arial"/>
        </w:rPr>
        <w:t>: Almost 2</w:t>
      </w:r>
      <w:r>
        <w:rPr>
          <w:rFonts w:ascii="Arial" w:hAnsi="Arial" w:cs="Arial"/>
        </w:rPr>
        <w:t>0.</w:t>
      </w:r>
      <w:r w:rsidRPr="00894DF1">
        <w:rPr>
          <w:rFonts w:ascii="Arial" w:hAnsi="Arial" w:cs="Arial"/>
        </w:rPr>
        <w:t>5</w:t>
      </w:r>
      <w:r>
        <w:rPr>
          <w:rFonts w:ascii="Arial" w:hAnsi="Arial" w:cs="Arial"/>
        </w:rPr>
        <w:t>%</w:t>
      </w:r>
      <w:r w:rsidRPr="009767AA">
        <w:rPr>
          <w:rFonts w:ascii="Arial" w:hAnsi="Arial" w:cs="Arial"/>
        </w:rPr>
        <w:t xml:space="preserve"> were related to </w:t>
      </w:r>
      <w:r>
        <w:rPr>
          <w:rFonts w:ascii="Arial" w:hAnsi="Arial" w:cs="Arial"/>
        </w:rPr>
        <w:t>intellectual property rights</w:t>
      </w:r>
      <w:r w:rsidRPr="009767AA">
        <w:rPr>
          <w:rFonts w:ascii="Arial" w:hAnsi="Arial" w:cs="Arial"/>
        </w:rPr>
        <w:t xml:space="preserve"> </w:t>
      </w:r>
      <w:r>
        <w:rPr>
          <w:rFonts w:ascii="Arial" w:hAnsi="Arial" w:cs="Arial"/>
        </w:rPr>
        <w:t xml:space="preserve">(IPR) </w:t>
      </w:r>
      <w:r w:rsidRPr="009767AA">
        <w:rPr>
          <w:rFonts w:ascii="Arial" w:hAnsi="Arial" w:cs="Arial"/>
        </w:rPr>
        <w:t>activities</w:t>
      </w:r>
      <w:r>
        <w:rPr>
          <w:rFonts w:ascii="Arial" w:hAnsi="Arial" w:cs="Arial"/>
        </w:rPr>
        <w:t xml:space="preserve">, 13.6% to business model/plan presentation and similar portions are related to meetings with user communities and potential investors. As regards the target audience of these activities, </w:t>
      </w:r>
      <w:proofErr w:type="gramStart"/>
      <w:r>
        <w:rPr>
          <w:rFonts w:ascii="Arial" w:hAnsi="Arial" w:cs="Arial"/>
        </w:rPr>
        <w:t>the vast majority of</w:t>
      </w:r>
      <w:proofErr w:type="gramEnd"/>
      <w:r>
        <w:rPr>
          <w:rFonts w:ascii="Arial" w:hAnsi="Arial" w:cs="Arial"/>
        </w:rPr>
        <w:t xml:space="preserve"> them (2 out of 3) addressed to the industry and /or business partners, while a much smaller portion to the research communities (16%) and the standardisation bodies (6%).</w:t>
      </w:r>
    </w:p>
    <w:p w14:paraId="5C53B962" w14:textId="77777777" w:rsidR="00D125E0" w:rsidRDefault="00D125E0" w:rsidP="00D125E0">
      <w:pPr>
        <w:jc w:val="both"/>
      </w:pPr>
      <w:r>
        <w:rPr>
          <w:noProof/>
          <w:lang w:eastAsia="en-GB"/>
        </w:rPr>
        <w:lastRenderedPageBreak/>
        <w:drawing>
          <wp:inline distT="0" distB="0" distL="0" distR="0" wp14:anchorId="2D722652" wp14:editId="22D97FBE">
            <wp:extent cx="5657850" cy="3086100"/>
            <wp:effectExtent l="0" t="0" r="0" b="0"/>
            <wp:docPr id="33" name="Chart 33">
              <a:extLst xmlns:a="http://schemas.openxmlformats.org/drawingml/2006/main">
                <a:ext uri="{FF2B5EF4-FFF2-40B4-BE49-F238E27FC236}">
                  <a16:creationId xmlns:a16="http://schemas.microsoft.com/office/drawing/2014/main" id="{00000000-0008-0000-04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sidRPr="00E55217">
        <w:rPr>
          <w:noProof/>
        </w:rPr>
        <w:t xml:space="preserve"> </w:t>
      </w:r>
    </w:p>
    <w:p w14:paraId="12FBDD50" w14:textId="07121494" w:rsidR="00D125E0" w:rsidRPr="00B97F86" w:rsidRDefault="00D125E0" w:rsidP="00D125E0">
      <w:pPr>
        <w:pStyle w:val="Caption"/>
        <w:jc w:val="both"/>
      </w:pPr>
      <w:r>
        <w:t>Figure</w:t>
      </w:r>
      <w:r w:rsidR="004D134E">
        <w:t xml:space="preserve"> 1.5.9</w:t>
      </w:r>
      <w:r>
        <w:t>: Type of the exploitation activities performed by JU projects in 2020</w:t>
      </w:r>
      <w:r w:rsidRPr="00B97F86">
        <w:t>.</w:t>
      </w:r>
    </w:p>
    <w:p w14:paraId="63661170" w14:textId="77777777" w:rsidR="00D125E0" w:rsidRDefault="00D125E0" w:rsidP="00D125E0">
      <w:pPr>
        <w:jc w:val="both"/>
      </w:pPr>
      <w:r>
        <w:rPr>
          <w:noProof/>
          <w:lang w:eastAsia="en-GB"/>
        </w:rPr>
        <w:drawing>
          <wp:inline distT="0" distB="0" distL="0" distR="0" wp14:anchorId="7CD04E8A" wp14:editId="0D066A54">
            <wp:extent cx="5657850" cy="3016250"/>
            <wp:effectExtent l="0" t="0" r="0" b="12700"/>
            <wp:docPr id="34" name="Chart 34">
              <a:extLst xmlns:a="http://schemas.openxmlformats.org/drawingml/2006/main">
                <a:ext uri="{FF2B5EF4-FFF2-40B4-BE49-F238E27FC236}">
                  <a16:creationId xmlns:a16="http://schemas.microsoft.com/office/drawing/2014/main" id="{00000000-0008-0000-04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5DB7EB8C" w14:textId="5BAC24CA" w:rsidR="00D125E0" w:rsidRDefault="00D125E0" w:rsidP="00D125E0">
      <w:pPr>
        <w:pStyle w:val="Caption"/>
        <w:jc w:val="both"/>
      </w:pPr>
      <w:r>
        <w:t>Figure</w:t>
      </w:r>
      <w:r w:rsidR="004D134E">
        <w:t xml:space="preserve"> 1.5.10</w:t>
      </w:r>
      <w:r>
        <w:t>: Target audience of the exploitation activities performed by JU projects in 20</w:t>
      </w:r>
      <w:r w:rsidR="004D134E">
        <w:t>20</w:t>
      </w:r>
      <w:r w:rsidRPr="00B97F86">
        <w:t>.</w:t>
      </w:r>
    </w:p>
    <w:p w14:paraId="73D44F58" w14:textId="77777777" w:rsidR="00D125E0" w:rsidRDefault="00D125E0" w:rsidP="00D125E0">
      <w:pPr>
        <w:jc w:val="both"/>
      </w:pPr>
    </w:p>
    <w:p w14:paraId="692794C5" w14:textId="4DDB505F" w:rsidR="00127450" w:rsidRPr="00F05339" w:rsidRDefault="00235C2A" w:rsidP="00127450">
      <w:pPr>
        <w:pStyle w:val="Heading3"/>
        <w:numPr>
          <w:ilvl w:val="1"/>
          <w:numId w:val="1"/>
        </w:numPr>
        <w:jc w:val="both"/>
        <w:rPr>
          <w:rFonts w:ascii="Arial" w:hAnsi="Arial" w:cs="Arial"/>
        </w:rPr>
      </w:pPr>
      <w:r w:rsidRPr="00F05339">
        <w:rPr>
          <w:rFonts w:ascii="Arial" w:hAnsi="Arial" w:cs="Arial"/>
        </w:rPr>
        <w:t xml:space="preserve"> </w:t>
      </w:r>
      <w:bookmarkStart w:id="135" w:name="_Toc98496348"/>
      <w:bookmarkStart w:id="136" w:name="_Toc101516069"/>
      <w:r w:rsidR="00F53441" w:rsidRPr="00F05339">
        <w:rPr>
          <w:rFonts w:ascii="Arial" w:hAnsi="Arial" w:cs="Arial"/>
        </w:rPr>
        <w:t>Operational budget execution</w:t>
      </w:r>
      <w:bookmarkEnd w:id="135"/>
      <w:bookmarkEnd w:id="136"/>
    </w:p>
    <w:p w14:paraId="02DD4B03" w14:textId="77777777" w:rsidR="000A11EF" w:rsidRPr="00F05339" w:rsidRDefault="00A14836" w:rsidP="00A14836">
      <w:pPr>
        <w:jc w:val="both"/>
        <w:rPr>
          <w:rFonts w:ascii="Arial" w:hAnsi="Arial" w:cs="Arial"/>
        </w:rPr>
      </w:pPr>
      <w:r w:rsidRPr="00F05339">
        <w:rPr>
          <w:rFonts w:ascii="Arial" w:hAnsi="Arial" w:cs="Arial"/>
        </w:rPr>
        <w:t>The total budget available in 2020 (including internal assigned revenues) for operational expenses reached EUR 10 227 166 in terms of commitment appropriations and EUR 49 676 325 in terms of payment appropriations. Commitment utilisation rate reached 9</w:t>
      </w:r>
      <w:r w:rsidR="000A11EF" w:rsidRPr="00F05339">
        <w:rPr>
          <w:rFonts w:ascii="Arial" w:hAnsi="Arial" w:cs="Arial"/>
        </w:rPr>
        <w:t>8.3</w:t>
      </w:r>
      <w:r w:rsidRPr="00F05339">
        <w:rPr>
          <w:rFonts w:ascii="Arial" w:hAnsi="Arial" w:cs="Arial"/>
        </w:rPr>
        <w:t>% (</w:t>
      </w:r>
      <w:r w:rsidR="000A11EF" w:rsidRPr="00F05339">
        <w:rPr>
          <w:rFonts w:ascii="Arial" w:hAnsi="Arial" w:cs="Arial"/>
        </w:rPr>
        <w:t>94.9</w:t>
      </w:r>
      <w:r w:rsidRPr="00F05339">
        <w:rPr>
          <w:rFonts w:ascii="Arial" w:hAnsi="Arial" w:cs="Arial"/>
        </w:rPr>
        <w:t>% in 20</w:t>
      </w:r>
      <w:r w:rsidR="000A11EF" w:rsidRPr="00F05339">
        <w:rPr>
          <w:rFonts w:ascii="Arial" w:hAnsi="Arial" w:cs="Arial"/>
        </w:rPr>
        <w:t>20</w:t>
      </w:r>
      <w:r w:rsidRPr="00F05339">
        <w:rPr>
          <w:rFonts w:ascii="Arial" w:hAnsi="Arial" w:cs="Arial"/>
        </w:rPr>
        <w:t>)</w:t>
      </w:r>
      <w:r w:rsidR="000A11EF" w:rsidRPr="00F05339">
        <w:rPr>
          <w:rFonts w:ascii="Arial" w:hAnsi="Arial" w:cs="Arial"/>
        </w:rPr>
        <w:t>, which is the highest rate in the last 4 years,</w:t>
      </w:r>
      <w:r w:rsidRPr="00F05339">
        <w:rPr>
          <w:rFonts w:ascii="Arial" w:hAnsi="Arial" w:cs="Arial"/>
        </w:rPr>
        <w:t xml:space="preserve"> whereas payment execution rate reached </w:t>
      </w:r>
      <w:r w:rsidR="000A11EF" w:rsidRPr="00F05339">
        <w:rPr>
          <w:rFonts w:ascii="Arial" w:hAnsi="Arial" w:cs="Arial"/>
        </w:rPr>
        <w:t>88</w:t>
      </w:r>
      <w:r w:rsidRPr="00F05339">
        <w:rPr>
          <w:rFonts w:ascii="Arial" w:hAnsi="Arial" w:cs="Arial"/>
        </w:rPr>
        <w:t>% (9</w:t>
      </w:r>
      <w:r w:rsidR="000A11EF" w:rsidRPr="00F05339">
        <w:rPr>
          <w:rFonts w:ascii="Arial" w:hAnsi="Arial" w:cs="Arial"/>
        </w:rPr>
        <w:t>6.9</w:t>
      </w:r>
      <w:r w:rsidRPr="00F05339">
        <w:rPr>
          <w:rFonts w:ascii="Arial" w:hAnsi="Arial" w:cs="Arial"/>
        </w:rPr>
        <w:t>% in 20</w:t>
      </w:r>
      <w:r w:rsidR="000A11EF" w:rsidRPr="00F05339">
        <w:rPr>
          <w:rFonts w:ascii="Arial" w:hAnsi="Arial" w:cs="Arial"/>
        </w:rPr>
        <w:t>20</w:t>
      </w:r>
      <w:r w:rsidRPr="00F05339">
        <w:rPr>
          <w:rFonts w:ascii="Arial" w:hAnsi="Arial" w:cs="Arial"/>
        </w:rPr>
        <w:t>)</w:t>
      </w:r>
      <w:r w:rsidR="000A11EF" w:rsidRPr="00F05339">
        <w:rPr>
          <w:rFonts w:ascii="Arial" w:hAnsi="Arial" w:cs="Arial"/>
        </w:rPr>
        <w:t>.</w:t>
      </w:r>
      <w:r w:rsidRPr="00F05339">
        <w:rPr>
          <w:rFonts w:ascii="Arial" w:hAnsi="Arial" w:cs="Arial"/>
        </w:rPr>
        <w:t xml:space="preserve"> </w:t>
      </w:r>
    </w:p>
    <w:p w14:paraId="76700B93" w14:textId="77777777" w:rsidR="000A11EF" w:rsidRPr="00F05339" w:rsidRDefault="00A14836" w:rsidP="00A14836">
      <w:pPr>
        <w:jc w:val="both"/>
        <w:rPr>
          <w:rFonts w:ascii="Arial" w:hAnsi="Arial" w:cs="Arial"/>
        </w:rPr>
      </w:pPr>
      <w:r w:rsidRPr="00F05339">
        <w:rPr>
          <w:rFonts w:ascii="Arial" w:hAnsi="Arial" w:cs="Arial"/>
        </w:rPr>
        <w:t xml:space="preserve">In more detail: </w:t>
      </w:r>
    </w:p>
    <w:p w14:paraId="1DBFAC7D" w14:textId="77777777" w:rsidR="000A11EF" w:rsidRPr="00F05339" w:rsidRDefault="00A14836" w:rsidP="002672A0">
      <w:pPr>
        <w:pStyle w:val="ListParagraph"/>
        <w:numPr>
          <w:ilvl w:val="0"/>
          <w:numId w:val="4"/>
        </w:numPr>
        <w:jc w:val="both"/>
        <w:rPr>
          <w:rFonts w:ascii="Arial" w:hAnsi="Arial" w:cs="Arial"/>
        </w:rPr>
      </w:pPr>
      <w:r w:rsidRPr="00F05339">
        <w:rPr>
          <w:rFonts w:ascii="Arial" w:hAnsi="Arial" w:cs="Arial"/>
          <w:b/>
          <w:bCs/>
        </w:rPr>
        <w:lastRenderedPageBreak/>
        <w:t>FP7 budget</w:t>
      </w:r>
      <w:r w:rsidRPr="00F05339">
        <w:rPr>
          <w:rFonts w:ascii="Arial" w:hAnsi="Arial" w:cs="Arial"/>
        </w:rPr>
        <w:t xml:space="preserve"> </w:t>
      </w:r>
    </w:p>
    <w:p w14:paraId="6753344C" w14:textId="316B4185" w:rsidR="000A11EF" w:rsidRPr="00F05339" w:rsidRDefault="00A14836" w:rsidP="000A11EF">
      <w:pPr>
        <w:pStyle w:val="ListParagraph"/>
        <w:jc w:val="both"/>
        <w:rPr>
          <w:rFonts w:ascii="Arial" w:hAnsi="Arial" w:cs="Arial"/>
        </w:rPr>
      </w:pPr>
      <w:r w:rsidRPr="00F05339">
        <w:rPr>
          <w:rFonts w:ascii="Arial" w:hAnsi="Arial" w:cs="Arial"/>
        </w:rPr>
        <w:t>In 202</w:t>
      </w:r>
      <w:r w:rsidR="000A11EF" w:rsidRPr="00F05339">
        <w:rPr>
          <w:rFonts w:ascii="Arial" w:hAnsi="Arial" w:cs="Arial"/>
        </w:rPr>
        <w:t>1</w:t>
      </w:r>
      <w:r w:rsidRPr="00F05339">
        <w:rPr>
          <w:rFonts w:ascii="Arial" w:hAnsi="Arial" w:cs="Arial"/>
        </w:rPr>
        <w:t xml:space="preserve">, </w:t>
      </w:r>
      <w:r w:rsidR="000A11EF" w:rsidRPr="00F05339">
        <w:rPr>
          <w:rFonts w:ascii="Arial" w:hAnsi="Arial" w:cs="Arial"/>
        </w:rPr>
        <w:t>3</w:t>
      </w:r>
      <w:r w:rsidRPr="00F05339">
        <w:rPr>
          <w:rFonts w:ascii="Arial" w:hAnsi="Arial" w:cs="Arial"/>
        </w:rPr>
        <w:t xml:space="preserve"> periodic reports were assessed (</w:t>
      </w:r>
      <w:r w:rsidR="009274A5" w:rsidRPr="00F05339">
        <w:rPr>
          <w:rFonts w:ascii="Arial" w:hAnsi="Arial" w:cs="Arial"/>
        </w:rPr>
        <w:t>1</w:t>
      </w:r>
      <w:r w:rsidRPr="00F05339">
        <w:rPr>
          <w:rFonts w:ascii="Arial" w:hAnsi="Arial" w:cs="Arial"/>
        </w:rPr>
        <w:t xml:space="preserve"> interim and 2 final), with the total amount of payments reaching EUR </w:t>
      </w:r>
      <w:r w:rsidR="000A11EF" w:rsidRPr="00F05339">
        <w:rPr>
          <w:rFonts w:ascii="Arial" w:hAnsi="Arial" w:cs="Arial"/>
        </w:rPr>
        <w:t>1</w:t>
      </w:r>
      <w:r w:rsidRPr="00F05339">
        <w:rPr>
          <w:rFonts w:ascii="Arial" w:hAnsi="Arial" w:cs="Arial"/>
        </w:rPr>
        <w:t xml:space="preserve">.1 million. The budget execution (in terms of payment appropriations) reached </w:t>
      </w:r>
      <w:r w:rsidR="000A11EF" w:rsidRPr="00F05339">
        <w:rPr>
          <w:rFonts w:ascii="Arial" w:hAnsi="Arial" w:cs="Arial"/>
        </w:rPr>
        <w:t>97</w:t>
      </w:r>
      <w:r w:rsidRPr="00F05339">
        <w:rPr>
          <w:rFonts w:ascii="Arial" w:hAnsi="Arial" w:cs="Arial"/>
        </w:rPr>
        <w:t>.8% (</w:t>
      </w:r>
      <w:r w:rsidR="000A11EF" w:rsidRPr="00F05339">
        <w:rPr>
          <w:rFonts w:ascii="Arial" w:hAnsi="Arial" w:cs="Arial"/>
        </w:rPr>
        <w:t>88.8</w:t>
      </w:r>
      <w:r w:rsidRPr="00F05339">
        <w:rPr>
          <w:rFonts w:ascii="Arial" w:hAnsi="Arial" w:cs="Arial"/>
        </w:rPr>
        <w:t>% in 20</w:t>
      </w:r>
      <w:r w:rsidR="000A11EF" w:rsidRPr="00F05339">
        <w:rPr>
          <w:rFonts w:ascii="Arial" w:hAnsi="Arial" w:cs="Arial"/>
        </w:rPr>
        <w:t>20</w:t>
      </w:r>
      <w:r w:rsidRPr="00F05339">
        <w:rPr>
          <w:rFonts w:ascii="Arial" w:hAnsi="Arial" w:cs="Arial"/>
        </w:rPr>
        <w:t>)</w:t>
      </w:r>
      <w:r w:rsidR="000A11EF" w:rsidRPr="00F05339">
        <w:rPr>
          <w:rFonts w:ascii="Arial" w:hAnsi="Arial" w:cs="Arial"/>
        </w:rPr>
        <w:t>.</w:t>
      </w:r>
      <w:r w:rsidRPr="00F05339">
        <w:rPr>
          <w:rFonts w:ascii="Arial" w:hAnsi="Arial" w:cs="Arial"/>
        </w:rPr>
        <w:t xml:space="preserve"> </w:t>
      </w:r>
    </w:p>
    <w:p w14:paraId="67476F37" w14:textId="77777777" w:rsidR="000A11EF" w:rsidRPr="00F05339" w:rsidRDefault="00A14836" w:rsidP="002672A0">
      <w:pPr>
        <w:pStyle w:val="ListParagraph"/>
        <w:numPr>
          <w:ilvl w:val="0"/>
          <w:numId w:val="4"/>
        </w:numPr>
        <w:jc w:val="both"/>
        <w:rPr>
          <w:rFonts w:ascii="Arial" w:hAnsi="Arial" w:cs="Arial"/>
          <w:b/>
          <w:bCs/>
        </w:rPr>
      </w:pPr>
      <w:r w:rsidRPr="00F05339">
        <w:rPr>
          <w:rFonts w:ascii="Arial" w:hAnsi="Arial" w:cs="Arial"/>
          <w:b/>
          <w:bCs/>
        </w:rPr>
        <w:t xml:space="preserve">H2020 budget </w:t>
      </w:r>
    </w:p>
    <w:p w14:paraId="123BAC4A" w14:textId="0450CCC4" w:rsidR="000A11EF" w:rsidRPr="00F05339" w:rsidRDefault="00A14836" w:rsidP="000A11EF">
      <w:pPr>
        <w:pStyle w:val="ListParagraph"/>
        <w:jc w:val="both"/>
        <w:rPr>
          <w:rFonts w:ascii="Arial" w:hAnsi="Arial" w:cs="Arial"/>
        </w:rPr>
      </w:pPr>
      <w:r w:rsidRPr="00F05339">
        <w:rPr>
          <w:rFonts w:ascii="Arial" w:hAnsi="Arial" w:cs="Arial"/>
        </w:rPr>
        <w:t>In 202</w:t>
      </w:r>
      <w:r w:rsidR="000A11EF" w:rsidRPr="00F05339">
        <w:rPr>
          <w:rFonts w:ascii="Arial" w:hAnsi="Arial" w:cs="Arial"/>
        </w:rPr>
        <w:t>1</w:t>
      </w:r>
      <w:r w:rsidRPr="00F05339">
        <w:rPr>
          <w:rFonts w:ascii="Arial" w:hAnsi="Arial" w:cs="Arial"/>
        </w:rPr>
        <w:t xml:space="preserve">, </w:t>
      </w:r>
      <w:r w:rsidR="009274A5" w:rsidRPr="00F05339">
        <w:rPr>
          <w:rFonts w:ascii="Arial" w:hAnsi="Arial" w:cs="Arial"/>
        </w:rPr>
        <w:t>62</w:t>
      </w:r>
      <w:r w:rsidRPr="00F05339">
        <w:rPr>
          <w:rFonts w:ascii="Arial" w:hAnsi="Arial" w:cs="Arial"/>
        </w:rPr>
        <w:t xml:space="preserve"> reports were assessed (</w:t>
      </w:r>
      <w:r w:rsidR="009274A5" w:rsidRPr="00F05339">
        <w:rPr>
          <w:rFonts w:ascii="Arial" w:hAnsi="Arial" w:cs="Arial"/>
        </w:rPr>
        <w:t>4</w:t>
      </w:r>
      <w:r w:rsidRPr="00F05339">
        <w:rPr>
          <w:rFonts w:ascii="Arial" w:hAnsi="Arial" w:cs="Arial"/>
        </w:rPr>
        <w:t>6 interim and 1</w:t>
      </w:r>
      <w:r w:rsidR="009274A5" w:rsidRPr="00F05339">
        <w:rPr>
          <w:rFonts w:ascii="Arial" w:hAnsi="Arial" w:cs="Arial"/>
        </w:rPr>
        <w:t>6</w:t>
      </w:r>
      <w:r w:rsidRPr="00F05339">
        <w:rPr>
          <w:rFonts w:ascii="Arial" w:hAnsi="Arial" w:cs="Arial"/>
        </w:rPr>
        <w:t xml:space="preserve"> final payments). In addition, H2020 operational payment appropriations were used for 2 pre-financing payments (from Call 2020), as well as for </w:t>
      </w:r>
      <w:r w:rsidR="009274A5" w:rsidRPr="00F05339">
        <w:rPr>
          <w:rFonts w:ascii="Arial" w:hAnsi="Arial" w:cs="Arial"/>
        </w:rPr>
        <w:t>procurement activities</w:t>
      </w:r>
      <w:r w:rsidRPr="00F05339">
        <w:rPr>
          <w:rFonts w:ascii="Arial" w:hAnsi="Arial" w:cs="Arial"/>
        </w:rPr>
        <w:t xml:space="preserve">, the </w:t>
      </w:r>
      <w:r w:rsidR="009274A5" w:rsidRPr="00F05339">
        <w:rPr>
          <w:rFonts w:ascii="Arial" w:hAnsi="Arial" w:cs="Arial"/>
        </w:rPr>
        <w:t>work of JRC</w:t>
      </w:r>
      <w:r w:rsidRPr="00F05339">
        <w:rPr>
          <w:rFonts w:ascii="Arial" w:hAnsi="Arial" w:cs="Arial"/>
        </w:rPr>
        <w:t xml:space="preserve">, and the work of experts in the context of the EHSP. Budget execution in terms of payment appropriations reached </w:t>
      </w:r>
      <w:r w:rsidR="009274A5" w:rsidRPr="00F05339">
        <w:rPr>
          <w:rFonts w:ascii="Arial" w:hAnsi="Arial" w:cs="Arial"/>
        </w:rPr>
        <w:t>8</w:t>
      </w:r>
      <w:r w:rsidRPr="00F05339">
        <w:rPr>
          <w:rFonts w:ascii="Arial" w:hAnsi="Arial" w:cs="Arial"/>
        </w:rPr>
        <w:t>7.</w:t>
      </w:r>
      <w:r w:rsidR="009274A5" w:rsidRPr="00F05339">
        <w:rPr>
          <w:rFonts w:ascii="Arial" w:hAnsi="Arial" w:cs="Arial"/>
        </w:rPr>
        <w:t>8</w:t>
      </w:r>
      <w:r w:rsidRPr="00F05339">
        <w:rPr>
          <w:rFonts w:ascii="Arial" w:hAnsi="Arial" w:cs="Arial"/>
        </w:rPr>
        <w:t>% (</w:t>
      </w:r>
      <w:r w:rsidR="009274A5" w:rsidRPr="00F05339">
        <w:rPr>
          <w:rFonts w:ascii="Arial" w:hAnsi="Arial" w:cs="Arial"/>
        </w:rPr>
        <w:t>97.5</w:t>
      </w:r>
      <w:r w:rsidRPr="00F05339">
        <w:rPr>
          <w:rFonts w:ascii="Arial" w:hAnsi="Arial" w:cs="Arial"/>
        </w:rPr>
        <w:t>% in 20</w:t>
      </w:r>
      <w:r w:rsidR="009274A5" w:rsidRPr="00F05339">
        <w:rPr>
          <w:rFonts w:ascii="Arial" w:hAnsi="Arial" w:cs="Arial"/>
        </w:rPr>
        <w:t>20</w:t>
      </w:r>
      <w:r w:rsidRPr="00F05339">
        <w:rPr>
          <w:rFonts w:ascii="Arial" w:hAnsi="Arial" w:cs="Arial"/>
        </w:rPr>
        <w:t xml:space="preserve">). </w:t>
      </w:r>
      <w:r w:rsidR="009274A5" w:rsidRPr="00F05339">
        <w:rPr>
          <w:rFonts w:ascii="Arial" w:hAnsi="Arial" w:cs="Arial"/>
        </w:rPr>
        <w:t xml:space="preserve">The reasons of the lower implementation rate are explained in section 2.3.2. </w:t>
      </w:r>
      <w:r w:rsidRPr="00F05339">
        <w:rPr>
          <w:rFonts w:ascii="Arial" w:hAnsi="Arial" w:cs="Arial"/>
        </w:rPr>
        <w:t>In terms of commitment appropriations, the execution rate reached 9</w:t>
      </w:r>
      <w:r w:rsidR="009274A5" w:rsidRPr="00F05339">
        <w:rPr>
          <w:rFonts w:ascii="Arial" w:hAnsi="Arial" w:cs="Arial"/>
        </w:rPr>
        <w:t>8</w:t>
      </w:r>
      <w:r w:rsidRPr="00F05339">
        <w:rPr>
          <w:rFonts w:ascii="Arial" w:hAnsi="Arial" w:cs="Arial"/>
        </w:rPr>
        <w:t>.</w:t>
      </w:r>
      <w:r w:rsidR="009274A5" w:rsidRPr="00F05339">
        <w:rPr>
          <w:rFonts w:ascii="Arial" w:hAnsi="Arial" w:cs="Arial"/>
        </w:rPr>
        <w:t>4</w:t>
      </w:r>
      <w:r w:rsidRPr="00F05339">
        <w:rPr>
          <w:rFonts w:ascii="Arial" w:hAnsi="Arial" w:cs="Arial"/>
        </w:rPr>
        <w:t>% (</w:t>
      </w:r>
      <w:r w:rsidR="009274A5" w:rsidRPr="00F05339">
        <w:rPr>
          <w:rFonts w:ascii="Arial" w:hAnsi="Arial" w:cs="Arial"/>
        </w:rPr>
        <w:t>9</w:t>
      </w:r>
      <w:r w:rsidRPr="00F05339">
        <w:rPr>
          <w:rFonts w:ascii="Arial" w:hAnsi="Arial" w:cs="Arial"/>
        </w:rPr>
        <w:t>6.</w:t>
      </w:r>
      <w:r w:rsidR="009274A5" w:rsidRPr="00F05339">
        <w:rPr>
          <w:rFonts w:ascii="Arial" w:hAnsi="Arial" w:cs="Arial"/>
        </w:rPr>
        <w:t>5</w:t>
      </w:r>
      <w:r w:rsidRPr="00F05339">
        <w:rPr>
          <w:rFonts w:ascii="Arial" w:hAnsi="Arial" w:cs="Arial"/>
        </w:rPr>
        <w:t>% in 20</w:t>
      </w:r>
      <w:r w:rsidR="009274A5" w:rsidRPr="00F05339">
        <w:rPr>
          <w:rFonts w:ascii="Arial" w:hAnsi="Arial" w:cs="Arial"/>
        </w:rPr>
        <w:t>20</w:t>
      </w:r>
      <w:r w:rsidRPr="00F05339">
        <w:rPr>
          <w:rFonts w:ascii="Arial" w:hAnsi="Arial" w:cs="Arial"/>
        </w:rPr>
        <w:t>)</w:t>
      </w:r>
      <w:r w:rsidR="009274A5" w:rsidRPr="00F05339">
        <w:rPr>
          <w:rFonts w:ascii="Arial" w:hAnsi="Arial" w:cs="Arial"/>
        </w:rPr>
        <w:t>.</w:t>
      </w:r>
      <w:r w:rsidRPr="00F05339">
        <w:rPr>
          <w:rFonts w:ascii="Arial" w:hAnsi="Arial" w:cs="Arial"/>
        </w:rPr>
        <w:t xml:space="preserve"> </w:t>
      </w:r>
    </w:p>
    <w:p w14:paraId="2D772A42" w14:textId="77777777" w:rsidR="000A11EF" w:rsidRPr="00F05339" w:rsidRDefault="000A11EF" w:rsidP="000A11EF">
      <w:pPr>
        <w:pStyle w:val="ListParagraph"/>
        <w:jc w:val="both"/>
        <w:rPr>
          <w:rFonts w:ascii="Arial" w:hAnsi="Arial" w:cs="Arial"/>
        </w:rPr>
      </w:pPr>
    </w:p>
    <w:p w14:paraId="71A7387B" w14:textId="164D45B0" w:rsidR="00A14836" w:rsidRPr="00F05339" w:rsidRDefault="00A14836" w:rsidP="000A11EF">
      <w:pPr>
        <w:pStyle w:val="ListParagraph"/>
        <w:jc w:val="both"/>
        <w:rPr>
          <w:rFonts w:ascii="Arial" w:hAnsi="Arial" w:cs="Arial"/>
        </w:rPr>
      </w:pPr>
      <w:r w:rsidRPr="00F05339">
        <w:rPr>
          <w:rFonts w:ascii="Arial" w:hAnsi="Arial" w:cs="Arial"/>
        </w:rPr>
        <w:t>For further details on the budget, see Section 2.3.</w:t>
      </w:r>
    </w:p>
    <w:p w14:paraId="7D13C359" w14:textId="57F42FD1" w:rsidR="00751C81" w:rsidRPr="00F05339" w:rsidRDefault="00751C81" w:rsidP="00751C81">
      <w:pPr>
        <w:pStyle w:val="Heading3"/>
        <w:numPr>
          <w:ilvl w:val="1"/>
          <w:numId w:val="1"/>
        </w:numPr>
        <w:jc w:val="both"/>
        <w:rPr>
          <w:rFonts w:ascii="Arial" w:hAnsi="Arial" w:cs="Arial"/>
        </w:rPr>
      </w:pPr>
      <w:bookmarkStart w:id="137" w:name="_Toc98496349"/>
      <w:bookmarkStart w:id="138" w:name="_Toc101516070"/>
      <w:r w:rsidRPr="00F05339">
        <w:rPr>
          <w:rFonts w:ascii="Arial" w:hAnsi="Arial" w:cs="Arial"/>
        </w:rPr>
        <w:t>In-kind contributions</w:t>
      </w:r>
      <w:bookmarkEnd w:id="137"/>
      <w:bookmarkEnd w:id="138"/>
    </w:p>
    <w:p w14:paraId="1D67BF47" w14:textId="77777777" w:rsidR="00B37CC0" w:rsidRPr="00F05339" w:rsidRDefault="00B37CC0" w:rsidP="00B37CC0">
      <w:pPr>
        <w:spacing w:after="215" w:line="259" w:lineRule="auto"/>
        <w:ind w:left="2" w:hanging="10"/>
        <w:rPr>
          <w:rFonts w:ascii="Arial" w:hAnsi="Arial" w:cs="Arial"/>
        </w:rPr>
      </w:pPr>
      <w:r w:rsidRPr="00F05339">
        <w:rPr>
          <w:rFonts w:ascii="Arial" w:hAnsi="Arial" w:cs="Arial"/>
          <w:color w:val="3A5FAC"/>
        </w:rPr>
        <w:t xml:space="preserve">In-kind contributions in H2020 </w:t>
      </w:r>
    </w:p>
    <w:p w14:paraId="3021BC38" w14:textId="77777777" w:rsidR="00B37CC0" w:rsidRPr="00F05339" w:rsidRDefault="00B37CC0" w:rsidP="00B37CC0">
      <w:pPr>
        <w:ind w:left="10" w:right="18"/>
        <w:jc w:val="both"/>
        <w:rPr>
          <w:rFonts w:ascii="Arial" w:hAnsi="Arial" w:cs="Arial"/>
        </w:rPr>
      </w:pPr>
      <w:r w:rsidRPr="00F05339">
        <w:rPr>
          <w:rFonts w:ascii="Arial" w:hAnsi="Arial" w:cs="Arial"/>
        </w:rPr>
        <w:t>The FCH 2 JU legal framework for in-kind contributions</w:t>
      </w:r>
      <w:r w:rsidRPr="00F05339">
        <w:rPr>
          <w:rFonts w:ascii="Arial" w:hAnsi="Arial" w:cs="Arial"/>
          <w:vertAlign w:val="superscript"/>
        </w:rPr>
        <w:footnoteReference w:id="87"/>
      </w:r>
      <w:r w:rsidRPr="00F05339">
        <w:rPr>
          <w:rFonts w:ascii="Arial" w:hAnsi="Arial" w:cs="Arial"/>
        </w:rPr>
        <w:t xml:space="preserve"> is defined in Council Regulation 559/2014 of 6 May 2014 establishing the FCH 2 JU, in which Article 4 provides that: </w:t>
      </w:r>
    </w:p>
    <w:p w14:paraId="193E7761" w14:textId="77777777" w:rsidR="00B37CC0" w:rsidRPr="00F05339" w:rsidRDefault="00B37CC0" w:rsidP="00B37CC0">
      <w:pPr>
        <w:ind w:left="10" w:right="18"/>
        <w:jc w:val="both"/>
        <w:rPr>
          <w:rFonts w:ascii="Arial" w:hAnsi="Arial" w:cs="Arial"/>
        </w:rPr>
      </w:pPr>
      <w:r w:rsidRPr="00F05339">
        <w:rPr>
          <w:rFonts w:ascii="Arial" w:hAnsi="Arial" w:cs="Arial"/>
        </w:rPr>
        <w:t xml:space="preserve">‘The Members of the FCH 2 Joint Undertaking other than the Union shall make or arrange for their constituent entities or their affiliated entities to make a total contribution of at least EUR 380 million over the period defined in Article 1.’ </w:t>
      </w:r>
    </w:p>
    <w:p w14:paraId="04475012" w14:textId="0A1E4794" w:rsidR="00B37CC0" w:rsidRDefault="00B37CC0" w:rsidP="00B37CC0">
      <w:pPr>
        <w:ind w:left="10" w:right="18"/>
        <w:jc w:val="both"/>
        <w:rPr>
          <w:rFonts w:ascii="Arial" w:hAnsi="Arial" w:cs="Arial"/>
        </w:rPr>
      </w:pPr>
      <w:r w:rsidRPr="00F05339">
        <w:rPr>
          <w:rFonts w:ascii="Arial" w:hAnsi="Arial" w:cs="Arial"/>
          <w:b/>
        </w:rPr>
        <w:t>In 2021</w:t>
      </w:r>
      <w:r w:rsidRPr="00F05339">
        <w:rPr>
          <w:rFonts w:ascii="Arial" w:hAnsi="Arial" w:cs="Arial"/>
        </w:rPr>
        <w:t xml:space="preserve">, FCH 2 JU members other than the EU were able to demonstrate an </w:t>
      </w:r>
      <w:r w:rsidRPr="00F05339">
        <w:rPr>
          <w:rFonts w:ascii="Arial" w:hAnsi="Arial" w:cs="Arial"/>
          <w:b/>
        </w:rPr>
        <w:t xml:space="preserve">overall figure exceeding EUR 1 000 million </w:t>
      </w:r>
      <w:r w:rsidRPr="00F05339">
        <w:rPr>
          <w:rFonts w:ascii="Arial" w:hAnsi="Arial" w:cs="Arial"/>
        </w:rPr>
        <w:t xml:space="preserve">of certified contributions from private members, largely exceeding the minimum targets. </w:t>
      </w:r>
    </w:p>
    <w:p w14:paraId="7C6D9F0F" w14:textId="77777777" w:rsidR="0088624C" w:rsidRPr="00F05339" w:rsidRDefault="0088624C" w:rsidP="0088624C">
      <w:pPr>
        <w:ind w:left="10" w:right="18"/>
        <w:jc w:val="both"/>
        <w:rPr>
          <w:rFonts w:ascii="Arial" w:hAnsi="Arial" w:cs="Arial"/>
        </w:rPr>
      </w:pPr>
      <w:r w:rsidRPr="00F05339">
        <w:rPr>
          <w:rFonts w:ascii="Arial" w:hAnsi="Arial" w:cs="Arial"/>
          <w:b/>
        </w:rPr>
        <w:t>For a detailed calculation</w:t>
      </w:r>
      <w:r w:rsidRPr="00F05339">
        <w:rPr>
          <w:rFonts w:ascii="Arial" w:hAnsi="Arial" w:cs="Arial"/>
        </w:rPr>
        <w:t xml:space="preserve"> of the leverage-effect formula, the following contributions made by members other than the EU and their constituent or affiliated entities have been considered:</w:t>
      </w:r>
    </w:p>
    <w:p w14:paraId="147BED4D" w14:textId="77777777" w:rsidR="0088624C" w:rsidRPr="00F05339" w:rsidRDefault="0088624C" w:rsidP="0088624C">
      <w:pPr>
        <w:numPr>
          <w:ilvl w:val="0"/>
          <w:numId w:val="8"/>
        </w:numPr>
        <w:ind w:right="18"/>
        <w:contextualSpacing/>
        <w:jc w:val="both"/>
        <w:rPr>
          <w:rFonts w:ascii="Arial" w:hAnsi="Arial" w:cs="Arial"/>
        </w:rPr>
      </w:pPr>
      <w:r w:rsidRPr="00F05339">
        <w:rPr>
          <w:rFonts w:ascii="Arial" w:hAnsi="Arial" w:cs="Arial"/>
        </w:rPr>
        <w:t xml:space="preserve">Contributions to the </w:t>
      </w:r>
      <w:r w:rsidRPr="00F05339">
        <w:rPr>
          <w:rFonts w:ascii="Arial" w:hAnsi="Arial" w:cs="Arial"/>
          <w:b/>
        </w:rPr>
        <w:t>administrative costs</w:t>
      </w:r>
      <w:r w:rsidRPr="00F05339">
        <w:rPr>
          <w:rFonts w:ascii="Arial" w:hAnsi="Arial" w:cs="Arial"/>
        </w:rPr>
        <w:t xml:space="preserve"> of the FCH 2 </w:t>
      </w:r>
      <w:proofErr w:type="gramStart"/>
      <w:r w:rsidRPr="00F05339">
        <w:rPr>
          <w:rFonts w:ascii="Arial" w:hAnsi="Arial" w:cs="Arial"/>
        </w:rPr>
        <w:t>JU;</w:t>
      </w:r>
      <w:proofErr w:type="gramEnd"/>
    </w:p>
    <w:p w14:paraId="714B5758" w14:textId="77777777" w:rsidR="0088624C" w:rsidRPr="00F05339" w:rsidRDefault="0088624C" w:rsidP="0088624C">
      <w:pPr>
        <w:numPr>
          <w:ilvl w:val="0"/>
          <w:numId w:val="8"/>
        </w:numPr>
        <w:ind w:right="18"/>
        <w:contextualSpacing/>
        <w:jc w:val="both"/>
        <w:rPr>
          <w:rFonts w:ascii="Arial" w:hAnsi="Arial" w:cs="Arial"/>
        </w:rPr>
      </w:pPr>
      <w:r w:rsidRPr="00F05339">
        <w:rPr>
          <w:rFonts w:ascii="Arial" w:hAnsi="Arial" w:cs="Arial"/>
        </w:rPr>
        <w:t>Co-financing required to carry out research and innovation actions supported by the FCH 2 JU (</w:t>
      </w:r>
      <w:proofErr w:type="gramStart"/>
      <w:r w:rsidRPr="00F05339">
        <w:rPr>
          <w:rFonts w:ascii="Arial" w:hAnsi="Arial" w:cs="Arial"/>
        </w:rPr>
        <w:t>i.e.</w:t>
      </w:r>
      <w:proofErr w:type="gramEnd"/>
      <w:r w:rsidRPr="00F05339">
        <w:rPr>
          <w:rFonts w:ascii="Arial" w:hAnsi="Arial" w:cs="Arial"/>
        </w:rPr>
        <w:t xml:space="preserve"> contributions to indirect actions through </w:t>
      </w:r>
      <w:r w:rsidRPr="00F05339">
        <w:rPr>
          <w:rFonts w:ascii="Arial" w:hAnsi="Arial" w:cs="Arial"/>
          <w:b/>
        </w:rPr>
        <w:t>co-funding FCH 2 JU projects</w:t>
      </w:r>
      <w:r w:rsidRPr="00F05339">
        <w:rPr>
          <w:rFonts w:ascii="Arial" w:hAnsi="Arial" w:cs="Arial"/>
        </w:rPr>
        <w:t>, the so-called ‘</w:t>
      </w:r>
      <w:r w:rsidRPr="00F05339">
        <w:rPr>
          <w:rFonts w:ascii="Arial" w:hAnsi="Arial" w:cs="Arial"/>
          <w:b/>
        </w:rPr>
        <w:t>IKOP</w:t>
      </w:r>
      <w:r w:rsidRPr="00F05339">
        <w:rPr>
          <w:rFonts w:ascii="Arial" w:hAnsi="Arial" w:cs="Arial"/>
        </w:rPr>
        <w:t>’;</w:t>
      </w:r>
    </w:p>
    <w:p w14:paraId="7262C9E5" w14:textId="77777777" w:rsidR="0088624C" w:rsidRPr="00F05339" w:rsidRDefault="0088624C" w:rsidP="0088624C">
      <w:pPr>
        <w:numPr>
          <w:ilvl w:val="0"/>
          <w:numId w:val="8"/>
        </w:numPr>
        <w:ind w:right="18"/>
        <w:contextualSpacing/>
        <w:jc w:val="both"/>
        <w:rPr>
          <w:rFonts w:ascii="Arial" w:hAnsi="Arial" w:cs="Arial"/>
        </w:rPr>
      </w:pPr>
      <w:r w:rsidRPr="00F05339">
        <w:rPr>
          <w:rFonts w:ascii="Arial" w:hAnsi="Arial" w:cs="Arial"/>
        </w:rPr>
        <w:t xml:space="preserve">Contributions towards additional activities by members other than the EU or their constituent or affiliated entities, as specified in an additional activities plan. These </w:t>
      </w:r>
      <w:r w:rsidRPr="00F05339">
        <w:rPr>
          <w:rFonts w:ascii="Arial" w:hAnsi="Arial" w:cs="Arial"/>
          <w:b/>
        </w:rPr>
        <w:t>additional activities</w:t>
      </w:r>
      <w:r w:rsidRPr="00F05339">
        <w:rPr>
          <w:rFonts w:ascii="Arial" w:hAnsi="Arial" w:cs="Arial"/>
        </w:rPr>
        <w:t xml:space="preserve"> (so-called ‘</w:t>
      </w:r>
      <w:r w:rsidRPr="00F05339">
        <w:rPr>
          <w:rFonts w:ascii="Arial" w:hAnsi="Arial" w:cs="Arial"/>
          <w:b/>
        </w:rPr>
        <w:t>IKAA</w:t>
      </w:r>
      <w:r w:rsidRPr="00F05339">
        <w:rPr>
          <w:rFonts w:ascii="Arial" w:hAnsi="Arial" w:cs="Arial"/>
        </w:rPr>
        <w:t xml:space="preserve">’) should represent contributions to the broader Fuel Cells and Hydrogen Joint Technology Initiative and the </w:t>
      </w:r>
      <w:proofErr w:type="gramStart"/>
      <w:r w:rsidRPr="00F05339">
        <w:rPr>
          <w:rFonts w:ascii="Arial" w:hAnsi="Arial" w:cs="Arial"/>
        </w:rPr>
        <w:t>sector as a whole</w:t>
      </w:r>
      <w:proofErr w:type="gramEnd"/>
      <w:r w:rsidRPr="00F05339">
        <w:rPr>
          <w:rFonts w:ascii="Arial" w:hAnsi="Arial" w:cs="Arial"/>
        </w:rPr>
        <w:t>.</w:t>
      </w:r>
    </w:p>
    <w:p w14:paraId="52E84B01" w14:textId="77777777" w:rsidR="0088624C" w:rsidRPr="00F05339" w:rsidRDefault="0088624C" w:rsidP="0088624C">
      <w:pPr>
        <w:ind w:right="18"/>
        <w:contextualSpacing/>
        <w:jc w:val="both"/>
        <w:rPr>
          <w:rFonts w:ascii="Arial" w:hAnsi="Arial" w:cs="Arial"/>
        </w:rPr>
      </w:pPr>
    </w:p>
    <w:p w14:paraId="34924619" w14:textId="77777777" w:rsidR="0088624C" w:rsidRPr="00F05339" w:rsidRDefault="0088624C" w:rsidP="0088624C">
      <w:pPr>
        <w:ind w:right="18"/>
        <w:jc w:val="both"/>
        <w:rPr>
          <w:rFonts w:ascii="Arial" w:hAnsi="Arial" w:cs="Arial"/>
        </w:rPr>
      </w:pPr>
      <w:r w:rsidRPr="00F05339">
        <w:rPr>
          <w:rFonts w:ascii="Arial" w:hAnsi="Arial" w:cs="Arial"/>
        </w:rPr>
        <w:t xml:space="preserve">The amounts of each contribution, as </w:t>
      </w:r>
      <w:proofErr w:type="gramStart"/>
      <w:r w:rsidRPr="00F05339">
        <w:rPr>
          <w:rFonts w:ascii="Arial" w:hAnsi="Arial" w:cs="Arial"/>
        </w:rPr>
        <w:t>at</w:t>
      </w:r>
      <w:proofErr w:type="gramEnd"/>
      <w:r w:rsidRPr="00F05339">
        <w:rPr>
          <w:rFonts w:ascii="Arial" w:hAnsi="Arial" w:cs="Arial"/>
        </w:rPr>
        <w:t xml:space="preserve"> 31 December 2021, are detailed in the tables below.</w:t>
      </w:r>
    </w:p>
    <w:p w14:paraId="6A97F3AA" w14:textId="77777777" w:rsidR="0088624C" w:rsidRPr="00F05339" w:rsidRDefault="0088624C" w:rsidP="0088624C">
      <w:pPr>
        <w:ind w:right="18"/>
        <w:jc w:val="both"/>
        <w:rPr>
          <w:rFonts w:ascii="Arial" w:hAnsi="Arial" w:cs="Arial"/>
          <w:b/>
          <w:i/>
        </w:rPr>
      </w:pPr>
      <w:r w:rsidRPr="00F05339">
        <w:rPr>
          <w:rFonts w:ascii="Arial" w:hAnsi="Arial" w:cs="Arial"/>
          <w:b/>
          <w:i/>
        </w:rPr>
        <w:t>Administrative costs</w:t>
      </w:r>
    </w:p>
    <w:p w14:paraId="626B9EA4" w14:textId="77777777" w:rsidR="0088624C" w:rsidRPr="00F05339" w:rsidRDefault="0088624C" w:rsidP="0088624C">
      <w:pPr>
        <w:keepNext/>
        <w:keepLines/>
        <w:numPr>
          <w:ilvl w:val="0"/>
          <w:numId w:val="8"/>
        </w:numPr>
        <w:spacing w:before="40" w:after="0"/>
        <w:outlineLvl w:val="3"/>
        <w:rPr>
          <w:rFonts w:ascii="Arial" w:eastAsiaTheme="majorEastAsia" w:hAnsi="Arial" w:cs="Arial"/>
          <w:b/>
          <w:bCs/>
          <w:iCs/>
          <w:color w:val="034EA2"/>
        </w:rPr>
      </w:pPr>
      <w:r w:rsidRPr="00F05339">
        <w:rPr>
          <w:rFonts w:ascii="Arial" w:hAnsi="Arial" w:cs="Arial"/>
          <w:b/>
          <w:bCs/>
          <w:iCs/>
          <w:color w:val="034EA2"/>
        </w:rPr>
        <w:lastRenderedPageBreak/>
        <w:t>TABLE 1.1.1:</w:t>
      </w:r>
      <w:r w:rsidRPr="00F05339">
        <w:rPr>
          <w:rFonts w:ascii="Arial" w:eastAsiaTheme="majorEastAsia" w:hAnsi="Arial" w:cs="Arial"/>
          <w:b/>
          <w:bCs/>
          <w:iCs/>
          <w:color w:val="034EA2"/>
        </w:rPr>
        <w:t xml:space="preserve"> Financial contributions of the members to FCH 2 JU administrative costs in 2014-2021</w:t>
      </w:r>
    </w:p>
    <w:tbl>
      <w:tblPr>
        <w:tblW w:w="8520" w:type="dxa"/>
        <w:tblLook w:val="04A0" w:firstRow="1" w:lastRow="0" w:firstColumn="1" w:lastColumn="0" w:noHBand="0" w:noVBand="1"/>
      </w:tblPr>
      <w:tblGrid>
        <w:gridCol w:w="3220"/>
        <w:gridCol w:w="1760"/>
        <w:gridCol w:w="1840"/>
        <w:gridCol w:w="1700"/>
      </w:tblGrid>
      <w:tr w:rsidR="0088624C" w:rsidRPr="00F05339" w14:paraId="33128D99" w14:textId="77777777" w:rsidTr="006D4624">
        <w:trPr>
          <w:trHeight w:val="300"/>
        </w:trPr>
        <w:tc>
          <w:tcPr>
            <w:tcW w:w="3220" w:type="dxa"/>
            <w:vMerge w:val="restart"/>
            <w:tcBorders>
              <w:top w:val="single" w:sz="4" w:space="0" w:color="auto"/>
              <w:left w:val="single" w:sz="4" w:space="0" w:color="auto"/>
              <w:bottom w:val="single" w:sz="4" w:space="0" w:color="auto"/>
              <w:right w:val="single" w:sz="4" w:space="0" w:color="auto"/>
            </w:tcBorders>
            <w:shd w:val="clear" w:color="000000" w:fill="60B0AF"/>
            <w:vAlign w:val="center"/>
            <w:hideMark/>
          </w:tcPr>
          <w:p w14:paraId="55B1EA45" w14:textId="77777777" w:rsidR="0088624C" w:rsidRPr="00F05339" w:rsidRDefault="0088624C" w:rsidP="006D4624">
            <w:pPr>
              <w:spacing w:after="0" w:line="240" w:lineRule="auto"/>
              <w:jc w:val="center"/>
              <w:rPr>
                <w:rFonts w:ascii="Arial" w:eastAsia="Times New Roman" w:hAnsi="Arial" w:cs="Arial"/>
                <w:b/>
                <w:bCs/>
                <w:color w:val="FFFFFF"/>
                <w:lang w:eastAsia="en-GB"/>
              </w:rPr>
            </w:pPr>
            <w:r w:rsidRPr="00F05339">
              <w:rPr>
                <w:rFonts w:ascii="Arial" w:eastAsia="Times New Roman" w:hAnsi="Arial" w:cs="Arial"/>
                <w:b/>
                <w:bCs/>
                <w:color w:val="FFFFFF"/>
                <w:lang w:eastAsia="en-GB"/>
              </w:rPr>
              <w:t>Contributions to running costs received by 31 December 2021 / year</w:t>
            </w:r>
          </w:p>
        </w:tc>
        <w:tc>
          <w:tcPr>
            <w:tcW w:w="1760" w:type="dxa"/>
            <w:tcBorders>
              <w:top w:val="single" w:sz="4" w:space="0" w:color="auto"/>
              <w:left w:val="nil"/>
              <w:bottom w:val="single" w:sz="4" w:space="0" w:color="auto"/>
              <w:right w:val="single" w:sz="4" w:space="0" w:color="auto"/>
            </w:tcBorders>
            <w:shd w:val="clear" w:color="000000" w:fill="60B0AF"/>
            <w:vAlign w:val="center"/>
            <w:hideMark/>
          </w:tcPr>
          <w:p w14:paraId="25753A1A" w14:textId="77777777" w:rsidR="0088624C" w:rsidRPr="00F05339" w:rsidRDefault="0088624C" w:rsidP="006D4624">
            <w:pPr>
              <w:spacing w:after="0" w:line="240" w:lineRule="auto"/>
              <w:jc w:val="center"/>
              <w:rPr>
                <w:rFonts w:ascii="Arial" w:eastAsia="Times New Roman" w:hAnsi="Arial" w:cs="Arial"/>
                <w:b/>
                <w:bCs/>
                <w:color w:val="FFFFFF"/>
                <w:lang w:eastAsia="en-GB"/>
              </w:rPr>
            </w:pPr>
            <w:r w:rsidRPr="00F05339">
              <w:rPr>
                <w:rFonts w:ascii="Arial" w:eastAsia="Times New Roman" w:hAnsi="Arial" w:cs="Arial"/>
                <w:b/>
                <w:bCs/>
                <w:color w:val="FFFFFF"/>
                <w:lang w:eastAsia="en-GB"/>
              </w:rPr>
              <w:t>Industry grouping</w:t>
            </w:r>
          </w:p>
        </w:tc>
        <w:tc>
          <w:tcPr>
            <w:tcW w:w="1840" w:type="dxa"/>
            <w:tcBorders>
              <w:top w:val="single" w:sz="4" w:space="0" w:color="auto"/>
              <w:left w:val="nil"/>
              <w:bottom w:val="single" w:sz="4" w:space="0" w:color="auto"/>
              <w:right w:val="single" w:sz="4" w:space="0" w:color="auto"/>
            </w:tcBorders>
            <w:shd w:val="clear" w:color="000000" w:fill="60B0AF"/>
            <w:vAlign w:val="center"/>
            <w:hideMark/>
          </w:tcPr>
          <w:p w14:paraId="1D42B38A" w14:textId="77777777" w:rsidR="0088624C" w:rsidRPr="00F05339" w:rsidRDefault="0088624C" w:rsidP="006D4624">
            <w:pPr>
              <w:spacing w:after="0" w:line="240" w:lineRule="auto"/>
              <w:jc w:val="center"/>
              <w:rPr>
                <w:rFonts w:ascii="Arial" w:eastAsia="Times New Roman" w:hAnsi="Arial" w:cs="Arial"/>
                <w:b/>
                <w:bCs/>
                <w:color w:val="FFFFFF"/>
                <w:lang w:eastAsia="en-GB"/>
              </w:rPr>
            </w:pPr>
            <w:r w:rsidRPr="00F05339">
              <w:rPr>
                <w:rFonts w:ascii="Arial" w:eastAsia="Times New Roman" w:hAnsi="Arial" w:cs="Arial"/>
                <w:b/>
                <w:bCs/>
                <w:color w:val="FFFFFF"/>
                <w:lang w:eastAsia="en-GB"/>
              </w:rPr>
              <w:t>Research grouping</w:t>
            </w:r>
          </w:p>
        </w:tc>
        <w:tc>
          <w:tcPr>
            <w:tcW w:w="1700" w:type="dxa"/>
            <w:tcBorders>
              <w:top w:val="single" w:sz="4" w:space="0" w:color="auto"/>
              <w:left w:val="nil"/>
              <w:bottom w:val="single" w:sz="4" w:space="0" w:color="auto"/>
              <w:right w:val="single" w:sz="4" w:space="0" w:color="auto"/>
            </w:tcBorders>
            <w:shd w:val="clear" w:color="000000" w:fill="60B0AF"/>
            <w:vAlign w:val="center"/>
            <w:hideMark/>
          </w:tcPr>
          <w:p w14:paraId="22EE8289" w14:textId="77777777" w:rsidR="0088624C" w:rsidRPr="00F05339" w:rsidRDefault="0088624C" w:rsidP="006D4624">
            <w:pPr>
              <w:spacing w:after="0" w:line="240" w:lineRule="auto"/>
              <w:jc w:val="center"/>
              <w:rPr>
                <w:rFonts w:ascii="Arial" w:eastAsia="Times New Roman" w:hAnsi="Arial" w:cs="Arial"/>
                <w:b/>
                <w:bCs/>
                <w:color w:val="FFFFFF"/>
                <w:lang w:eastAsia="en-GB"/>
              </w:rPr>
            </w:pPr>
            <w:r w:rsidRPr="00F05339">
              <w:rPr>
                <w:rFonts w:ascii="Arial" w:eastAsia="Times New Roman" w:hAnsi="Arial" w:cs="Arial"/>
                <w:b/>
                <w:bCs/>
                <w:color w:val="FFFFFF"/>
                <w:lang w:eastAsia="en-GB"/>
              </w:rPr>
              <w:t>Total</w:t>
            </w:r>
          </w:p>
        </w:tc>
      </w:tr>
      <w:tr w:rsidR="0088624C" w:rsidRPr="00F05339" w14:paraId="4D31B4EC" w14:textId="77777777" w:rsidTr="006D4624">
        <w:trPr>
          <w:trHeight w:val="612"/>
        </w:trPr>
        <w:tc>
          <w:tcPr>
            <w:tcW w:w="3220" w:type="dxa"/>
            <w:vMerge/>
            <w:tcBorders>
              <w:top w:val="single" w:sz="4" w:space="0" w:color="auto"/>
              <w:left w:val="single" w:sz="4" w:space="0" w:color="auto"/>
              <w:bottom w:val="single" w:sz="4" w:space="0" w:color="auto"/>
              <w:right w:val="single" w:sz="4" w:space="0" w:color="auto"/>
            </w:tcBorders>
            <w:vAlign w:val="center"/>
            <w:hideMark/>
          </w:tcPr>
          <w:p w14:paraId="69CEF987" w14:textId="77777777" w:rsidR="0088624C" w:rsidRPr="00F05339" w:rsidRDefault="0088624C" w:rsidP="006D4624">
            <w:pPr>
              <w:spacing w:after="0" w:line="240" w:lineRule="auto"/>
              <w:rPr>
                <w:rFonts w:ascii="Arial" w:eastAsia="Times New Roman" w:hAnsi="Arial" w:cs="Arial"/>
                <w:b/>
                <w:bCs/>
                <w:color w:val="FFFFFF"/>
                <w:lang w:eastAsia="en-GB"/>
              </w:rPr>
            </w:pPr>
          </w:p>
        </w:tc>
        <w:tc>
          <w:tcPr>
            <w:tcW w:w="1760" w:type="dxa"/>
            <w:tcBorders>
              <w:top w:val="nil"/>
              <w:left w:val="nil"/>
              <w:bottom w:val="single" w:sz="4" w:space="0" w:color="auto"/>
              <w:right w:val="single" w:sz="4" w:space="0" w:color="auto"/>
            </w:tcBorders>
            <w:shd w:val="clear" w:color="000000" w:fill="60B0AF"/>
            <w:vAlign w:val="center"/>
            <w:hideMark/>
          </w:tcPr>
          <w:p w14:paraId="44478CCE" w14:textId="77777777" w:rsidR="0088624C" w:rsidRPr="00F05339" w:rsidRDefault="0088624C" w:rsidP="006D4624">
            <w:pPr>
              <w:spacing w:after="0" w:line="240" w:lineRule="auto"/>
              <w:jc w:val="center"/>
              <w:rPr>
                <w:rFonts w:ascii="Arial" w:eastAsia="Times New Roman" w:hAnsi="Arial" w:cs="Arial"/>
                <w:b/>
                <w:bCs/>
                <w:color w:val="FFFFFF"/>
                <w:lang w:eastAsia="en-GB"/>
              </w:rPr>
            </w:pPr>
            <w:r w:rsidRPr="00F05339">
              <w:rPr>
                <w:rFonts w:ascii="Arial" w:eastAsia="Times New Roman" w:hAnsi="Arial" w:cs="Arial"/>
                <w:b/>
                <w:bCs/>
                <w:color w:val="FFFFFF"/>
                <w:lang w:eastAsia="en-GB"/>
              </w:rPr>
              <w:t>Cash in EUR mil.</w:t>
            </w:r>
          </w:p>
        </w:tc>
        <w:tc>
          <w:tcPr>
            <w:tcW w:w="1840" w:type="dxa"/>
            <w:tcBorders>
              <w:top w:val="nil"/>
              <w:left w:val="nil"/>
              <w:bottom w:val="single" w:sz="4" w:space="0" w:color="auto"/>
              <w:right w:val="single" w:sz="4" w:space="0" w:color="auto"/>
            </w:tcBorders>
            <w:shd w:val="clear" w:color="000000" w:fill="60B0AF"/>
            <w:vAlign w:val="center"/>
            <w:hideMark/>
          </w:tcPr>
          <w:p w14:paraId="07F18FBC" w14:textId="77777777" w:rsidR="0088624C" w:rsidRPr="00F05339" w:rsidRDefault="0088624C" w:rsidP="006D4624">
            <w:pPr>
              <w:spacing w:after="0" w:line="240" w:lineRule="auto"/>
              <w:jc w:val="center"/>
              <w:rPr>
                <w:rFonts w:ascii="Arial" w:eastAsia="Times New Roman" w:hAnsi="Arial" w:cs="Arial"/>
                <w:b/>
                <w:bCs/>
                <w:color w:val="FFFFFF"/>
                <w:lang w:eastAsia="en-GB"/>
              </w:rPr>
            </w:pPr>
            <w:r w:rsidRPr="00F05339">
              <w:rPr>
                <w:rFonts w:ascii="Arial" w:eastAsia="Times New Roman" w:hAnsi="Arial" w:cs="Arial"/>
                <w:b/>
                <w:bCs/>
                <w:color w:val="FFFFFF"/>
                <w:lang w:eastAsia="en-GB"/>
              </w:rPr>
              <w:t>Cash in EUR mil.</w:t>
            </w:r>
          </w:p>
        </w:tc>
        <w:tc>
          <w:tcPr>
            <w:tcW w:w="1700" w:type="dxa"/>
            <w:tcBorders>
              <w:top w:val="nil"/>
              <w:left w:val="nil"/>
              <w:bottom w:val="single" w:sz="4" w:space="0" w:color="auto"/>
              <w:right w:val="single" w:sz="4" w:space="0" w:color="auto"/>
            </w:tcBorders>
            <w:shd w:val="clear" w:color="000000" w:fill="60B0AF"/>
            <w:vAlign w:val="center"/>
            <w:hideMark/>
          </w:tcPr>
          <w:p w14:paraId="5923CB0E" w14:textId="77777777" w:rsidR="0088624C" w:rsidRPr="00F05339" w:rsidRDefault="0088624C" w:rsidP="006D4624">
            <w:pPr>
              <w:spacing w:after="0" w:line="240" w:lineRule="auto"/>
              <w:jc w:val="center"/>
              <w:rPr>
                <w:rFonts w:ascii="Arial" w:eastAsia="Times New Roman" w:hAnsi="Arial" w:cs="Arial"/>
                <w:b/>
                <w:bCs/>
                <w:color w:val="FFFFFF"/>
                <w:lang w:eastAsia="en-GB"/>
              </w:rPr>
            </w:pPr>
            <w:r w:rsidRPr="00F05339">
              <w:rPr>
                <w:rFonts w:ascii="Arial" w:eastAsia="Times New Roman" w:hAnsi="Arial" w:cs="Arial"/>
                <w:b/>
                <w:bCs/>
                <w:color w:val="FFFFFF"/>
                <w:lang w:eastAsia="en-GB"/>
              </w:rPr>
              <w:t>Cash in EUR mil.</w:t>
            </w:r>
          </w:p>
        </w:tc>
      </w:tr>
      <w:tr w:rsidR="0088624C" w:rsidRPr="00F05339" w14:paraId="3F182DBF" w14:textId="77777777" w:rsidTr="006D4624">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14:paraId="06F69D9A" w14:textId="77777777" w:rsidR="0088624C" w:rsidRPr="00F05339" w:rsidRDefault="0088624C" w:rsidP="006D4624">
            <w:pPr>
              <w:spacing w:after="0" w:line="240" w:lineRule="auto"/>
              <w:jc w:val="center"/>
              <w:rPr>
                <w:rFonts w:ascii="Arial" w:eastAsia="Times New Roman" w:hAnsi="Arial" w:cs="Arial"/>
                <w:b/>
                <w:bCs/>
                <w:lang w:eastAsia="en-GB"/>
              </w:rPr>
            </w:pPr>
            <w:r w:rsidRPr="00F05339">
              <w:rPr>
                <w:rFonts w:ascii="Arial" w:eastAsia="Times New Roman" w:hAnsi="Arial" w:cs="Arial"/>
                <w:b/>
                <w:bCs/>
                <w:lang w:eastAsia="en-GB"/>
              </w:rPr>
              <w:t>2014</w:t>
            </w:r>
          </w:p>
        </w:tc>
        <w:tc>
          <w:tcPr>
            <w:tcW w:w="1760" w:type="dxa"/>
            <w:tcBorders>
              <w:top w:val="nil"/>
              <w:left w:val="nil"/>
              <w:bottom w:val="single" w:sz="4" w:space="0" w:color="auto"/>
              <w:right w:val="single" w:sz="4" w:space="0" w:color="auto"/>
            </w:tcBorders>
            <w:shd w:val="clear" w:color="auto" w:fill="auto"/>
            <w:noWrap/>
            <w:vAlign w:val="bottom"/>
            <w:hideMark/>
          </w:tcPr>
          <w:p w14:paraId="3E08C495" w14:textId="77777777" w:rsidR="0088624C" w:rsidRPr="00F05339" w:rsidRDefault="0088624C" w:rsidP="006D4624">
            <w:pPr>
              <w:spacing w:after="0" w:line="240" w:lineRule="auto"/>
              <w:jc w:val="right"/>
              <w:rPr>
                <w:rFonts w:ascii="Arial" w:eastAsia="Times New Roman" w:hAnsi="Arial" w:cs="Arial"/>
                <w:lang w:eastAsia="en-GB"/>
              </w:rPr>
            </w:pPr>
            <w:r w:rsidRPr="00F05339">
              <w:rPr>
                <w:rFonts w:ascii="Arial" w:eastAsia="Times New Roman" w:hAnsi="Arial" w:cs="Arial"/>
                <w:lang w:eastAsia="en-GB"/>
              </w:rPr>
              <w:t>0.26</w:t>
            </w:r>
          </w:p>
        </w:tc>
        <w:tc>
          <w:tcPr>
            <w:tcW w:w="1840" w:type="dxa"/>
            <w:tcBorders>
              <w:top w:val="nil"/>
              <w:left w:val="nil"/>
              <w:bottom w:val="single" w:sz="4" w:space="0" w:color="auto"/>
              <w:right w:val="single" w:sz="4" w:space="0" w:color="auto"/>
            </w:tcBorders>
            <w:shd w:val="clear" w:color="auto" w:fill="auto"/>
            <w:noWrap/>
            <w:vAlign w:val="bottom"/>
            <w:hideMark/>
          </w:tcPr>
          <w:p w14:paraId="716A6556" w14:textId="77777777" w:rsidR="0088624C" w:rsidRPr="00F05339" w:rsidRDefault="0088624C" w:rsidP="006D4624">
            <w:pPr>
              <w:spacing w:after="0" w:line="240" w:lineRule="auto"/>
              <w:jc w:val="right"/>
              <w:rPr>
                <w:rFonts w:ascii="Arial" w:eastAsia="Times New Roman" w:hAnsi="Arial" w:cs="Arial"/>
                <w:lang w:eastAsia="en-GB"/>
              </w:rPr>
            </w:pPr>
            <w:r w:rsidRPr="00F05339">
              <w:rPr>
                <w:rFonts w:ascii="Arial" w:eastAsia="Times New Roman" w:hAnsi="Arial" w:cs="Arial"/>
                <w:lang w:eastAsia="en-GB"/>
              </w:rPr>
              <w:t>0.04</w:t>
            </w:r>
          </w:p>
        </w:tc>
        <w:tc>
          <w:tcPr>
            <w:tcW w:w="1700" w:type="dxa"/>
            <w:tcBorders>
              <w:top w:val="nil"/>
              <w:left w:val="nil"/>
              <w:bottom w:val="single" w:sz="4" w:space="0" w:color="auto"/>
              <w:right w:val="single" w:sz="4" w:space="0" w:color="auto"/>
            </w:tcBorders>
            <w:shd w:val="clear" w:color="auto" w:fill="auto"/>
            <w:vAlign w:val="center"/>
            <w:hideMark/>
          </w:tcPr>
          <w:p w14:paraId="19BE92F3" w14:textId="77777777" w:rsidR="0088624C" w:rsidRPr="00F05339" w:rsidRDefault="0088624C" w:rsidP="006D4624">
            <w:pPr>
              <w:spacing w:after="0" w:line="240" w:lineRule="auto"/>
              <w:jc w:val="right"/>
              <w:rPr>
                <w:rFonts w:ascii="Arial" w:eastAsia="Times New Roman" w:hAnsi="Arial" w:cs="Arial"/>
                <w:b/>
                <w:bCs/>
                <w:lang w:eastAsia="en-GB"/>
              </w:rPr>
            </w:pPr>
            <w:r w:rsidRPr="00F05339">
              <w:rPr>
                <w:rFonts w:ascii="Arial" w:eastAsia="Times New Roman" w:hAnsi="Arial" w:cs="Arial"/>
                <w:b/>
                <w:bCs/>
                <w:lang w:eastAsia="en-GB"/>
              </w:rPr>
              <w:t>0.30</w:t>
            </w:r>
          </w:p>
        </w:tc>
      </w:tr>
      <w:tr w:rsidR="0088624C" w:rsidRPr="00F05339" w14:paraId="2A0D6733" w14:textId="77777777" w:rsidTr="006D4624">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14:paraId="1D9FDE71" w14:textId="77777777" w:rsidR="0088624C" w:rsidRPr="00F05339" w:rsidRDefault="0088624C" w:rsidP="006D4624">
            <w:pPr>
              <w:spacing w:after="0" w:line="240" w:lineRule="auto"/>
              <w:jc w:val="center"/>
              <w:rPr>
                <w:rFonts w:ascii="Arial" w:eastAsia="Times New Roman" w:hAnsi="Arial" w:cs="Arial"/>
                <w:b/>
                <w:bCs/>
                <w:lang w:eastAsia="en-GB"/>
              </w:rPr>
            </w:pPr>
            <w:r w:rsidRPr="00F05339">
              <w:rPr>
                <w:rFonts w:ascii="Arial" w:eastAsia="Times New Roman" w:hAnsi="Arial" w:cs="Arial"/>
                <w:b/>
                <w:bCs/>
                <w:lang w:eastAsia="en-GB"/>
              </w:rPr>
              <w:t>2015</w:t>
            </w:r>
          </w:p>
        </w:tc>
        <w:tc>
          <w:tcPr>
            <w:tcW w:w="1760" w:type="dxa"/>
            <w:tcBorders>
              <w:top w:val="nil"/>
              <w:left w:val="nil"/>
              <w:bottom w:val="single" w:sz="4" w:space="0" w:color="auto"/>
              <w:right w:val="single" w:sz="4" w:space="0" w:color="auto"/>
            </w:tcBorders>
            <w:shd w:val="clear" w:color="auto" w:fill="auto"/>
            <w:noWrap/>
            <w:vAlign w:val="bottom"/>
            <w:hideMark/>
          </w:tcPr>
          <w:p w14:paraId="192557AA" w14:textId="77777777" w:rsidR="0088624C" w:rsidRPr="00F05339" w:rsidRDefault="0088624C" w:rsidP="006D4624">
            <w:pPr>
              <w:spacing w:after="0" w:line="240" w:lineRule="auto"/>
              <w:jc w:val="right"/>
              <w:rPr>
                <w:rFonts w:ascii="Arial" w:eastAsia="Times New Roman" w:hAnsi="Arial" w:cs="Arial"/>
                <w:lang w:eastAsia="en-GB"/>
              </w:rPr>
            </w:pPr>
            <w:r w:rsidRPr="00F05339">
              <w:rPr>
                <w:rFonts w:ascii="Arial" w:eastAsia="Times New Roman" w:hAnsi="Arial" w:cs="Arial"/>
                <w:lang w:eastAsia="en-GB"/>
              </w:rPr>
              <w:t>0.41</w:t>
            </w:r>
          </w:p>
        </w:tc>
        <w:tc>
          <w:tcPr>
            <w:tcW w:w="1840" w:type="dxa"/>
            <w:tcBorders>
              <w:top w:val="nil"/>
              <w:left w:val="nil"/>
              <w:bottom w:val="single" w:sz="4" w:space="0" w:color="auto"/>
              <w:right w:val="single" w:sz="4" w:space="0" w:color="auto"/>
            </w:tcBorders>
            <w:shd w:val="clear" w:color="auto" w:fill="auto"/>
            <w:noWrap/>
            <w:vAlign w:val="bottom"/>
            <w:hideMark/>
          </w:tcPr>
          <w:p w14:paraId="48A0DA97" w14:textId="77777777" w:rsidR="0088624C" w:rsidRPr="00F05339" w:rsidRDefault="0088624C" w:rsidP="006D4624">
            <w:pPr>
              <w:spacing w:after="0" w:line="240" w:lineRule="auto"/>
              <w:jc w:val="right"/>
              <w:rPr>
                <w:rFonts w:ascii="Arial" w:eastAsia="Times New Roman" w:hAnsi="Arial" w:cs="Arial"/>
                <w:lang w:eastAsia="en-GB"/>
              </w:rPr>
            </w:pPr>
            <w:r w:rsidRPr="00F05339">
              <w:rPr>
                <w:rFonts w:ascii="Arial" w:eastAsia="Times New Roman" w:hAnsi="Arial" w:cs="Arial"/>
                <w:lang w:eastAsia="en-GB"/>
              </w:rPr>
              <w:t>0.07</w:t>
            </w:r>
          </w:p>
        </w:tc>
        <w:tc>
          <w:tcPr>
            <w:tcW w:w="1700" w:type="dxa"/>
            <w:tcBorders>
              <w:top w:val="nil"/>
              <w:left w:val="nil"/>
              <w:bottom w:val="single" w:sz="4" w:space="0" w:color="auto"/>
              <w:right w:val="single" w:sz="4" w:space="0" w:color="auto"/>
            </w:tcBorders>
            <w:shd w:val="clear" w:color="auto" w:fill="auto"/>
            <w:vAlign w:val="center"/>
            <w:hideMark/>
          </w:tcPr>
          <w:p w14:paraId="5DEEB7C8" w14:textId="77777777" w:rsidR="0088624C" w:rsidRPr="00F05339" w:rsidRDefault="0088624C" w:rsidP="006D4624">
            <w:pPr>
              <w:spacing w:after="0" w:line="240" w:lineRule="auto"/>
              <w:jc w:val="right"/>
              <w:rPr>
                <w:rFonts w:ascii="Arial" w:eastAsia="Times New Roman" w:hAnsi="Arial" w:cs="Arial"/>
                <w:b/>
                <w:bCs/>
                <w:lang w:eastAsia="en-GB"/>
              </w:rPr>
            </w:pPr>
            <w:r w:rsidRPr="00F05339">
              <w:rPr>
                <w:rFonts w:ascii="Arial" w:eastAsia="Times New Roman" w:hAnsi="Arial" w:cs="Arial"/>
                <w:b/>
                <w:bCs/>
                <w:lang w:eastAsia="en-GB"/>
              </w:rPr>
              <w:t>0.48</w:t>
            </w:r>
          </w:p>
        </w:tc>
      </w:tr>
      <w:tr w:rsidR="0088624C" w:rsidRPr="00F05339" w14:paraId="7CEB9C7C" w14:textId="77777777" w:rsidTr="006D4624">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14:paraId="5F3CC673" w14:textId="77777777" w:rsidR="0088624C" w:rsidRPr="00F05339" w:rsidRDefault="0088624C" w:rsidP="006D4624">
            <w:pPr>
              <w:spacing w:after="0" w:line="240" w:lineRule="auto"/>
              <w:jc w:val="center"/>
              <w:rPr>
                <w:rFonts w:ascii="Arial" w:eastAsia="Times New Roman" w:hAnsi="Arial" w:cs="Arial"/>
                <w:b/>
                <w:bCs/>
                <w:lang w:eastAsia="en-GB"/>
              </w:rPr>
            </w:pPr>
            <w:r w:rsidRPr="00F05339">
              <w:rPr>
                <w:rFonts w:ascii="Arial" w:eastAsia="Times New Roman" w:hAnsi="Arial" w:cs="Arial"/>
                <w:b/>
                <w:bCs/>
                <w:lang w:eastAsia="en-GB"/>
              </w:rPr>
              <w:t>2016</w:t>
            </w:r>
          </w:p>
        </w:tc>
        <w:tc>
          <w:tcPr>
            <w:tcW w:w="1760" w:type="dxa"/>
            <w:tcBorders>
              <w:top w:val="nil"/>
              <w:left w:val="nil"/>
              <w:bottom w:val="single" w:sz="4" w:space="0" w:color="auto"/>
              <w:right w:val="single" w:sz="4" w:space="0" w:color="auto"/>
            </w:tcBorders>
            <w:shd w:val="clear" w:color="auto" w:fill="auto"/>
            <w:noWrap/>
            <w:vAlign w:val="bottom"/>
            <w:hideMark/>
          </w:tcPr>
          <w:p w14:paraId="39960916" w14:textId="77777777" w:rsidR="0088624C" w:rsidRPr="00F05339" w:rsidRDefault="0088624C" w:rsidP="006D4624">
            <w:pPr>
              <w:spacing w:after="0" w:line="240" w:lineRule="auto"/>
              <w:jc w:val="right"/>
              <w:rPr>
                <w:rFonts w:ascii="Arial" w:eastAsia="Times New Roman" w:hAnsi="Arial" w:cs="Arial"/>
                <w:lang w:eastAsia="en-GB"/>
              </w:rPr>
            </w:pPr>
            <w:r w:rsidRPr="00F05339">
              <w:rPr>
                <w:rFonts w:ascii="Arial" w:eastAsia="Times New Roman" w:hAnsi="Arial" w:cs="Arial"/>
                <w:lang w:eastAsia="en-GB"/>
              </w:rPr>
              <w:t>0.40</w:t>
            </w:r>
          </w:p>
        </w:tc>
        <w:tc>
          <w:tcPr>
            <w:tcW w:w="1840" w:type="dxa"/>
            <w:tcBorders>
              <w:top w:val="nil"/>
              <w:left w:val="nil"/>
              <w:bottom w:val="single" w:sz="4" w:space="0" w:color="auto"/>
              <w:right w:val="single" w:sz="4" w:space="0" w:color="auto"/>
            </w:tcBorders>
            <w:shd w:val="clear" w:color="auto" w:fill="auto"/>
            <w:noWrap/>
            <w:vAlign w:val="bottom"/>
            <w:hideMark/>
          </w:tcPr>
          <w:p w14:paraId="4BE76CA1" w14:textId="77777777" w:rsidR="0088624C" w:rsidRPr="00F05339" w:rsidRDefault="0088624C" w:rsidP="006D4624">
            <w:pPr>
              <w:spacing w:after="0" w:line="240" w:lineRule="auto"/>
              <w:jc w:val="right"/>
              <w:rPr>
                <w:rFonts w:ascii="Arial" w:eastAsia="Times New Roman" w:hAnsi="Arial" w:cs="Arial"/>
                <w:lang w:eastAsia="en-GB"/>
              </w:rPr>
            </w:pPr>
            <w:r w:rsidRPr="00F05339">
              <w:rPr>
                <w:rFonts w:ascii="Arial" w:eastAsia="Times New Roman" w:hAnsi="Arial" w:cs="Arial"/>
                <w:lang w:eastAsia="en-GB"/>
              </w:rPr>
              <w:t>0.07</w:t>
            </w:r>
          </w:p>
        </w:tc>
        <w:tc>
          <w:tcPr>
            <w:tcW w:w="1700" w:type="dxa"/>
            <w:tcBorders>
              <w:top w:val="nil"/>
              <w:left w:val="nil"/>
              <w:bottom w:val="single" w:sz="4" w:space="0" w:color="auto"/>
              <w:right w:val="single" w:sz="4" w:space="0" w:color="auto"/>
            </w:tcBorders>
            <w:shd w:val="clear" w:color="auto" w:fill="auto"/>
            <w:vAlign w:val="center"/>
            <w:hideMark/>
          </w:tcPr>
          <w:p w14:paraId="083F3BF3" w14:textId="77777777" w:rsidR="0088624C" w:rsidRPr="00F05339" w:rsidRDefault="0088624C" w:rsidP="006D4624">
            <w:pPr>
              <w:spacing w:after="0" w:line="240" w:lineRule="auto"/>
              <w:jc w:val="right"/>
              <w:rPr>
                <w:rFonts w:ascii="Arial" w:eastAsia="Times New Roman" w:hAnsi="Arial" w:cs="Arial"/>
                <w:b/>
                <w:bCs/>
                <w:lang w:eastAsia="en-GB"/>
              </w:rPr>
            </w:pPr>
            <w:r w:rsidRPr="00F05339">
              <w:rPr>
                <w:rFonts w:ascii="Arial" w:eastAsia="Times New Roman" w:hAnsi="Arial" w:cs="Arial"/>
                <w:b/>
                <w:bCs/>
                <w:lang w:eastAsia="en-GB"/>
              </w:rPr>
              <w:t>0.47</w:t>
            </w:r>
          </w:p>
        </w:tc>
      </w:tr>
      <w:tr w:rsidR="0088624C" w:rsidRPr="00F05339" w14:paraId="7D224BEC" w14:textId="77777777" w:rsidTr="006D4624">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14:paraId="75DF3EA0" w14:textId="77777777" w:rsidR="0088624C" w:rsidRPr="00F05339" w:rsidRDefault="0088624C" w:rsidP="006D4624">
            <w:pPr>
              <w:spacing w:after="0" w:line="240" w:lineRule="auto"/>
              <w:jc w:val="center"/>
              <w:rPr>
                <w:rFonts w:ascii="Arial" w:eastAsia="Times New Roman" w:hAnsi="Arial" w:cs="Arial"/>
                <w:b/>
                <w:bCs/>
                <w:lang w:eastAsia="en-GB"/>
              </w:rPr>
            </w:pPr>
            <w:r w:rsidRPr="00F05339">
              <w:rPr>
                <w:rFonts w:ascii="Arial" w:eastAsia="Times New Roman" w:hAnsi="Arial" w:cs="Arial"/>
                <w:b/>
                <w:bCs/>
                <w:lang w:eastAsia="en-GB"/>
              </w:rPr>
              <w:t>2017</w:t>
            </w:r>
          </w:p>
        </w:tc>
        <w:tc>
          <w:tcPr>
            <w:tcW w:w="1760" w:type="dxa"/>
            <w:tcBorders>
              <w:top w:val="nil"/>
              <w:left w:val="nil"/>
              <w:bottom w:val="single" w:sz="4" w:space="0" w:color="auto"/>
              <w:right w:val="single" w:sz="4" w:space="0" w:color="auto"/>
            </w:tcBorders>
            <w:shd w:val="clear" w:color="auto" w:fill="auto"/>
            <w:noWrap/>
            <w:vAlign w:val="bottom"/>
            <w:hideMark/>
          </w:tcPr>
          <w:p w14:paraId="10726A74" w14:textId="77777777" w:rsidR="0088624C" w:rsidRPr="00F05339" w:rsidRDefault="0088624C" w:rsidP="006D4624">
            <w:pPr>
              <w:spacing w:after="0" w:line="240" w:lineRule="auto"/>
              <w:jc w:val="right"/>
              <w:rPr>
                <w:rFonts w:ascii="Arial" w:eastAsia="Times New Roman" w:hAnsi="Arial" w:cs="Arial"/>
                <w:lang w:eastAsia="en-GB"/>
              </w:rPr>
            </w:pPr>
            <w:r w:rsidRPr="00F05339">
              <w:rPr>
                <w:rFonts w:ascii="Arial" w:eastAsia="Times New Roman" w:hAnsi="Arial" w:cs="Arial"/>
                <w:lang w:eastAsia="en-GB"/>
              </w:rPr>
              <w:t>0.05</w:t>
            </w:r>
          </w:p>
        </w:tc>
        <w:tc>
          <w:tcPr>
            <w:tcW w:w="1840" w:type="dxa"/>
            <w:tcBorders>
              <w:top w:val="nil"/>
              <w:left w:val="nil"/>
              <w:bottom w:val="single" w:sz="4" w:space="0" w:color="auto"/>
              <w:right w:val="single" w:sz="4" w:space="0" w:color="auto"/>
            </w:tcBorders>
            <w:shd w:val="clear" w:color="auto" w:fill="auto"/>
            <w:noWrap/>
            <w:vAlign w:val="bottom"/>
            <w:hideMark/>
          </w:tcPr>
          <w:p w14:paraId="106A8E07" w14:textId="77777777" w:rsidR="0088624C" w:rsidRPr="00F05339" w:rsidRDefault="0088624C" w:rsidP="006D4624">
            <w:pPr>
              <w:spacing w:after="0" w:line="240" w:lineRule="auto"/>
              <w:jc w:val="right"/>
              <w:rPr>
                <w:rFonts w:ascii="Arial" w:eastAsia="Times New Roman" w:hAnsi="Arial" w:cs="Arial"/>
                <w:lang w:eastAsia="en-GB"/>
              </w:rPr>
            </w:pPr>
            <w:r w:rsidRPr="00F05339">
              <w:rPr>
                <w:rFonts w:ascii="Arial" w:eastAsia="Times New Roman" w:hAnsi="Arial" w:cs="Arial"/>
                <w:lang w:eastAsia="en-GB"/>
              </w:rPr>
              <w:t>0.01</w:t>
            </w:r>
          </w:p>
        </w:tc>
        <w:tc>
          <w:tcPr>
            <w:tcW w:w="1700" w:type="dxa"/>
            <w:tcBorders>
              <w:top w:val="nil"/>
              <w:left w:val="nil"/>
              <w:bottom w:val="single" w:sz="4" w:space="0" w:color="auto"/>
              <w:right w:val="single" w:sz="4" w:space="0" w:color="auto"/>
            </w:tcBorders>
            <w:shd w:val="clear" w:color="auto" w:fill="auto"/>
            <w:vAlign w:val="center"/>
            <w:hideMark/>
          </w:tcPr>
          <w:p w14:paraId="62D76A9F" w14:textId="77777777" w:rsidR="0088624C" w:rsidRPr="00F05339" w:rsidRDefault="0088624C" w:rsidP="006D4624">
            <w:pPr>
              <w:spacing w:after="0" w:line="240" w:lineRule="auto"/>
              <w:jc w:val="right"/>
              <w:rPr>
                <w:rFonts w:ascii="Arial" w:eastAsia="Times New Roman" w:hAnsi="Arial" w:cs="Arial"/>
                <w:b/>
                <w:bCs/>
                <w:lang w:eastAsia="en-GB"/>
              </w:rPr>
            </w:pPr>
            <w:r w:rsidRPr="00F05339">
              <w:rPr>
                <w:rFonts w:ascii="Arial" w:eastAsia="Times New Roman" w:hAnsi="Arial" w:cs="Arial"/>
                <w:b/>
                <w:bCs/>
                <w:lang w:eastAsia="en-GB"/>
              </w:rPr>
              <w:t>0.06</w:t>
            </w:r>
          </w:p>
        </w:tc>
      </w:tr>
      <w:tr w:rsidR="0088624C" w:rsidRPr="00F05339" w14:paraId="2CA1E936" w14:textId="77777777" w:rsidTr="006D4624">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14:paraId="27C787BC" w14:textId="77777777" w:rsidR="0088624C" w:rsidRPr="00F05339" w:rsidRDefault="0088624C" w:rsidP="006D4624">
            <w:pPr>
              <w:spacing w:after="0" w:line="240" w:lineRule="auto"/>
              <w:jc w:val="center"/>
              <w:rPr>
                <w:rFonts w:ascii="Arial" w:eastAsia="Times New Roman" w:hAnsi="Arial" w:cs="Arial"/>
                <w:b/>
                <w:bCs/>
                <w:lang w:eastAsia="en-GB"/>
              </w:rPr>
            </w:pPr>
            <w:r w:rsidRPr="00F05339">
              <w:rPr>
                <w:rFonts w:ascii="Arial" w:eastAsia="Times New Roman" w:hAnsi="Arial" w:cs="Arial"/>
                <w:b/>
                <w:bCs/>
                <w:lang w:eastAsia="en-GB"/>
              </w:rPr>
              <w:t>2018</w:t>
            </w:r>
          </w:p>
        </w:tc>
        <w:tc>
          <w:tcPr>
            <w:tcW w:w="1760" w:type="dxa"/>
            <w:tcBorders>
              <w:top w:val="nil"/>
              <w:left w:val="nil"/>
              <w:bottom w:val="single" w:sz="4" w:space="0" w:color="auto"/>
              <w:right w:val="single" w:sz="4" w:space="0" w:color="auto"/>
            </w:tcBorders>
            <w:shd w:val="clear" w:color="auto" w:fill="auto"/>
            <w:noWrap/>
            <w:vAlign w:val="bottom"/>
            <w:hideMark/>
          </w:tcPr>
          <w:p w14:paraId="2CAEF976" w14:textId="77777777" w:rsidR="0088624C" w:rsidRPr="00F05339" w:rsidRDefault="0088624C" w:rsidP="006D4624">
            <w:pPr>
              <w:spacing w:after="0" w:line="240" w:lineRule="auto"/>
              <w:jc w:val="right"/>
              <w:rPr>
                <w:rFonts w:ascii="Arial" w:eastAsia="Times New Roman" w:hAnsi="Arial" w:cs="Arial"/>
                <w:lang w:eastAsia="en-GB"/>
              </w:rPr>
            </w:pPr>
            <w:r w:rsidRPr="00F05339">
              <w:rPr>
                <w:rFonts w:ascii="Arial" w:eastAsia="Times New Roman" w:hAnsi="Arial" w:cs="Arial"/>
                <w:lang w:eastAsia="en-GB"/>
              </w:rPr>
              <w:t>2.01</w:t>
            </w:r>
          </w:p>
        </w:tc>
        <w:tc>
          <w:tcPr>
            <w:tcW w:w="1840" w:type="dxa"/>
            <w:tcBorders>
              <w:top w:val="nil"/>
              <w:left w:val="nil"/>
              <w:bottom w:val="single" w:sz="4" w:space="0" w:color="auto"/>
              <w:right w:val="single" w:sz="4" w:space="0" w:color="auto"/>
            </w:tcBorders>
            <w:shd w:val="clear" w:color="auto" w:fill="auto"/>
            <w:noWrap/>
            <w:vAlign w:val="bottom"/>
            <w:hideMark/>
          </w:tcPr>
          <w:p w14:paraId="4FA4E641" w14:textId="77777777" w:rsidR="0088624C" w:rsidRPr="00F05339" w:rsidRDefault="0088624C" w:rsidP="006D4624">
            <w:pPr>
              <w:spacing w:after="0" w:line="240" w:lineRule="auto"/>
              <w:jc w:val="right"/>
              <w:rPr>
                <w:rFonts w:ascii="Arial" w:eastAsia="Times New Roman" w:hAnsi="Arial" w:cs="Arial"/>
                <w:lang w:eastAsia="en-GB"/>
              </w:rPr>
            </w:pPr>
            <w:r w:rsidRPr="00F05339">
              <w:rPr>
                <w:rFonts w:ascii="Arial" w:eastAsia="Times New Roman" w:hAnsi="Arial" w:cs="Arial"/>
                <w:lang w:eastAsia="en-GB"/>
              </w:rPr>
              <w:t>0.33</w:t>
            </w:r>
          </w:p>
        </w:tc>
        <w:tc>
          <w:tcPr>
            <w:tcW w:w="1700" w:type="dxa"/>
            <w:tcBorders>
              <w:top w:val="nil"/>
              <w:left w:val="nil"/>
              <w:bottom w:val="single" w:sz="4" w:space="0" w:color="auto"/>
              <w:right w:val="single" w:sz="4" w:space="0" w:color="auto"/>
            </w:tcBorders>
            <w:shd w:val="clear" w:color="auto" w:fill="auto"/>
            <w:vAlign w:val="center"/>
            <w:hideMark/>
          </w:tcPr>
          <w:p w14:paraId="042222E9" w14:textId="77777777" w:rsidR="0088624C" w:rsidRPr="00F05339" w:rsidRDefault="0088624C" w:rsidP="006D4624">
            <w:pPr>
              <w:spacing w:after="0" w:line="240" w:lineRule="auto"/>
              <w:jc w:val="right"/>
              <w:rPr>
                <w:rFonts w:ascii="Arial" w:eastAsia="Times New Roman" w:hAnsi="Arial" w:cs="Arial"/>
                <w:b/>
                <w:bCs/>
                <w:lang w:eastAsia="en-GB"/>
              </w:rPr>
            </w:pPr>
            <w:r w:rsidRPr="00F05339">
              <w:rPr>
                <w:rFonts w:ascii="Arial" w:eastAsia="Times New Roman" w:hAnsi="Arial" w:cs="Arial"/>
                <w:b/>
                <w:bCs/>
                <w:lang w:eastAsia="en-GB"/>
              </w:rPr>
              <w:t>2.34</w:t>
            </w:r>
          </w:p>
        </w:tc>
      </w:tr>
      <w:tr w:rsidR="0088624C" w:rsidRPr="00F05339" w14:paraId="5E1C4B31" w14:textId="77777777" w:rsidTr="006D4624">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14:paraId="5A7C88AB" w14:textId="77777777" w:rsidR="0088624C" w:rsidRPr="00F05339" w:rsidRDefault="0088624C" w:rsidP="006D4624">
            <w:pPr>
              <w:spacing w:after="0" w:line="240" w:lineRule="auto"/>
              <w:jc w:val="center"/>
              <w:rPr>
                <w:rFonts w:ascii="Arial" w:eastAsia="Times New Roman" w:hAnsi="Arial" w:cs="Arial"/>
                <w:b/>
                <w:bCs/>
                <w:lang w:eastAsia="en-GB"/>
              </w:rPr>
            </w:pPr>
            <w:r w:rsidRPr="00F05339">
              <w:rPr>
                <w:rFonts w:ascii="Arial" w:eastAsia="Times New Roman" w:hAnsi="Arial" w:cs="Arial"/>
                <w:b/>
                <w:bCs/>
                <w:lang w:eastAsia="en-GB"/>
              </w:rPr>
              <w:t>2019</w:t>
            </w:r>
          </w:p>
        </w:tc>
        <w:tc>
          <w:tcPr>
            <w:tcW w:w="1760" w:type="dxa"/>
            <w:tcBorders>
              <w:top w:val="nil"/>
              <w:left w:val="nil"/>
              <w:bottom w:val="single" w:sz="4" w:space="0" w:color="auto"/>
              <w:right w:val="single" w:sz="4" w:space="0" w:color="auto"/>
            </w:tcBorders>
            <w:shd w:val="clear" w:color="auto" w:fill="auto"/>
            <w:noWrap/>
            <w:vAlign w:val="bottom"/>
            <w:hideMark/>
          </w:tcPr>
          <w:p w14:paraId="7693EFF8" w14:textId="77777777" w:rsidR="0088624C" w:rsidRPr="00F05339" w:rsidRDefault="0088624C" w:rsidP="006D4624">
            <w:pPr>
              <w:spacing w:after="0" w:line="240" w:lineRule="auto"/>
              <w:jc w:val="right"/>
              <w:rPr>
                <w:rFonts w:ascii="Arial" w:eastAsia="Times New Roman" w:hAnsi="Arial" w:cs="Arial"/>
                <w:lang w:eastAsia="en-GB"/>
              </w:rPr>
            </w:pPr>
            <w:r w:rsidRPr="00F05339">
              <w:rPr>
                <w:rFonts w:ascii="Arial" w:eastAsia="Times New Roman" w:hAnsi="Arial" w:cs="Arial"/>
                <w:lang w:eastAsia="en-GB"/>
              </w:rPr>
              <w:t>2.31</w:t>
            </w:r>
          </w:p>
        </w:tc>
        <w:tc>
          <w:tcPr>
            <w:tcW w:w="1840" w:type="dxa"/>
            <w:tcBorders>
              <w:top w:val="nil"/>
              <w:left w:val="nil"/>
              <w:bottom w:val="single" w:sz="4" w:space="0" w:color="auto"/>
              <w:right w:val="single" w:sz="4" w:space="0" w:color="auto"/>
            </w:tcBorders>
            <w:shd w:val="clear" w:color="auto" w:fill="auto"/>
            <w:noWrap/>
            <w:vAlign w:val="bottom"/>
            <w:hideMark/>
          </w:tcPr>
          <w:p w14:paraId="2469F3DB" w14:textId="77777777" w:rsidR="0088624C" w:rsidRPr="00F05339" w:rsidRDefault="0088624C" w:rsidP="006D4624">
            <w:pPr>
              <w:spacing w:after="0" w:line="240" w:lineRule="auto"/>
              <w:jc w:val="right"/>
              <w:rPr>
                <w:rFonts w:ascii="Arial" w:eastAsia="Times New Roman" w:hAnsi="Arial" w:cs="Arial"/>
                <w:lang w:eastAsia="en-GB"/>
              </w:rPr>
            </w:pPr>
            <w:r w:rsidRPr="00F05339">
              <w:rPr>
                <w:rFonts w:ascii="Arial" w:eastAsia="Times New Roman" w:hAnsi="Arial" w:cs="Arial"/>
                <w:lang w:eastAsia="en-GB"/>
              </w:rPr>
              <w:t>0.38</w:t>
            </w:r>
          </w:p>
        </w:tc>
        <w:tc>
          <w:tcPr>
            <w:tcW w:w="1700" w:type="dxa"/>
            <w:tcBorders>
              <w:top w:val="nil"/>
              <w:left w:val="nil"/>
              <w:bottom w:val="single" w:sz="4" w:space="0" w:color="auto"/>
              <w:right w:val="single" w:sz="4" w:space="0" w:color="auto"/>
            </w:tcBorders>
            <w:shd w:val="clear" w:color="auto" w:fill="auto"/>
            <w:vAlign w:val="center"/>
            <w:hideMark/>
          </w:tcPr>
          <w:p w14:paraId="0FBCEEA8" w14:textId="77777777" w:rsidR="0088624C" w:rsidRPr="00F05339" w:rsidRDefault="0088624C" w:rsidP="006D4624">
            <w:pPr>
              <w:spacing w:after="0" w:line="240" w:lineRule="auto"/>
              <w:jc w:val="right"/>
              <w:rPr>
                <w:rFonts w:ascii="Arial" w:eastAsia="Times New Roman" w:hAnsi="Arial" w:cs="Arial"/>
                <w:b/>
                <w:bCs/>
                <w:lang w:eastAsia="en-GB"/>
              </w:rPr>
            </w:pPr>
            <w:r w:rsidRPr="00F05339">
              <w:rPr>
                <w:rFonts w:ascii="Arial" w:eastAsia="Times New Roman" w:hAnsi="Arial" w:cs="Arial"/>
                <w:b/>
                <w:bCs/>
                <w:lang w:eastAsia="en-GB"/>
              </w:rPr>
              <w:t>2.68</w:t>
            </w:r>
          </w:p>
        </w:tc>
      </w:tr>
      <w:tr w:rsidR="0088624C" w:rsidRPr="00F05339" w14:paraId="43B6E044" w14:textId="77777777" w:rsidTr="006D4624">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14:paraId="7E7D7E6C" w14:textId="77777777" w:rsidR="0088624C" w:rsidRPr="00F05339" w:rsidRDefault="0088624C" w:rsidP="006D4624">
            <w:pPr>
              <w:spacing w:after="0" w:line="240" w:lineRule="auto"/>
              <w:jc w:val="center"/>
              <w:rPr>
                <w:rFonts w:ascii="Arial" w:eastAsia="Times New Roman" w:hAnsi="Arial" w:cs="Arial"/>
                <w:b/>
                <w:bCs/>
                <w:lang w:eastAsia="en-GB"/>
              </w:rPr>
            </w:pPr>
            <w:r w:rsidRPr="00F05339">
              <w:rPr>
                <w:rFonts w:ascii="Arial" w:eastAsia="Times New Roman" w:hAnsi="Arial" w:cs="Arial"/>
                <w:b/>
                <w:bCs/>
                <w:lang w:eastAsia="en-GB"/>
              </w:rPr>
              <w:t>2020</w:t>
            </w:r>
          </w:p>
        </w:tc>
        <w:tc>
          <w:tcPr>
            <w:tcW w:w="1760" w:type="dxa"/>
            <w:tcBorders>
              <w:top w:val="nil"/>
              <w:left w:val="nil"/>
              <w:bottom w:val="single" w:sz="4" w:space="0" w:color="auto"/>
              <w:right w:val="single" w:sz="4" w:space="0" w:color="auto"/>
            </w:tcBorders>
            <w:shd w:val="clear" w:color="auto" w:fill="auto"/>
            <w:noWrap/>
            <w:vAlign w:val="bottom"/>
            <w:hideMark/>
          </w:tcPr>
          <w:p w14:paraId="2F67FD75" w14:textId="77777777" w:rsidR="0088624C" w:rsidRPr="00F05339" w:rsidRDefault="0088624C" w:rsidP="006D4624">
            <w:pPr>
              <w:spacing w:after="0" w:line="240" w:lineRule="auto"/>
              <w:jc w:val="right"/>
              <w:rPr>
                <w:rFonts w:ascii="Arial" w:eastAsia="Times New Roman" w:hAnsi="Arial" w:cs="Arial"/>
                <w:lang w:eastAsia="en-GB"/>
              </w:rPr>
            </w:pPr>
            <w:r w:rsidRPr="00F05339">
              <w:rPr>
                <w:rFonts w:ascii="Arial" w:eastAsia="Times New Roman" w:hAnsi="Arial" w:cs="Arial"/>
                <w:lang w:eastAsia="en-GB"/>
              </w:rPr>
              <w:t>2.05</w:t>
            </w:r>
          </w:p>
        </w:tc>
        <w:tc>
          <w:tcPr>
            <w:tcW w:w="1840" w:type="dxa"/>
            <w:tcBorders>
              <w:top w:val="nil"/>
              <w:left w:val="nil"/>
              <w:bottom w:val="single" w:sz="4" w:space="0" w:color="auto"/>
              <w:right w:val="single" w:sz="4" w:space="0" w:color="auto"/>
            </w:tcBorders>
            <w:shd w:val="clear" w:color="auto" w:fill="auto"/>
            <w:noWrap/>
            <w:vAlign w:val="bottom"/>
            <w:hideMark/>
          </w:tcPr>
          <w:p w14:paraId="43732DAC" w14:textId="77777777" w:rsidR="0088624C" w:rsidRPr="00F05339" w:rsidRDefault="0088624C" w:rsidP="006D4624">
            <w:pPr>
              <w:spacing w:after="0" w:line="240" w:lineRule="auto"/>
              <w:jc w:val="right"/>
              <w:rPr>
                <w:rFonts w:ascii="Arial" w:eastAsia="Times New Roman" w:hAnsi="Arial" w:cs="Arial"/>
                <w:lang w:eastAsia="en-GB"/>
              </w:rPr>
            </w:pPr>
            <w:r w:rsidRPr="00F05339">
              <w:rPr>
                <w:rFonts w:ascii="Arial" w:eastAsia="Times New Roman" w:hAnsi="Arial" w:cs="Arial"/>
                <w:lang w:eastAsia="en-GB"/>
              </w:rPr>
              <w:t>0.33</w:t>
            </w:r>
          </w:p>
        </w:tc>
        <w:tc>
          <w:tcPr>
            <w:tcW w:w="1700" w:type="dxa"/>
            <w:tcBorders>
              <w:top w:val="nil"/>
              <w:left w:val="nil"/>
              <w:bottom w:val="single" w:sz="4" w:space="0" w:color="auto"/>
              <w:right w:val="single" w:sz="4" w:space="0" w:color="auto"/>
            </w:tcBorders>
            <w:shd w:val="clear" w:color="auto" w:fill="auto"/>
            <w:vAlign w:val="center"/>
            <w:hideMark/>
          </w:tcPr>
          <w:p w14:paraId="34ABF3DB" w14:textId="77777777" w:rsidR="0088624C" w:rsidRPr="00F05339" w:rsidRDefault="0088624C" w:rsidP="006D4624">
            <w:pPr>
              <w:spacing w:after="0" w:line="240" w:lineRule="auto"/>
              <w:jc w:val="right"/>
              <w:rPr>
                <w:rFonts w:ascii="Arial" w:eastAsia="Times New Roman" w:hAnsi="Arial" w:cs="Arial"/>
                <w:b/>
                <w:bCs/>
                <w:lang w:eastAsia="en-GB"/>
              </w:rPr>
            </w:pPr>
            <w:r w:rsidRPr="00F05339">
              <w:rPr>
                <w:rFonts w:ascii="Arial" w:eastAsia="Times New Roman" w:hAnsi="Arial" w:cs="Arial"/>
                <w:b/>
                <w:bCs/>
                <w:lang w:eastAsia="en-GB"/>
              </w:rPr>
              <w:t>2.38</w:t>
            </w:r>
          </w:p>
        </w:tc>
      </w:tr>
      <w:tr w:rsidR="0088624C" w:rsidRPr="00F05339" w14:paraId="1E660614" w14:textId="77777777" w:rsidTr="006D4624">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14:paraId="59C66406" w14:textId="77777777" w:rsidR="0088624C" w:rsidRPr="00F05339" w:rsidRDefault="0088624C" w:rsidP="006D4624">
            <w:pPr>
              <w:spacing w:after="0" w:line="240" w:lineRule="auto"/>
              <w:jc w:val="center"/>
              <w:rPr>
                <w:rFonts w:ascii="Arial" w:eastAsia="Times New Roman" w:hAnsi="Arial" w:cs="Arial"/>
                <w:b/>
                <w:bCs/>
                <w:lang w:eastAsia="en-GB"/>
              </w:rPr>
            </w:pPr>
            <w:r w:rsidRPr="00F05339">
              <w:rPr>
                <w:rFonts w:ascii="Arial" w:eastAsia="Times New Roman" w:hAnsi="Arial" w:cs="Arial"/>
                <w:b/>
                <w:bCs/>
                <w:lang w:eastAsia="en-GB"/>
              </w:rPr>
              <w:t>2021</w:t>
            </w:r>
          </w:p>
        </w:tc>
        <w:tc>
          <w:tcPr>
            <w:tcW w:w="1760" w:type="dxa"/>
            <w:tcBorders>
              <w:top w:val="nil"/>
              <w:left w:val="nil"/>
              <w:bottom w:val="single" w:sz="4" w:space="0" w:color="auto"/>
              <w:right w:val="single" w:sz="4" w:space="0" w:color="auto"/>
            </w:tcBorders>
            <w:shd w:val="clear" w:color="auto" w:fill="auto"/>
            <w:noWrap/>
            <w:vAlign w:val="bottom"/>
            <w:hideMark/>
          </w:tcPr>
          <w:p w14:paraId="2AF8136C" w14:textId="77777777" w:rsidR="0088624C" w:rsidRPr="00F05339" w:rsidRDefault="0088624C" w:rsidP="006D4624">
            <w:pPr>
              <w:spacing w:after="0" w:line="240" w:lineRule="auto"/>
              <w:jc w:val="right"/>
              <w:rPr>
                <w:rFonts w:ascii="Arial" w:eastAsia="Times New Roman" w:hAnsi="Arial" w:cs="Arial"/>
                <w:lang w:eastAsia="en-GB"/>
              </w:rPr>
            </w:pPr>
            <w:r w:rsidRPr="00F05339">
              <w:rPr>
                <w:rFonts w:ascii="Arial" w:eastAsia="Times New Roman" w:hAnsi="Arial" w:cs="Arial"/>
                <w:lang w:eastAsia="en-GB"/>
              </w:rPr>
              <w:t>2.28</w:t>
            </w:r>
          </w:p>
        </w:tc>
        <w:tc>
          <w:tcPr>
            <w:tcW w:w="1840" w:type="dxa"/>
            <w:tcBorders>
              <w:top w:val="nil"/>
              <w:left w:val="nil"/>
              <w:bottom w:val="single" w:sz="4" w:space="0" w:color="auto"/>
              <w:right w:val="single" w:sz="4" w:space="0" w:color="auto"/>
            </w:tcBorders>
            <w:shd w:val="clear" w:color="auto" w:fill="auto"/>
            <w:noWrap/>
            <w:vAlign w:val="bottom"/>
            <w:hideMark/>
          </w:tcPr>
          <w:p w14:paraId="0A0DD687" w14:textId="77777777" w:rsidR="0088624C" w:rsidRPr="00F05339" w:rsidRDefault="0088624C" w:rsidP="006D4624">
            <w:pPr>
              <w:spacing w:after="0" w:line="240" w:lineRule="auto"/>
              <w:jc w:val="right"/>
              <w:rPr>
                <w:rFonts w:ascii="Arial" w:eastAsia="Times New Roman" w:hAnsi="Arial" w:cs="Arial"/>
                <w:lang w:eastAsia="en-GB"/>
              </w:rPr>
            </w:pPr>
            <w:r w:rsidRPr="00F05339">
              <w:rPr>
                <w:rFonts w:ascii="Arial" w:eastAsia="Times New Roman" w:hAnsi="Arial" w:cs="Arial"/>
                <w:lang w:eastAsia="en-GB"/>
              </w:rPr>
              <w:t>0.37</w:t>
            </w:r>
          </w:p>
        </w:tc>
        <w:tc>
          <w:tcPr>
            <w:tcW w:w="1700" w:type="dxa"/>
            <w:tcBorders>
              <w:top w:val="nil"/>
              <w:left w:val="nil"/>
              <w:bottom w:val="single" w:sz="4" w:space="0" w:color="auto"/>
              <w:right w:val="single" w:sz="4" w:space="0" w:color="auto"/>
            </w:tcBorders>
            <w:shd w:val="clear" w:color="auto" w:fill="auto"/>
            <w:vAlign w:val="center"/>
            <w:hideMark/>
          </w:tcPr>
          <w:p w14:paraId="4FEBA6AC" w14:textId="77777777" w:rsidR="0088624C" w:rsidRPr="00F05339" w:rsidRDefault="0088624C" w:rsidP="006D4624">
            <w:pPr>
              <w:spacing w:after="0" w:line="240" w:lineRule="auto"/>
              <w:jc w:val="right"/>
              <w:rPr>
                <w:rFonts w:ascii="Arial" w:eastAsia="Times New Roman" w:hAnsi="Arial" w:cs="Arial"/>
                <w:b/>
                <w:bCs/>
                <w:lang w:eastAsia="en-GB"/>
              </w:rPr>
            </w:pPr>
            <w:r w:rsidRPr="00F05339">
              <w:rPr>
                <w:rFonts w:ascii="Arial" w:eastAsia="Times New Roman" w:hAnsi="Arial" w:cs="Arial"/>
                <w:b/>
                <w:bCs/>
                <w:lang w:eastAsia="en-GB"/>
              </w:rPr>
              <w:t>2.65</w:t>
            </w:r>
          </w:p>
        </w:tc>
      </w:tr>
      <w:tr w:rsidR="0088624C" w:rsidRPr="00F05339" w14:paraId="12CC4523" w14:textId="77777777" w:rsidTr="006D4624">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14:paraId="4B03EED4" w14:textId="77777777" w:rsidR="0088624C" w:rsidRPr="00F05339" w:rsidRDefault="0088624C" w:rsidP="006D4624">
            <w:pPr>
              <w:spacing w:after="0" w:line="240" w:lineRule="auto"/>
              <w:jc w:val="center"/>
              <w:rPr>
                <w:rFonts w:ascii="Arial" w:eastAsia="Times New Roman" w:hAnsi="Arial" w:cs="Arial"/>
                <w:b/>
                <w:bCs/>
                <w:color w:val="0070C0"/>
                <w:lang w:eastAsia="en-GB"/>
              </w:rPr>
            </w:pPr>
            <w:r w:rsidRPr="00F05339">
              <w:rPr>
                <w:rFonts w:ascii="Arial" w:eastAsia="Times New Roman" w:hAnsi="Arial" w:cs="Arial"/>
                <w:b/>
                <w:bCs/>
                <w:color w:val="0070C0"/>
                <w:lang w:eastAsia="en-GB"/>
              </w:rPr>
              <w:t>Total 2014 - 2021</w:t>
            </w:r>
          </w:p>
        </w:tc>
        <w:tc>
          <w:tcPr>
            <w:tcW w:w="1760" w:type="dxa"/>
            <w:tcBorders>
              <w:top w:val="nil"/>
              <w:left w:val="nil"/>
              <w:bottom w:val="single" w:sz="4" w:space="0" w:color="auto"/>
              <w:right w:val="single" w:sz="4" w:space="0" w:color="auto"/>
            </w:tcBorders>
            <w:shd w:val="clear" w:color="auto" w:fill="auto"/>
            <w:vAlign w:val="center"/>
            <w:hideMark/>
          </w:tcPr>
          <w:p w14:paraId="70EE1261" w14:textId="77777777" w:rsidR="0088624C" w:rsidRPr="00F05339" w:rsidRDefault="0088624C" w:rsidP="006D4624">
            <w:pPr>
              <w:spacing w:after="0" w:line="240" w:lineRule="auto"/>
              <w:jc w:val="right"/>
              <w:rPr>
                <w:rFonts w:ascii="Arial" w:eastAsia="Times New Roman" w:hAnsi="Arial" w:cs="Arial"/>
                <w:b/>
                <w:bCs/>
                <w:color w:val="0070C0"/>
                <w:lang w:eastAsia="en-GB"/>
              </w:rPr>
            </w:pPr>
            <w:r w:rsidRPr="00F05339">
              <w:rPr>
                <w:rFonts w:ascii="Arial" w:eastAsia="Times New Roman" w:hAnsi="Arial" w:cs="Arial"/>
                <w:b/>
                <w:bCs/>
                <w:color w:val="0070C0"/>
                <w:lang w:eastAsia="en-GB"/>
              </w:rPr>
              <w:t>9.77</w:t>
            </w:r>
          </w:p>
        </w:tc>
        <w:tc>
          <w:tcPr>
            <w:tcW w:w="1840" w:type="dxa"/>
            <w:tcBorders>
              <w:top w:val="nil"/>
              <w:left w:val="nil"/>
              <w:bottom w:val="single" w:sz="4" w:space="0" w:color="auto"/>
              <w:right w:val="single" w:sz="4" w:space="0" w:color="auto"/>
            </w:tcBorders>
            <w:shd w:val="clear" w:color="auto" w:fill="auto"/>
            <w:vAlign w:val="center"/>
            <w:hideMark/>
          </w:tcPr>
          <w:p w14:paraId="78440B7F" w14:textId="77777777" w:rsidR="0088624C" w:rsidRPr="00F05339" w:rsidRDefault="0088624C" w:rsidP="006D4624">
            <w:pPr>
              <w:spacing w:after="0" w:line="240" w:lineRule="auto"/>
              <w:jc w:val="right"/>
              <w:rPr>
                <w:rFonts w:ascii="Arial" w:eastAsia="Times New Roman" w:hAnsi="Arial" w:cs="Arial"/>
                <w:b/>
                <w:bCs/>
                <w:color w:val="0070C0"/>
                <w:lang w:eastAsia="en-GB"/>
              </w:rPr>
            </w:pPr>
            <w:r w:rsidRPr="00F05339">
              <w:rPr>
                <w:rFonts w:ascii="Arial" w:eastAsia="Times New Roman" w:hAnsi="Arial" w:cs="Arial"/>
                <w:b/>
                <w:bCs/>
                <w:color w:val="0070C0"/>
                <w:lang w:eastAsia="en-GB"/>
              </w:rPr>
              <w:t>1.59</w:t>
            </w:r>
          </w:p>
        </w:tc>
        <w:tc>
          <w:tcPr>
            <w:tcW w:w="1700" w:type="dxa"/>
            <w:tcBorders>
              <w:top w:val="nil"/>
              <w:left w:val="nil"/>
              <w:bottom w:val="single" w:sz="4" w:space="0" w:color="auto"/>
              <w:right w:val="single" w:sz="4" w:space="0" w:color="auto"/>
            </w:tcBorders>
            <w:shd w:val="clear" w:color="auto" w:fill="auto"/>
            <w:vAlign w:val="center"/>
            <w:hideMark/>
          </w:tcPr>
          <w:p w14:paraId="6579F581" w14:textId="77777777" w:rsidR="0088624C" w:rsidRPr="00F05339" w:rsidRDefault="0088624C" w:rsidP="006D4624">
            <w:pPr>
              <w:spacing w:after="0" w:line="240" w:lineRule="auto"/>
              <w:jc w:val="right"/>
              <w:rPr>
                <w:rFonts w:ascii="Arial" w:eastAsia="Times New Roman" w:hAnsi="Arial" w:cs="Arial"/>
                <w:b/>
                <w:bCs/>
                <w:color w:val="C65911"/>
                <w:lang w:eastAsia="en-GB"/>
              </w:rPr>
            </w:pPr>
            <w:r w:rsidRPr="00F05339">
              <w:rPr>
                <w:rFonts w:ascii="Arial" w:eastAsia="Times New Roman" w:hAnsi="Arial" w:cs="Arial"/>
                <w:b/>
                <w:bCs/>
                <w:color w:val="C65911"/>
                <w:lang w:eastAsia="en-GB"/>
              </w:rPr>
              <w:t>11.36</w:t>
            </w:r>
          </w:p>
        </w:tc>
      </w:tr>
    </w:tbl>
    <w:p w14:paraId="4184F913" w14:textId="77777777" w:rsidR="0088624C" w:rsidRPr="00F05339" w:rsidRDefault="0088624C" w:rsidP="0088624C">
      <w:pPr>
        <w:ind w:left="10" w:right="18"/>
        <w:jc w:val="both"/>
        <w:rPr>
          <w:rFonts w:ascii="Arial" w:hAnsi="Arial" w:cs="Arial"/>
          <w:b/>
        </w:rPr>
      </w:pPr>
    </w:p>
    <w:p w14:paraId="255431EF" w14:textId="77777777" w:rsidR="0088624C" w:rsidRPr="00F05339" w:rsidRDefault="0088624C" w:rsidP="0088624C">
      <w:pPr>
        <w:spacing w:after="215" w:line="259" w:lineRule="auto"/>
        <w:ind w:left="2" w:hanging="10"/>
        <w:jc w:val="both"/>
        <w:rPr>
          <w:rFonts w:ascii="Arial" w:hAnsi="Arial" w:cs="Arial"/>
        </w:rPr>
      </w:pPr>
      <w:r w:rsidRPr="00F05339">
        <w:rPr>
          <w:rFonts w:ascii="Arial" w:hAnsi="Arial" w:cs="Arial"/>
        </w:rPr>
        <w:t xml:space="preserve">The lower amounts of cash contributions until 2017 can be explained by the fact that the administrative costs were also funded by Seventh Framework Programme (FP7) contributions. </w:t>
      </w:r>
    </w:p>
    <w:p w14:paraId="2A0C641C" w14:textId="77777777" w:rsidR="0088624C" w:rsidRPr="00F05339" w:rsidRDefault="0088624C" w:rsidP="0088624C">
      <w:pPr>
        <w:ind w:right="18"/>
        <w:jc w:val="both"/>
        <w:rPr>
          <w:rFonts w:ascii="Arial" w:hAnsi="Arial" w:cs="Arial"/>
          <w:b/>
          <w:i/>
        </w:rPr>
      </w:pPr>
      <w:r w:rsidRPr="00F05339">
        <w:rPr>
          <w:rFonts w:ascii="Arial" w:hAnsi="Arial" w:cs="Arial"/>
          <w:b/>
          <w:i/>
        </w:rPr>
        <w:t>In-kind contributions in operational activities (IKOP)</w:t>
      </w:r>
    </w:p>
    <w:p w14:paraId="3869482F" w14:textId="77777777" w:rsidR="0088624C" w:rsidRPr="00F05339" w:rsidRDefault="0088624C" w:rsidP="0088624C">
      <w:pPr>
        <w:ind w:right="18"/>
        <w:jc w:val="both"/>
        <w:rPr>
          <w:rFonts w:ascii="Arial" w:hAnsi="Arial" w:cs="Arial"/>
        </w:rPr>
      </w:pPr>
      <w:r w:rsidRPr="00F05339">
        <w:rPr>
          <w:rFonts w:ascii="Arial" w:hAnsi="Arial" w:cs="Arial"/>
        </w:rPr>
        <w:t xml:space="preserve">The table below provides an overview of private-sector co-financing in all FCH 2 JU projects signed up to 31 December 2021. The total amounts committed per FCH 2 JU member, per all private partners (members and non-members) and per the EU are broken down according to individual Calls. </w:t>
      </w:r>
    </w:p>
    <w:p w14:paraId="3A030DE3" w14:textId="77777777" w:rsidR="0088624C" w:rsidRPr="00F05339" w:rsidRDefault="0088624C" w:rsidP="0088624C">
      <w:pPr>
        <w:ind w:right="18"/>
        <w:jc w:val="both"/>
        <w:rPr>
          <w:rFonts w:ascii="Arial" w:hAnsi="Arial" w:cs="Arial"/>
        </w:rPr>
      </w:pPr>
      <w:r w:rsidRPr="00F05339">
        <w:rPr>
          <w:rFonts w:ascii="Arial" w:hAnsi="Arial" w:cs="Arial"/>
          <w:b/>
        </w:rPr>
        <w:t>When comparing total private contributions in projects to the total EU contribution, we can observe a close parity of 1:1</w:t>
      </w:r>
      <w:r w:rsidRPr="00F05339">
        <w:rPr>
          <w:rFonts w:ascii="Arial" w:hAnsi="Arial" w:cs="Arial"/>
        </w:rPr>
        <w:t xml:space="preserve"> (EUR 627 million of EU committed contribution vs. EUR 553 million of private contributions).</w:t>
      </w:r>
    </w:p>
    <w:p w14:paraId="22389D00" w14:textId="77777777" w:rsidR="0088624C" w:rsidRPr="00F05339" w:rsidRDefault="0088624C" w:rsidP="0088624C">
      <w:pPr>
        <w:spacing w:after="0" w:line="240" w:lineRule="auto"/>
        <w:rPr>
          <w:rFonts w:ascii="Arial" w:eastAsia="Times New Roman" w:hAnsi="Arial" w:cs="Arial"/>
          <w:b/>
          <w:bCs/>
          <w:lang w:eastAsia="en-GB"/>
        </w:rPr>
      </w:pPr>
      <w:r w:rsidRPr="00F05339">
        <w:rPr>
          <w:rFonts w:ascii="Arial" w:eastAsia="Times New Roman" w:hAnsi="Arial" w:cs="Arial"/>
          <w:b/>
          <w:bCs/>
          <w:lang w:eastAsia="en-GB"/>
        </w:rPr>
        <w:t>TABLE 1.1.2: In-kind contributions and EU contributions for grants under calls 2014-2020</w:t>
      </w:r>
    </w:p>
    <w:p w14:paraId="70EBD32D" w14:textId="77777777" w:rsidR="0088624C" w:rsidRPr="00F05339" w:rsidRDefault="0088624C" w:rsidP="0088624C">
      <w:pPr>
        <w:keepNext/>
        <w:keepLines/>
        <w:spacing w:before="40" w:after="0"/>
        <w:ind w:left="370"/>
        <w:outlineLvl w:val="3"/>
        <w:rPr>
          <w:rFonts w:ascii="Arial" w:eastAsiaTheme="majorEastAsia" w:hAnsi="Arial" w:cs="Arial"/>
          <w:iCs/>
          <w:color w:val="034EA2"/>
        </w:rPr>
      </w:pPr>
      <w:r w:rsidRPr="00F05339">
        <w:rPr>
          <w:rFonts w:ascii="Arial" w:hAnsi="Arial" w:cs="Arial"/>
          <w:b/>
          <w:i/>
          <w:iCs/>
          <w:color w:val="034EA2"/>
        </w:rPr>
        <w:t xml:space="preserve"> </w:t>
      </w:r>
    </w:p>
    <w:tbl>
      <w:tblPr>
        <w:tblW w:w="10440" w:type="dxa"/>
        <w:tblLook w:val="04A0" w:firstRow="1" w:lastRow="0" w:firstColumn="1" w:lastColumn="0" w:noHBand="0" w:noVBand="1"/>
      </w:tblPr>
      <w:tblGrid>
        <w:gridCol w:w="1017"/>
        <w:gridCol w:w="1146"/>
        <w:gridCol w:w="1655"/>
        <w:gridCol w:w="1693"/>
        <w:gridCol w:w="1685"/>
        <w:gridCol w:w="1622"/>
        <w:gridCol w:w="1622"/>
      </w:tblGrid>
      <w:tr w:rsidR="0088624C" w:rsidRPr="00F05339" w14:paraId="76C5FA0B" w14:textId="77777777" w:rsidTr="006D4624">
        <w:trPr>
          <w:trHeight w:val="1200"/>
        </w:trPr>
        <w:tc>
          <w:tcPr>
            <w:tcW w:w="1120" w:type="dxa"/>
            <w:vMerge w:val="restart"/>
            <w:tcBorders>
              <w:top w:val="single" w:sz="4" w:space="0" w:color="auto"/>
              <w:left w:val="single" w:sz="4" w:space="0" w:color="auto"/>
              <w:bottom w:val="single" w:sz="4" w:space="0" w:color="auto"/>
              <w:right w:val="single" w:sz="4" w:space="0" w:color="auto"/>
            </w:tcBorders>
            <w:shd w:val="clear" w:color="000000" w:fill="60B0AF"/>
            <w:vAlign w:val="center"/>
            <w:hideMark/>
          </w:tcPr>
          <w:p w14:paraId="22115ECF" w14:textId="77777777" w:rsidR="0088624C" w:rsidRPr="00F05339" w:rsidRDefault="0088624C" w:rsidP="006D4624">
            <w:pPr>
              <w:spacing w:after="0" w:line="240" w:lineRule="auto"/>
              <w:jc w:val="center"/>
              <w:rPr>
                <w:rFonts w:ascii="Arial" w:eastAsia="Times New Roman" w:hAnsi="Arial" w:cs="Arial"/>
                <w:b/>
                <w:bCs/>
                <w:color w:val="FFFFFF"/>
                <w:lang w:eastAsia="en-GB"/>
              </w:rPr>
            </w:pPr>
            <w:r w:rsidRPr="00F05339">
              <w:rPr>
                <w:rFonts w:ascii="Arial" w:eastAsia="Times New Roman" w:hAnsi="Arial" w:cs="Arial"/>
                <w:b/>
                <w:bCs/>
                <w:color w:val="FFFFFF"/>
                <w:lang w:eastAsia="en-GB"/>
              </w:rPr>
              <w:t>Call</w:t>
            </w:r>
          </w:p>
        </w:tc>
        <w:tc>
          <w:tcPr>
            <w:tcW w:w="1260" w:type="dxa"/>
            <w:vMerge w:val="restart"/>
            <w:tcBorders>
              <w:top w:val="single" w:sz="4" w:space="0" w:color="auto"/>
              <w:left w:val="single" w:sz="4" w:space="0" w:color="auto"/>
              <w:bottom w:val="single" w:sz="4" w:space="0" w:color="auto"/>
              <w:right w:val="single" w:sz="4" w:space="0" w:color="auto"/>
            </w:tcBorders>
            <w:shd w:val="clear" w:color="000000" w:fill="60B0AF"/>
            <w:vAlign w:val="center"/>
            <w:hideMark/>
          </w:tcPr>
          <w:p w14:paraId="0F6EEF9D" w14:textId="77777777" w:rsidR="0088624C" w:rsidRPr="00F05339" w:rsidRDefault="0088624C" w:rsidP="006D4624">
            <w:pPr>
              <w:spacing w:after="0" w:line="240" w:lineRule="auto"/>
              <w:jc w:val="center"/>
              <w:rPr>
                <w:rFonts w:ascii="Arial" w:eastAsia="Times New Roman" w:hAnsi="Arial" w:cs="Arial"/>
                <w:b/>
                <w:bCs/>
                <w:color w:val="FFFFFF"/>
                <w:lang w:eastAsia="en-GB"/>
              </w:rPr>
            </w:pPr>
            <w:r w:rsidRPr="00F05339">
              <w:rPr>
                <w:rFonts w:ascii="Arial" w:eastAsia="Times New Roman" w:hAnsi="Arial" w:cs="Arial"/>
                <w:b/>
                <w:bCs/>
                <w:color w:val="FFFFFF"/>
                <w:lang w:eastAsia="en-GB"/>
              </w:rPr>
              <w:t>Number of projects</w:t>
            </w:r>
          </w:p>
        </w:tc>
        <w:tc>
          <w:tcPr>
            <w:tcW w:w="1400" w:type="dxa"/>
            <w:tcBorders>
              <w:top w:val="single" w:sz="4" w:space="0" w:color="auto"/>
              <w:left w:val="nil"/>
              <w:bottom w:val="single" w:sz="4" w:space="0" w:color="auto"/>
              <w:right w:val="single" w:sz="4" w:space="0" w:color="auto"/>
            </w:tcBorders>
            <w:shd w:val="clear" w:color="000000" w:fill="60B0AF"/>
            <w:vAlign w:val="center"/>
            <w:hideMark/>
          </w:tcPr>
          <w:p w14:paraId="2DEB074B" w14:textId="77777777" w:rsidR="0088624C" w:rsidRPr="00F05339" w:rsidRDefault="0088624C" w:rsidP="006D4624">
            <w:pPr>
              <w:spacing w:after="0" w:line="240" w:lineRule="auto"/>
              <w:jc w:val="center"/>
              <w:rPr>
                <w:rFonts w:ascii="Arial" w:eastAsia="Times New Roman" w:hAnsi="Arial" w:cs="Arial"/>
                <w:b/>
                <w:bCs/>
                <w:color w:val="FFFFFF"/>
                <w:lang w:eastAsia="en-GB"/>
              </w:rPr>
            </w:pPr>
            <w:proofErr w:type="gramStart"/>
            <w:r w:rsidRPr="00F05339">
              <w:rPr>
                <w:rFonts w:ascii="Arial" w:eastAsia="Times New Roman" w:hAnsi="Arial" w:cs="Arial"/>
                <w:b/>
                <w:bCs/>
                <w:color w:val="FFFFFF"/>
                <w:lang w:eastAsia="en-GB"/>
              </w:rPr>
              <w:t>Total  EU</w:t>
            </w:r>
            <w:proofErr w:type="gramEnd"/>
            <w:r w:rsidRPr="00F05339">
              <w:rPr>
                <w:rFonts w:ascii="Arial" w:eastAsia="Times New Roman" w:hAnsi="Arial" w:cs="Arial"/>
                <w:b/>
                <w:bCs/>
                <w:color w:val="FFFFFF"/>
                <w:lang w:eastAsia="en-GB"/>
              </w:rPr>
              <w:t xml:space="preserve"> contribution</w:t>
            </w:r>
            <w:r>
              <w:rPr>
                <w:rStyle w:val="FootnoteReference"/>
                <w:rFonts w:ascii="Arial" w:eastAsia="Times New Roman" w:hAnsi="Arial" w:cs="Arial"/>
                <w:b/>
                <w:bCs/>
                <w:color w:val="FFFFFF"/>
                <w:lang w:eastAsia="en-GB"/>
              </w:rPr>
              <w:footnoteReference w:id="88"/>
            </w:r>
          </w:p>
        </w:tc>
        <w:tc>
          <w:tcPr>
            <w:tcW w:w="1800" w:type="dxa"/>
            <w:vMerge w:val="restart"/>
            <w:tcBorders>
              <w:top w:val="single" w:sz="4" w:space="0" w:color="auto"/>
              <w:left w:val="single" w:sz="4" w:space="0" w:color="auto"/>
              <w:bottom w:val="single" w:sz="4" w:space="0" w:color="auto"/>
              <w:right w:val="single" w:sz="4" w:space="0" w:color="auto"/>
            </w:tcBorders>
            <w:shd w:val="clear" w:color="000000" w:fill="60B0AF"/>
            <w:vAlign w:val="center"/>
            <w:hideMark/>
          </w:tcPr>
          <w:p w14:paraId="2C8396FF" w14:textId="77777777" w:rsidR="0088624C" w:rsidRPr="00F05339" w:rsidRDefault="0088624C" w:rsidP="006D4624">
            <w:pPr>
              <w:spacing w:after="0" w:line="240" w:lineRule="auto"/>
              <w:jc w:val="center"/>
              <w:rPr>
                <w:rFonts w:ascii="Arial" w:eastAsia="Times New Roman" w:hAnsi="Arial" w:cs="Arial"/>
                <w:b/>
                <w:bCs/>
                <w:color w:val="FFFFFF"/>
                <w:lang w:eastAsia="en-GB"/>
              </w:rPr>
            </w:pPr>
            <w:r w:rsidRPr="00F05339">
              <w:rPr>
                <w:rFonts w:ascii="Arial" w:eastAsia="Times New Roman" w:hAnsi="Arial" w:cs="Arial"/>
                <w:b/>
                <w:bCs/>
                <w:color w:val="FFFFFF"/>
                <w:lang w:eastAsia="en-GB"/>
              </w:rPr>
              <w:t>Committed in-kind contributions (IKOP) from members (B)</w:t>
            </w:r>
          </w:p>
        </w:tc>
        <w:tc>
          <w:tcPr>
            <w:tcW w:w="1780" w:type="dxa"/>
            <w:vMerge w:val="restart"/>
            <w:tcBorders>
              <w:top w:val="single" w:sz="4" w:space="0" w:color="auto"/>
              <w:left w:val="single" w:sz="4" w:space="0" w:color="auto"/>
              <w:bottom w:val="single" w:sz="4" w:space="0" w:color="auto"/>
              <w:right w:val="single" w:sz="4" w:space="0" w:color="auto"/>
            </w:tcBorders>
            <w:shd w:val="clear" w:color="000000" w:fill="60B0AF"/>
            <w:vAlign w:val="center"/>
            <w:hideMark/>
          </w:tcPr>
          <w:p w14:paraId="4F448ACE" w14:textId="77777777" w:rsidR="0088624C" w:rsidRPr="00F05339" w:rsidRDefault="0088624C" w:rsidP="006D4624">
            <w:pPr>
              <w:spacing w:after="0" w:line="240" w:lineRule="auto"/>
              <w:jc w:val="center"/>
              <w:rPr>
                <w:rFonts w:ascii="Arial" w:eastAsia="Times New Roman" w:hAnsi="Arial" w:cs="Arial"/>
                <w:b/>
                <w:bCs/>
                <w:color w:val="FFFFFF"/>
                <w:lang w:eastAsia="en-GB"/>
              </w:rPr>
            </w:pPr>
            <w:r w:rsidRPr="00F05339">
              <w:rPr>
                <w:rFonts w:ascii="Arial" w:eastAsia="Times New Roman" w:hAnsi="Arial" w:cs="Arial"/>
                <w:b/>
                <w:bCs/>
                <w:color w:val="FFFFFF"/>
                <w:lang w:eastAsia="en-GB"/>
              </w:rPr>
              <w:t>Committed in-kind contributions from non-members (C)</w:t>
            </w:r>
          </w:p>
        </w:tc>
        <w:tc>
          <w:tcPr>
            <w:tcW w:w="1520" w:type="dxa"/>
            <w:tcBorders>
              <w:top w:val="single" w:sz="4" w:space="0" w:color="auto"/>
              <w:left w:val="nil"/>
              <w:bottom w:val="single" w:sz="4" w:space="0" w:color="auto"/>
              <w:right w:val="single" w:sz="4" w:space="0" w:color="auto"/>
            </w:tcBorders>
            <w:shd w:val="clear" w:color="000000" w:fill="60B0AF"/>
            <w:vAlign w:val="center"/>
            <w:hideMark/>
          </w:tcPr>
          <w:p w14:paraId="138DD655" w14:textId="77777777" w:rsidR="0088624C" w:rsidRPr="00F05339" w:rsidRDefault="0088624C" w:rsidP="006D4624">
            <w:pPr>
              <w:spacing w:after="0" w:line="240" w:lineRule="auto"/>
              <w:jc w:val="center"/>
              <w:rPr>
                <w:rFonts w:ascii="Arial" w:eastAsia="Times New Roman" w:hAnsi="Arial" w:cs="Arial"/>
                <w:b/>
                <w:bCs/>
                <w:color w:val="FFFFFF"/>
                <w:lang w:eastAsia="en-GB"/>
              </w:rPr>
            </w:pPr>
            <w:r w:rsidRPr="00F05339">
              <w:rPr>
                <w:rFonts w:ascii="Arial" w:eastAsia="Times New Roman" w:hAnsi="Arial" w:cs="Arial"/>
                <w:b/>
                <w:bCs/>
                <w:color w:val="FFFFFF"/>
                <w:lang w:eastAsia="en-GB"/>
              </w:rPr>
              <w:t>Total committed private contributions</w:t>
            </w:r>
          </w:p>
        </w:tc>
        <w:tc>
          <w:tcPr>
            <w:tcW w:w="1560" w:type="dxa"/>
            <w:tcBorders>
              <w:top w:val="single" w:sz="4" w:space="0" w:color="auto"/>
              <w:left w:val="nil"/>
              <w:bottom w:val="single" w:sz="4" w:space="0" w:color="auto"/>
              <w:right w:val="single" w:sz="4" w:space="0" w:color="auto"/>
            </w:tcBorders>
            <w:shd w:val="clear" w:color="000000" w:fill="60B0AF"/>
            <w:vAlign w:val="center"/>
            <w:hideMark/>
          </w:tcPr>
          <w:p w14:paraId="43643805" w14:textId="77777777" w:rsidR="0088624C" w:rsidRPr="00F05339" w:rsidRDefault="0088624C" w:rsidP="006D4624">
            <w:pPr>
              <w:spacing w:after="0" w:line="240" w:lineRule="auto"/>
              <w:jc w:val="center"/>
              <w:rPr>
                <w:rFonts w:ascii="Arial" w:eastAsia="Times New Roman" w:hAnsi="Arial" w:cs="Arial"/>
                <w:b/>
                <w:bCs/>
                <w:color w:val="FFFFFF"/>
                <w:lang w:eastAsia="en-GB"/>
              </w:rPr>
            </w:pPr>
            <w:r w:rsidRPr="00F05339">
              <w:rPr>
                <w:rFonts w:ascii="Arial" w:eastAsia="Times New Roman" w:hAnsi="Arial" w:cs="Arial"/>
                <w:b/>
                <w:bCs/>
                <w:color w:val="FFFFFF"/>
                <w:lang w:eastAsia="en-GB"/>
              </w:rPr>
              <w:t>Total committed EU + private contributions</w:t>
            </w:r>
          </w:p>
        </w:tc>
      </w:tr>
      <w:tr w:rsidR="0088624C" w:rsidRPr="00F05339" w14:paraId="1EA388E6" w14:textId="77777777" w:rsidTr="006D4624">
        <w:trPr>
          <w:trHeight w:val="300"/>
        </w:trPr>
        <w:tc>
          <w:tcPr>
            <w:tcW w:w="1120" w:type="dxa"/>
            <w:vMerge/>
            <w:tcBorders>
              <w:top w:val="single" w:sz="4" w:space="0" w:color="auto"/>
              <w:left w:val="single" w:sz="4" w:space="0" w:color="auto"/>
              <w:bottom w:val="single" w:sz="4" w:space="0" w:color="auto"/>
              <w:right w:val="single" w:sz="4" w:space="0" w:color="auto"/>
            </w:tcBorders>
            <w:vAlign w:val="center"/>
            <w:hideMark/>
          </w:tcPr>
          <w:p w14:paraId="24167D38" w14:textId="77777777" w:rsidR="0088624C" w:rsidRPr="00F05339" w:rsidRDefault="0088624C" w:rsidP="006D4624">
            <w:pPr>
              <w:spacing w:after="0" w:line="240" w:lineRule="auto"/>
              <w:rPr>
                <w:rFonts w:ascii="Arial" w:eastAsia="Times New Roman" w:hAnsi="Arial" w:cs="Arial"/>
                <w:b/>
                <w:bCs/>
                <w:color w:val="FFFFFF"/>
                <w:lang w:eastAsia="en-GB"/>
              </w:rPr>
            </w:pPr>
          </w:p>
        </w:tc>
        <w:tc>
          <w:tcPr>
            <w:tcW w:w="1260" w:type="dxa"/>
            <w:vMerge/>
            <w:tcBorders>
              <w:top w:val="single" w:sz="4" w:space="0" w:color="auto"/>
              <w:left w:val="single" w:sz="4" w:space="0" w:color="auto"/>
              <w:bottom w:val="single" w:sz="4" w:space="0" w:color="auto"/>
              <w:right w:val="single" w:sz="4" w:space="0" w:color="auto"/>
            </w:tcBorders>
            <w:vAlign w:val="center"/>
            <w:hideMark/>
          </w:tcPr>
          <w:p w14:paraId="0DCEA5B0" w14:textId="77777777" w:rsidR="0088624C" w:rsidRPr="00F05339" w:rsidRDefault="0088624C" w:rsidP="006D4624">
            <w:pPr>
              <w:spacing w:after="0" w:line="240" w:lineRule="auto"/>
              <w:rPr>
                <w:rFonts w:ascii="Arial" w:eastAsia="Times New Roman" w:hAnsi="Arial" w:cs="Arial"/>
                <w:b/>
                <w:bCs/>
                <w:color w:val="FFFFFF"/>
                <w:lang w:eastAsia="en-GB"/>
              </w:rPr>
            </w:pPr>
          </w:p>
        </w:tc>
        <w:tc>
          <w:tcPr>
            <w:tcW w:w="1400" w:type="dxa"/>
            <w:tcBorders>
              <w:top w:val="nil"/>
              <w:left w:val="nil"/>
              <w:bottom w:val="single" w:sz="4" w:space="0" w:color="auto"/>
              <w:right w:val="single" w:sz="4" w:space="0" w:color="auto"/>
            </w:tcBorders>
            <w:shd w:val="clear" w:color="000000" w:fill="60B0AF"/>
            <w:vAlign w:val="center"/>
            <w:hideMark/>
          </w:tcPr>
          <w:p w14:paraId="4BB70A55" w14:textId="77777777" w:rsidR="0088624C" w:rsidRPr="00F05339" w:rsidRDefault="0088624C" w:rsidP="006D4624">
            <w:pPr>
              <w:spacing w:after="0" w:line="240" w:lineRule="auto"/>
              <w:jc w:val="center"/>
              <w:rPr>
                <w:rFonts w:ascii="Arial" w:eastAsia="Times New Roman" w:hAnsi="Arial" w:cs="Arial"/>
                <w:b/>
                <w:bCs/>
                <w:color w:val="FFFFFF"/>
                <w:lang w:eastAsia="en-GB"/>
              </w:rPr>
            </w:pPr>
            <w:r w:rsidRPr="00F05339">
              <w:rPr>
                <w:rFonts w:ascii="Arial" w:eastAsia="Times New Roman" w:hAnsi="Arial" w:cs="Arial"/>
                <w:b/>
                <w:bCs/>
                <w:color w:val="FFFFFF"/>
                <w:lang w:eastAsia="en-GB"/>
              </w:rPr>
              <w:t>(A)</w:t>
            </w:r>
          </w:p>
        </w:tc>
        <w:tc>
          <w:tcPr>
            <w:tcW w:w="1800" w:type="dxa"/>
            <w:vMerge/>
            <w:tcBorders>
              <w:top w:val="single" w:sz="4" w:space="0" w:color="auto"/>
              <w:left w:val="single" w:sz="4" w:space="0" w:color="auto"/>
              <w:bottom w:val="single" w:sz="4" w:space="0" w:color="auto"/>
              <w:right w:val="single" w:sz="4" w:space="0" w:color="auto"/>
            </w:tcBorders>
            <w:vAlign w:val="center"/>
            <w:hideMark/>
          </w:tcPr>
          <w:p w14:paraId="48143DF6" w14:textId="77777777" w:rsidR="0088624C" w:rsidRPr="00F05339" w:rsidRDefault="0088624C" w:rsidP="006D4624">
            <w:pPr>
              <w:spacing w:after="0" w:line="240" w:lineRule="auto"/>
              <w:rPr>
                <w:rFonts w:ascii="Arial" w:eastAsia="Times New Roman" w:hAnsi="Arial" w:cs="Arial"/>
                <w:b/>
                <w:bCs/>
                <w:color w:val="FFFFFF"/>
                <w:lang w:eastAsia="en-GB"/>
              </w:rPr>
            </w:pPr>
          </w:p>
        </w:tc>
        <w:tc>
          <w:tcPr>
            <w:tcW w:w="1780" w:type="dxa"/>
            <w:vMerge/>
            <w:tcBorders>
              <w:top w:val="single" w:sz="4" w:space="0" w:color="auto"/>
              <w:left w:val="single" w:sz="4" w:space="0" w:color="auto"/>
              <w:bottom w:val="single" w:sz="4" w:space="0" w:color="auto"/>
              <w:right w:val="single" w:sz="4" w:space="0" w:color="auto"/>
            </w:tcBorders>
            <w:vAlign w:val="center"/>
            <w:hideMark/>
          </w:tcPr>
          <w:p w14:paraId="4B99F376" w14:textId="77777777" w:rsidR="0088624C" w:rsidRPr="00F05339" w:rsidRDefault="0088624C" w:rsidP="006D4624">
            <w:pPr>
              <w:spacing w:after="0" w:line="240" w:lineRule="auto"/>
              <w:rPr>
                <w:rFonts w:ascii="Arial" w:eastAsia="Times New Roman" w:hAnsi="Arial" w:cs="Arial"/>
                <w:b/>
                <w:bCs/>
                <w:color w:val="FFFFFF"/>
                <w:lang w:eastAsia="en-GB"/>
              </w:rPr>
            </w:pPr>
          </w:p>
        </w:tc>
        <w:tc>
          <w:tcPr>
            <w:tcW w:w="1520" w:type="dxa"/>
            <w:tcBorders>
              <w:top w:val="nil"/>
              <w:left w:val="nil"/>
              <w:bottom w:val="single" w:sz="4" w:space="0" w:color="auto"/>
              <w:right w:val="single" w:sz="4" w:space="0" w:color="auto"/>
            </w:tcBorders>
            <w:shd w:val="clear" w:color="000000" w:fill="60B0AF"/>
            <w:vAlign w:val="center"/>
            <w:hideMark/>
          </w:tcPr>
          <w:p w14:paraId="6C1DE1B0" w14:textId="77777777" w:rsidR="0088624C" w:rsidRPr="00F05339" w:rsidRDefault="0088624C" w:rsidP="006D4624">
            <w:pPr>
              <w:spacing w:after="0" w:line="240" w:lineRule="auto"/>
              <w:jc w:val="center"/>
              <w:rPr>
                <w:rFonts w:ascii="Arial" w:eastAsia="Times New Roman" w:hAnsi="Arial" w:cs="Arial"/>
                <w:b/>
                <w:bCs/>
                <w:color w:val="FFFFFF"/>
                <w:lang w:eastAsia="en-GB"/>
              </w:rPr>
            </w:pPr>
            <w:r w:rsidRPr="00F05339">
              <w:rPr>
                <w:rFonts w:ascii="Arial" w:eastAsia="Times New Roman" w:hAnsi="Arial" w:cs="Arial"/>
                <w:b/>
                <w:bCs/>
                <w:color w:val="FFFFFF"/>
                <w:lang w:eastAsia="en-GB"/>
              </w:rPr>
              <w:t xml:space="preserve">(D = B + C) </w:t>
            </w:r>
          </w:p>
        </w:tc>
        <w:tc>
          <w:tcPr>
            <w:tcW w:w="1560" w:type="dxa"/>
            <w:tcBorders>
              <w:top w:val="nil"/>
              <w:left w:val="nil"/>
              <w:bottom w:val="single" w:sz="4" w:space="0" w:color="auto"/>
              <w:right w:val="single" w:sz="4" w:space="0" w:color="auto"/>
            </w:tcBorders>
            <w:shd w:val="clear" w:color="000000" w:fill="60B0AF"/>
            <w:vAlign w:val="center"/>
            <w:hideMark/>
          </w:tcPr>
          <w:p w14:paraId="51680563" w14:textId="77777777" w:rsidR="0088624C" w:rsidRPr="00F05339" w:rsidRDefault="0088624C" w:rsidP="006D4624">
            <w:pPr>
              <w:spacing w:after="0" w:line="240" w:lineRule="auto"/>
              <w:jc w:val="center"/>
              <w:rPr>
                <w:rFonts w:ascii="Arial" w:eastAsia="Times New Roman" w:hAnsi="Arial" w:cs="Arial"/>
                <w:b/>
                <w:bCs/>
                <w:color w:val="FFFFFF"/>
                <w:lang w:eastAsia="en-GB"/>
              </w:rPr>
            </w:pPr>
            <w:r w:rsidRPr="00F05339">
              <w:rPr>
                <w:rFonts w:ascii="Arial" w:eastAsia="Times New Roman" w:hAnsi="Arial" w:cs="Arial"/>
                <w:b/>
                <w:bCs/>
                <w:color w:val="FFFFFF"/>
                <w:lang w:eastAsia="en-GB"/>
              </w:rPr>
              <w:t>(E = A + D)</w:t>
            </w:r>
          </w:p>
        </w:tc>
      </w:tr>
      <w:tr w:rsidR="0088624C" w:rsidRPr="00F05339" w14:paraId="1B3DCE6E" w14:textId="77777777" w:rsidTr="006D4624">
        <w:trPr>
          <w:trHeight w:val="300"/>
        </w:trPr>
        <w:tc>
          <w:tcPr>
            <w:tcW w:w="1120" w:type="dxa"/>
            <w:tcBorders>
              <w:top w:val="nil"/>
              <w:left w:val="single" w:sz="4" w:space="0" w:color="auto"/>
              <w:bottom w:val="single" w:sz="4" w:space="0" w:color="auto"/>
              <w:right w:val="single" w:sz="4" w:space="0" w:color="auto"/>
            </w:tcBorders>
            <w:shd w:val="clear" w:color="000000" w:fill="60B0AF"/>
            <w:vAlign w:val="center"/>
            <w:hideMark/>
          </w:tcPr>
          <w:p w14:paraId="02C7A28B" w14:textId="77777777" w:rsidR="0088624C" w:rsidRPr="00F05339" w:rsidRDefault="0088624C" w:rsidP="006D4624">
            <w:pPr>
              <w:spacing w:after="0" w:line="240" w:lineRule="auto"/>
              <w:jc w:val="center"/>
              <w:rPr>
                <w:rFonts w:ascii="Arial" w:eastAsia="Times New Roman" w:hAnsi="Arial" w:cs="Arial"/>
                <w:b/>
                <w:bCs/>
                <w:color w:val="FFFFFF"/>
                <w:lang w:eastAsia="en-GB"/>
              </w:rPr>
            </w:pPr>
            <w:r w:rsidRPr="00F05339">
              <w:rPr>
                <w:rFonts w:ascii="Arial" w:eastAsia="Times New Roman" w:hAnsi="Arial" w:cs="Arial"/>
                <w:b/>
                <w:bCs/>
                <w:color w:val="FFFFFF"/>
                <w:lang w:eastAsia="en-GB"/>
              </w:rPr>
              <w:t>Year</w:t>
            </w:r>
          </w:p>
        </w:tc>
        <w:tc>
          <w:tcPr>
            <w:tcW w:w="1260" w:type="dxa"/>
            <w:tcBorders>
              <w:top w:val="nil"/>
              <w:left w:val="nil"/>
              <w:bottom w:val="single" w:sz="4" w:space="0" w:color="auto"/>
              <w:right w:val="single" w:sz="4" w:space="0" w:color="auto"/>
            </w:tcBorders>
            <w:shd w:val="clear" w:color="000000" w:fill="60B0AF"/>
            <w:vAlign w:val="center"/>
            <w:hideMark/>
          </w:tcPr>
          <w:p w14:paraId="3FB370CF" w14:textId="77777777" w:rsidR="0088624C" w:rsidRPr="00F05339" w:rsidRDefault="0088624C" w:rsidP="006D4624">
            <w:pPr>
              <w:spacing w:after="0" w:line="240" w:lineRule="auto"/>
              <w:jc w:val="center"/>
              <w:rPr>
                <w:rFonts w:ascii="Arial" w:eastAsia="Times New Roman" w:hAnsi="Arial" w:cs="Arial"/>
                <w:b/>
                <w:bCs/>
                <w:color w:val="FFFFFF"/>
                <w:lang w:eastAsia="en-GB"/>
              </w:rPr>
            </w:pPr>
            <w:r w:rsidRPr="00F05339">
              <w:rPr>
                <w:rFonts w:ascii="Arial" w:eastAsia="Times New Roman" w:hAnsi="Arial" w:cs="Arial"/>
                <w:b/>
                <w:bCs/>
                <w:color w:val="FFFFFF"/>
                <w:lang w:eastAsia="en-GB"/>
              </w:rPr>
              <w:t> </w:t>
            </w:r>
          </w:p>
        </w:tc>
        <w:tc>
          <w:tcPr>
            <w:tcW w:w="1400" w:type="dxa"/>
            <w:tcBorders>
              <w:top w:val="nil"/>
              <w:left w:val="nil"/>
              <w:bottom w:val="single" w:sz="4" w:space="0" w:color="auto"/>
              <w:right w:val="single" w:sz="4" w:space="0" w:color="auto"/>
            </w:tcBorders>
            <w:shd w:val="clear" w:color="000000" w:fill="60B0AF"/>
            <w:vAlign w:val="center"/>
            <w:hideMark/>
          </w:tcPr>
          <w:p w14:paraId="61FB8586" w14:textId="77777777" w:rsidR="0088624C" w:rsidRPr="00F05339" w:rsidRDefault="0088624C" w:rsidP="006D4624">
            <w:pPr>
              <w:spacing w:after="0" w:line="240" w:lineRule="auto"/>
              <w:jc w:val="center"/>
              <w:rPr>
                <w:rFonts w:ascii="Arial" w:eastAsia="Times New Roman" w:hAnsi="Arial" w:cs="Arial"/>
                <w:b/>
                <w:bCs/>
                <w:color w:val="FFFFFF"/>
                <w:lang w:eastAsia="en-GB"/>
              </w:rPr>
            </w:pPr>
            <w:r w:rsidRPr="00F05339">
              <w:rPr>
                <w:rFonts w:ascii="Arial" w:eastAsia="Times New Roman" w:hAnsi="Arial" w:cs="Arial"/>
                <w:b/>
                <w:bCs/>
                <w:color w:val="FFFFFF"/>
                <w:lang w:eastAsia="en-GB"/>
              </w:rPr>
              <w:t>in EUR mil.</w:t>
            </w:r>
          </w:p>
        </w:tc>
        <w:tc>
          <w:tcPr>
            <w:tcW w:w="1800" w:type="dxa"/>
            <w:tcBorders>
              <w:top w:val="nil"/>
              <w:left w:val="nil"/>
              <w:bottom w:val="single" w:sz="4" w:space="0" w:color="auto"/>
              <w:right w:val="single" w:sz="4" w:space="0" w:color="auto"/>
            </w:tcBorders>
            <w:shd w:val="clear" w:color="000000" w:fill="60B0AF"/>
            <w:vAlign w:val="center"/>
            <w:hideMark/>
          </w:tcPr>
          <w:p w14:paraId="093E4BBC" w14:textId="77777777" w:rsidR="0088624C" w:rsidRPr="00F05339" w:rsidRDefault="0088624C" w:rsidP="006D4624">
            <w:pPr>
              <w:spacing w:after="0" w:line="240" w:lineRule="auto"/>
              <w:jc w:val="center"/>
              <w:rPr>
                <w:rFonts w:ascii="Arial" w:eastAsia="Times New Roman" w:hAnsi="Arial" w:cs="Arial"/>
                <w:b/>
                <w:bCs/>
                <w:color w:val="FFFFFF"/>
                <w:lang w:eastAsia="en-GB"/>
              </w:rPr>
            </w:pPr>
            <w:r w:rsidRPr="00F05339">
              <w:rPr>
                <w:rFonts w:ascii="Arial" w:eastAsia="Times New Roman" w:hAnsi="Arial" w:cs="Arial"/>
                <w:b/>
                <w:bCs/>
                <w:color w:val="FFFFFF"/>
                <w:lang w:eastAsia="en-GB"/>
              </w:rPr>
              <w:t>in EUR mil.</w:t>
            </w:r>
          </w:p>
        </w:tc>
        <w:tc>
          <w:tcPr>
            <w:tcW w:w="1780" w:type="dxa"/>
            <w:tcBorders>
              <w:top w:val="nil"/>
              <w:left w:val="nil"/>
              <w:bottom w:val="single" w:sz="4" w:space="0" w:color="auto"/>
              <w:right w:val="single" w:sz="4" w:space="0" w:color="auto"/>
            </w:tcBorders>
            <w:shd w:val="clear" w:color="000000" w:fill="60B0AF"/>
            <w:vAlign w:val="center"/>
            <w:hideMark/>
          </w:tcPr>
          <w:p w14:paraId="35EC2DE9" w14:textId="77777777" w:rsidR="0088624C" w:rsidRPr="00F05339" w:rsidRDefault="0088624C" w:rsidP="006D4624">
            <w:pPr>
              <w:spacing w:after="0" w:line="240" w:lineRule="auto"/>
              <w:jc w:val="center"/>
              <w:rPr>
                <w:rFonts w:ascii="Arial" w:eastAsia="Times New Roman" w:hAnsi="Arial" w:cs="Arial"/>
                <w:b/>
                <w:bCs/>
                <w:color w:val="FFFFFF"/>
                <w:lang w:eastAsia="en-GB"/>
              </w:rPr>
            </w:pPr>
            <w:r w:rsidRPr="00F05339">
              <w:rPr>
                <w:rFonts w:ascii="Arial" w:eastAsia="Times New Roman" w:hAnsi="Arial" w:cs="Arial"/>
                <w:b/>
                <w:bCs/>
                <w:color w:val="FFFFFF"/>
                <w:lang w:eastAsia="en-GB"/>
              </w:rPr>
              <w:t>in EUR mil.</w:t>
            </w:r>
          </w:p>
        </w:tc>
        <w:tc>
          <w:tcPr>
            <w:tcW w:w="1520" w:type="dxa"/>
            <w:tcBorders>
              <w:top w:val="nil"/>
              <w:left w:val="nil"/>
              <w:bottom w:val="single" w:sz="4" w:space="0" w:color="auto"/>
              <w:right w:val="single" w:sz="4" w:space="0" w:color="auto"/>
            </w:tcBorders>
            <w:shd w:val="clear" w:color="000000" w:fill="60B0AF"/>
            <w:vAlign w:val="center"/>
            <w:hideMark/>
          </w:tcPr>
          <w:p w14:paraId="40AA097A" w14:textId="77777777" w:rsidR="0088624C" w:rsidRPr="00F05339" w:rsidRDefault="0088624C" w:rsidP="006D4624">
            <w:pPr>
              <w:spacing w:after="0" w:line="240" w:lineRule="auto"/>
              <w:jc w:val="center"/>
              <w:rPr>
                <w:rFonts w:ascii="Arial" w:eastAsia="Times New Roman" w:hAnsi="Arial" w:cs="Arial"/>
                <w:b/>
                <w:bCs/>
                <w:color w:val="FFFFFF"/>
                <w:lang w:eastAsia="en-GB"/>
              </w:rPr>
            </w:pPr>
            <w:r w:rsidRPr="00F05339">
              <w:rPr>
                <w:rFonts w:ascii="Arial" w:eastAsia="Times New Roman" w:hAnsi="Arial" w:cs="Arial"/>
                <w:b/>
                <w:bCs/>
                <w:color w:val="FFFFFF"/>
                <w:lang w:eastAsia="en-GB"/>
              </w:rPr>
              <w:t>in EUR mil.</w:t>
            </w:r>
          </w:p>
        </w:tc>
        <w:tc>
          <w:tcPr>
            <w:tcW w:w="1560" w:type="dxa"/>
            <w:tcBorders>
              <w:top w:val="nil"/>
              <w:left w:val="nil"/>
              <w:bottom w:val="single" w:sz="4" w:space="0" w:color="auto"/>
              <w:right w:val="single" w:sz="4" w:space="0" w:color="auto"/>
            </w:tcBorders>
            <w:shd w:val="clear" w:color="000000" w:fill="60B0AF"/>
            <w:vAlign w:val="center"/>
            <w:hideMark/>
          </w:tcPr>
          <w:p w14:paraId="563A723F" w14:textId="77777777" w:rsidR="0088624C" w:rsidRPr="00F05339" w:rsidRDefault="0088624C" w:rsidP="006D4624">
            <w:pPr>
              <w:spacing w:after="0" w:line="240" w:lineRule="auto"/>
              <w:jc w:val="center"/>
              <w:rPr>
                <w:rFonts w:ascii="Arial" w:eastAsia="Times New Roman" w:hAnsi="Arial" w:cs="Arial"/>
                <w:b/>
                <w:bCs/>
                <w:color w:val="FFFFFF"/>
                <w:lang w:eastAsia="en-GB"/>
              </w:rPr>
            </w:pPr>
            <w:r w:rsidRPr="00F05339">
              <w:rPr>
                <w:rFonts w:ascii="Arial" w:eastAsia="Times New Roman" w:hAnsi="Arial" w:cs="Arial"/>
                <w:b/>
                <w:bCs/>
                <w:color w:val="FFFFFF"/>
                <w:lang w:eastAsia="en-GB"/>
              </w:rPr>
              <w:t>in EUR mil.</w:t>
            </w:r>
          </w:p>
        </w:tc>
      </w:tr>
      <w:tr w:rsidR="0088624C" w:rsidRPr="00F05339" w14:paraId="7F26D7F5" w14:textId="77777777" w:rsidTr="006D4624">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2D2508E3" w14:textId="77777777" w:rsidR="0088624C" w:rsidRPr="00F05339" w:rsidRDefault="0088624C" w:rsidP="006D4624">
            <w:pPr>
              <w:spacing w:after="0" w:line="240" w:lineRule="auto"/>
              <w:jc w:val="center"/>
              <w:rPr>
                <w:rFonts w:ascii="Arial" w:eastAsia="Times New Roman" w:hAnsi="Arial" w:cs="Arial"/>
                <w:color w:val="000000"/>
                <w:lang w:eastAsia="en-GB"/>
              </w:rPr>
            </w:pPr>
            <w:r w:rsidRPr="00F05339">
              <w:rPr>
                <w:rFonts w:ascii="Arial" w:eastAsia="Times New Roman" w:hAnsi="Arial" w:cs="Arial"/>
                <w:color w:val="000000"/>
                <w:lang w:eastAsia="en-GB"/>
              </w:rPr>
              <w:t>Call 2014</w:t>
            </w:r>
          </w:p>
        </w:tc>
        <w:tc>
          <w:tcPr>
            <w:tcW w:w="1260" w:type="dxa"/>
            <w:tcBorders>
              <w:top w:val="nil"/>
              <w:left w:val="nil"/>
              <w:bottom w:val="single" w:sz="4" w:space="0" w:color="auto"/>
              <w:right w:val="single" w:sz="4" w:space="0" w:color="auto"/>
            </w:tcBorders>
            <w:shd w:val="clear" w:color="auto" w:fill="auto"/>
            <w:vAlign w:val="center"/>
            <w:hideMark/>
          </w:tcPr>
          <w:p w14:paraId="00D2A56A" w14:textId="77777777" w:rsidR="0088624C" w:rsidRPr="00F05339" w:rsidRDefault="0088624C" w:rsidP="006D4624">
            <w:pPr>
              <w:spacing w:after="0" w:line="240" w:lineRule="auto"/>
              <w:jc w:val="center"/>
              <w:rPr>
                <w:rFonts w:ascii="Arial" w:eastAsia="Times New Roman" w:hAnsi="Arial" w:cs="Arial"/>
                <w:color w:val="000000"/>
                <w:lang w:eastAsia="en-GB"/>
              </w:rPr>
            </w:pPr>
            <w:r w:rsidRPr="00F05339">
              <w:rPr>
                <w:rFonts w:ascii="Arial" w:eastAsia="Times New Roman" w:hAnsi="Arial" w:cs="Arial"/>
                <w:color w:val="000000"/>
                <w:lang w:eastAsia="en-GB"/>
              </w:rPr>
              <w:t>15</w:t>
            </w:r>
          </w:p>
        </w:tc>
        <w:tc>
          <w:tcPr>
            <w:tcW w:w="1400" w:type="dxa"/>
            <w:tcBorders>
              <w:top w:val="nil"/>
              <w:left w:val="nil"/>
              <w:bottom w:val="single" w:sz="4" w:space="0" w:color="auto"/>
              <w:right w:val="single" w:sz="4" w:space="0" w:color="auto"/>
            </w:tcBorders>
            <w:shd w:val="clear" w:color="auto" w:fill="auto"/>
            <w:vAlign w:val="center"/>
            <w:hideMark/>
          </w:tcPr>
          <w:p w14:paraId="2C2088C9" w14:textId="77777777" w:rsidR="0088624C" w:rsidRPr="00F05339" w:rsidRDefault="0088624C" w:rsidP="006D4624">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80.09</w:t>
            </w:r>
          </w:p>
        </w:tc>
        <w:tc>
          <w:tcPr>
            <w:tcW w:w="1800" w:type="dxa"/>
            <w:tcBorders>
              <w:top w:val="nil"/>
              <w:left w:val="nil"/>
              <w:bottom w:val="single" w:sz="4" w:space="0" w:color="auto"/>
              <w:right w:val="single" w:sz="4" w:space="0" w:color="auto"/>
            </w:tcBorders>
            <w:shd w:val="clear" w:color="auto" w:fill="auto"/>
            <w:vAlign w:val="center"/>
            <w:hideMark/>
          </w:tcPr>
          <w:p w14:paraId="772C401D" w14:textId="77777777" w:rsidR="0088624C" w:rsidRPr="00F05339" w:rsidRDefault="0088624C" w:rsidP="006D4624">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32.82</w:t>
            </w:r>
          </w:p>
        </w:tc>
        <w:tc>
          <w:tcPr>
            <w:tcW w:w="1780" w:type="dxa"/>
            <w:tcBorders>
              <w:top w:val="nil"/>
              <w:left w:val="nil"/>
              <w:bottom w:val="single" w:sz="4" w:space="0" w:color="auto"/>
              <w:right w:val="single" w:sz="4" w:space="0" w:color="auto"/>
            </w:tcBorders>
            <w:shd w:val="clear" w:color="auto" w:fill="auto"/>
            <w:vAlign w:val="center"/>
            <w:hideMark/>
          </w:tcPr>
          <w:p w14:paraId="77A48D9C" w14:textId="77777777" w:rsidR="0088624C" w:rsidRPr="00F05339" w:rsidRDefault="0088624C" w:rsidP="006D4624">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14.40</w:t>
            </w:r>
          </w:p>
        </w:tc>
        <w:tc>
          <w:tcPr>
            <w:tcW w:w="1520" w:type="dxa"/>
            <w:tcBorders>
              <w:top w:val="nil"/>
              <w:left w:val="nil"/>
              <w:bottom w:val="single" w:sz="4" w:space="0" w:color="auto"/>
              <w:right w:val="single" w:sz="4" w:space="0" w:color="auto"/>
            </w:tcBorders>
            <w:shd w:val="clear" w:color="auto" w:fill="auto"/>
            <w:vAlign w:val="center"/>
            <w:hideMark/>
          </w:tcPr>
          <w:p w14:paraId="7ED97FA5" w14:textId="77777777" w:rsidR="0088624C" w:rsidRPr="00F05339" w:rsidRDefault="0088624C" w:rsidP="006D4624">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47.22</w:t>
            </w:r>
          </w:p>
        </w:tc>
        <w:tc>
          <w:tcPr>
            <w:tcW w:w="1560" w:type="dxa"/>
            <w:tcBorders>
              <w:top w:val="nil"/>
              <w:left w:val="nil"/>
              <w:bottom w:val="single" w:sz="4" w:space="0" w:color="auto"/>
              <w:right w:val="single" w:sz="4" w:space="0" w:color="auto"/>
            </w:tcBorders>
            <w:shd w:val="clear" w:color="auto" w:fill="auto"/>
            <w:vAlign w:val="center"/>
            <w:hideMark/>
          </w:tcPr>
          <w:p w14:paraId="7902E562" w14:textId="77777777" w:rsidR="0088624C" w:rsidRPr="00F05339" w:rsidRDefault="0088624C" w:rsidP="006D4624">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127.31</w:t>
            </w:r>
          </w:p>
        </w:tc>
      </w:tr>
      <w:tr w:rsidR="0088624C" w:rsidRPr="00F05339" w14:paraId="581C76E9" w14:textId="77777777" w:rsidTr="006D4624">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1037DFD9" w14:textId="77777777" w:rsidR="0088624C" w:rsidRPr="00F05339" w:rsidRDefault="0088624C" w:rsidP="006D4624">
            <w:pPr>
              <w:spacing w:after="0" w:line="240" w:lineRule="auto"/>
              <w:jc w:val="center"/>
              <w:rPr>
                <w:rFonts w:ascii="Arial" w:eastAsia="Times New Roman" w:hAnsi="Arial" w:cs="Arial"/>
                <w:color w:val="000000"/>
                <w:lang w:eastAsia="en-GB"/>
              </w:rPr>
            </w:pPr>
            <w:r w:rsidRPr="00F05339">
              <w:rPr>
                <w:rFonts w:ascii="Arial" w:eastAsia="Times New Roman" w:hAnsi="Arial" w:cs="Arial"/>
                <w:color w:val="000000"/>
                <w:lang w:eastAsia="en-GB"/>
              </w:rPr>
              <w:t>Call 2015</w:t>
            </w:r>
          </w:p>
        </w:tc>
        <w:tc>
          <w:tcPr>
            <w:tcW w:w="1260" w:type="dxa"/>
            <w:tcBorders>
              <w:top w:val="nil"/>
              <w:left w:val="nil"/>
              <w:bottom w:val="single" w:sz="4" w:space="0" w:color="auto"/>
              <w:right w:val="single" w:sz="4" w:space="0" w:color="auto"/>
            </w:tcBorders>
            <w:shd w:val="clear" w:color="auto" w:fill="auto"/>
            <w:vAlign w:val="center"/>
            <w:hideMark/>
          </w:tcPr>
          <w:p w14:paraId="4A933577" w14:textId="77777777" w:rsidR="0088624C" w:rsidRPr="00F05339" w:rsidRDefault="0088624C" w:rsidP="006D4624">
            <w:pPr>
              <w:spacing w:after="0" w:line="240" w:lineRule="auto"/>
              <w:jc w:val="center"/>
              <w:rPr>
                <w:rFonts w:ascii="Arial" w:eastAsia="Times New Roman" w:hAnsi="Arial" w:cs="Arial"/>
                <w:color w:val="000000"/>
                <w:lang w:eastAsia="en-GB"/>
              </w:rPr>
            </w:pPr>
            <w:r w:rsidRPr="00F05339">
              <w:rPr>
                <w:rFonts w:ascii="Arial" w:eastAsia="Times New Roman" w:hAnsi="Arial" w:cs="Arial"/>
                <w:color w:val="000000"/>
                <w:lang w:eastAsia="en-GB"/>
              </w:rPr>
              <w:t>15</w:t>
            </w:r>
          </w:p>
        </w:tc>
        <w:tc>
          <w:tcPr>
            <w:tcW w:w="1400" w:type="dxa"/>
            <w:tcBorders>
              <w:top w:val="nil"/>
              <w:left w:val="nil"/>
              <w:bottom w:val="single" w:sz="4" w:space="0" w:color="auto"/>
              <w:right w:val="single" w:sz="4" w:space="0" w:color="auto"/>
            </w:tcBorders>
            <w:shd w:val="clear" w:color="auto" w:fill="auto"/>
            <w:vAlign w:val="center"/>
            <w:hideMark/>
          </w:tcPr>
          <w:p w14:paraId="0C76E176" w14:textId="77777777" w:rsidR="0088624C" w:rsidRPr="00F05339" w:rsidRDefault="0088624C" w:rsidP="006D4624">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107.31</w:t>
            </w:r>
          </w:p>
        </w:tc>
        <w:tc>
          <w:tcPr>
            <w:tcW w:w="1800" w:type="dxa"/>
            <w:tcBorders>
              <w:top w:val="nil"/>
              <w:left w:val="nil"/>
              <w:bottom w:val="single" w:sz="4" w:space="0" w:color="auto"/>
              <w:right w:val="single" w:sz="4" w:space="0" w:color="auto"/>
            </w:tcBorders>
            <w:shd w:val="clear" w:color="auto" w:fill="auto"/>
            <w:vAlign w:val="center"/>
            <w:hideMark/>
          </w:tcPr>
          <w:p w14:paraId="47B42D6E" w14:textId="77777777" w:rsidR="0088624C" w:rsidRPr="00F05339" w:rsidRDefault="0088624C" w:rsidP="006D4624">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58.50</w:t>
            </w:r>
          </w:p>
        </w:tc>
        <w:tc>
          <w:tcPr>
            <w:tcW w:w="1780" w:type="dxa"/>
            <w:tcBorders>
              <w:top w:val="nil"/>
              <w:left w:val="nil"/>
              <w:bottom w:val="single" w:sz="4" w:space="0" w:color="auto"/>
              <w:right w:val="single" w:sz="4" w:space="0" w:color="auto"/>
            </w:tcBorders>
            <w:shd w:val="clear" w:color="auto" w:fill="auto"/>
            <w:vAlign w:val="center"/>
            <w:hideMark/>
          </w:tcPr>
          <w:p w14:paraId="663FAC53" w14:textId="77777777" w:rsidR="0088624C" w:rsidRPr="00F05339" w:rsidRDefault="0088624C" w:rsidP="006D4624">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61.44</w:t>
            </w:r>
          </w:p>
        </w:tc>
        <w:tc>
          <w:tcPr>
            <w:tcW w:w="1520" w:type="dxa"/>
            <w:tcBorders>
              <w:top w:val="nil"/>
              <w:left w:val="nil"/>
              <w:bottom w:val="single" w:sz="4" w:space="0" w:color="auto"/>
              <w:right w:val="single" w:sz="4" w:space="0" w:color="auto"/>
            </w:tcBorders>
            <w:shd w:val="clear" w:color="auto" w:fill="auto"/>
            <w:vAlign w:val="center"/>
            <w:hideMark/>
          </w:tcPr>
          <w:p w14:paraId="33C2E46A" w14:textId="77777777" w:rsidR="0088624C" w:rsidRPr="00F05339" w:rsidRDefault="0088624C" w:rsidP="006D4624">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119.94</w:t>
            </w:r>
          </w:p>
        </w:tc>
        <w:tc>
          <w:tcPr>
            <w:tcW w:w="1560" w:type="dxa"/>
            <w:tcBorders>
              <w:top w:val="nil"/>
              <w:left w:val="nil"/>
              <w:bottom w:val="single" w:sz="4" w:space="0" w:color="auto"/>
              <w:right w:val="single" w:sz="4" w:space="0" w:color="auto"/>
            </w:tcBorders>
            <w:shd w:val="clear" w:color="auto" w:fill="auto"/>
            <w:vAlign w:val="center"/>
            <w:hideMark/>
          </w:tcPr>
          <w:p w14:paraId="56C17E70" w14:textId="77777777" w:rsidR="0088624C" w:rsidRPr="00F05339" w:rsidRDefault="0088624C" w:rsidP="006D4624">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227.25</w:t>
            </w:r>
          </w:p>
        </w:tc>
      </w:tr>
      <w:tr w:rsidR="0088624C" w:rsidRPr="00F05339" w14:paraId="2245762A" w14:textId="77777777" w:rsidTr="006D4624">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570ABBE2" w14:textId="77777777" w:rsidR="0088624C" w:rsidRPr="00F05339" w:rsidRDefault="0088624C" w:rsidP="006D4624">
            <w:pPr>
              <w:spacing w:after="0" w:line="240" w:lineRule="auto"/>
              <w:jc w:val="center"/>
              <w:rPr>
                <w:rFonts w:ascii="Arial" w:eastAsia="Times New Roman" w:hAnsi="Arial" w:cs="Arial"/>
                <w:color w:val="000000"/>
                <w:lang w:eastAsia="en-GB"/>
              </w:rPr>
            </w:pPr>
            <w:r w:rsidRPr="00F05339">
              <w:rPr>
                <w:rFonts w:ascii="Arial" w:eastAsia="Times New Roman" w:hAnsi="Arial" w:cs="Arial"/>
                <w:color w:val="000000"/>
                <w:lang w:eastAsia="en-GB"/>
              </w:rPr>
              <w:lastRenderedPageBreak/>
              <w:t>Call 2016</w:t>
            </w:r>
          </w:p>
        </w:tc>
        <w:tc>
          <w:tcPr>
            <w:tcW w:w="1260" w:type="dxa"/>
            <w:tcBorders>
              <w:top w:val="nil"/>
              <w:left w:val="nil"/>
              <w:bottom w:val="single" w:sz="4" w:space="0" w:color="auto"/>
              <w:right w:val="single" w:sz="4" w:space="0" w:color="auto"/>
            </w:tcBorders>
            <w:shd w:val="clear" w:color="auto" w:fill="auto"/>
            <w:vAlign w:val="center"/>
            <w:hideMark/>
          </w:tcPr>
          <w:p w14:paraId="51D6B4E0" w14:textId="77777777" w:rsidR="0088624C" w:rsidRPr="00F05339" w:rsidRDefault="0088624C" w:rsidP="006D4624">
            <w:pPr>
              <w:spacing w:after="0" w:line="240" w:lineRule="auto"/>
              <w:jc w:val="center"/>
              <w:rPr>
                <w:rFonts w:ascii="Arial" w:eastAsia="Times New Roman" w:hAnsi="Arial" w:cs="Arial"/>
                <w:color w:val="000000"/>
                <w:lang w:eastAsia="en-GB"/>
              </w:rPr>
            </w:pPr>
            <w:r w:rsidRPr="00F05339">
              <w:rPr>
                <w:rFonts w:ascii="Arial" w:eastAsia="Times New Roman" w:hAnsi="Arial" w:cs="Arial"/>
                <w:color w:val="000000"/>
                <w:lang w:eastAsia="en-GB"/>
              </w:rPr>
              <w:t>19</w:t>
            </w:r>
          </w:p>
        </w:tc>
        <w:tc>
          <w:tcPr>
            <w:tcW w:w="1400" w:type="dxa"/>
            <w:tcBorders>
              <w:top w:val="nil"/>
              <w:left w:val="nil"/>
              <w:bottom w:val="single" w:sz="4" w:space="0" w:color="auto"/>
              <w:right w:val="single" w:sz="4" w:space="0" w:color="auto"/>
            </w:tcBorders>
            <w:shd w:val="clear" w:color="auto" w:fill="auto"/>
            <w:vAlign w:val="center"/>
            <w:hideMark/>
          </w:tcPr>
          <w:p w14:paraId="34E5E52B" w14:textId="77777777" w:rsidR="0088624C" w:rsidRPr="00F05339" w:rsidRDefault="0088624C" w:rsidP="006D4624">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87.98</w:t>
            </w:r>
          </w:p>
        </w:tc>
        <w:tc>
          <w:tcPr>
            <w:tcW w:w="1800" w:type="dxa"/>
            <w:tcBorders>
              <w:top w:val="nil"/>
              <w:left w:val="nil"/>
              <w:bottom w:val="single" w:sz="4" w:space="0" w:color="auto"/>
              <w:right w:val="single" w:sz="4" w:space="0" w:color="auto"/>
            </w:tcBorders>
            <w:shd w:val="clear" w:color="auto" w:fill="auto"/>
            <w:vAlign w:val="center"/>
            <w:hideMark/>
          </w:tcPr>
          <w:p w14:paraId="72957CC2" w14:textId="77777777" w:rsidR="0088624C" w:rsidRPr="00F05339" w:rsidRDefault="0088624C" w:rsidP="006D4624">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6.44</w:t>
            </w:r>
          </w:p>
        </w:tc>
        <w:tc>
          <w:tcPr>
            <w:tcW w:w="1780" w:type="dxa"/>
            <w:tcBorders>
              <w:top w:val="nil"/>
              <w:left w:val="nil"/>
              <w:bottom w:val="single" w:sz="4" w:space="0" w:color="auto"/>
              <w:right w:val="single" w:sz="4" w:space="0" w:color="auto"/>
            </w:tcBorders>
            <w:shd w:val="clear" w:color="auto" w:fill="auto"/>
            <w:vAlign w:val="center"/>
            <w:hideMark/>
          </w:tcPr>
          <w:p w14:paraId="6BE00C05" w14:textId="77777777" w:rsidR="0088624C" w:rsidRPr="00F05339" w:rsidRDefault="0088624C" w:rsidP="006D4624">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81.33</w:t>
            </w:r>
          </w:p>
        </w:tc>
        <w:tc>
          <w:tcPr>
            <w:tcW w:w="1520" w:type="dxa"/>
            <w:tcBorders>
              <w:top w:val="nil"/>
              <w:left w:val="nil"/>
              <w:bottom w:val="single" w:sz="4" w:space="0" w:color="auto"/>
              <w:right w:val="single" w:sz="4" w:space="0" w:color="auto"/>
            </w:tcBorders>
            <w:shd w:val="clear" w:color="auto" w:fill="auto"/>
            <w:vAlign w:val="center"/>
            <w:hideMark/>
          </w:tcPr>
          <w:p w14:paraId="0D3A0B3D" w14:textId="77777777" w:rsidR="0088624C" w:rsidRPr="00F05339" w:rsidRDefault="0088624C" w:rsidP="006D4624">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87.77</w:t>
            </w:r>
          </w:p>
        </w:tc>
        <w:tc>
          <w:tcPr>
            <w:tcW w:w="1560" w:type="dxa"/>
            <w:tcBorders>
              <w:top w:val="nil"/>
              <w:left w:val="nil"/>
              <w:bottom w:val="single" w:sz="4" w:space="0" w:color="auto"/>
              <w:right w:val="single" w:sz="4" w:space="0" w:color="auto"/>
            </w:tcBorders>
            <w:shd w:val="clear" w:color="auto" w:fill="auto"/>
            <w:vAlign w:val="center"/>
            <w:hideMark/>
          </w:tcPr>
          <w:p w14:paraId="06CDDA89" w14:textId="77777777" w:rsidR="0088624C" w:rsidRPr="00F05339" w:rsidRDefault="0088624C" w:rsidP="006D4624">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175.76</w:t>
            </w:r>
          </w:p>
        </w:tc>
      </w:tr>
      <w:tr w:rsidR="0088624C" w:rsidRPr="00F05339" w14:paraId="059B2A3B" w14:textId="77777777" w:rsidTr="006D4624">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5DD2EC2B" w14:textId="77777777" w:rsidR="0088624C" w:rsidRPr="00F05339" w:rsidRDefault="0088624C" w:rsidP="006D4624">
            <w:pPr>
              <w:spacing w:after="0" w:line="240" w:lineRule="auto"/>
              <w:jc w:val="center"/>
              <w:rPr>
                <w:rFonts w:ascii="Arial" w:eastAsia="Times New Roman" w:hAnsi="Arial" w:cs="Arial"/>
                <w:color w:val="000000"/>
                <w:lang w:eastAsia="en-GB"/>
              </w:rPr>
            </w:pPr>
            <w:r w:rsidRPr="00F05339">
              <w:rPr>
                <w:rFonts w:ascii="Arial" w:eastAsia="Times New Roman" w:hAnsi="Arial" w:cs="Arial"/>
                <w:color w:val="000000"/>
                <w:lang w:eastAsia="en-GB"/>
              </w:rPr>
              <w:t>Call 2017</w:t>
            </w:r>
          </w:p>
        </w:tc>
        <w:tc>
          <w:tcPr>
            <w:tcW w:w="1260" w:type="dxa"/>
            <w:tcBorders>
              <w:top w:val="nil"/>
              <w:left w:val="nil"/>
              <w:bottom w:val="single" w:sz="4" w:space="0" w:color="auto"/>
              <w:right w:val="single" w:sz="4" w:space="0" w:color="auto"/>
            </w:tcBorders>
            <w:shd w:val="clear" w:color="auto" w:fill="auto"/>
            <w:vAlign w:val="center"/>
            <w:hideMark/>
          </w:tcPr>
          <w:p w14:paraId="7FBB0F53" w14:textId="77777777" w:rsidR="0088624C" w:rsidRPr="00F05339" w:rsidRDefault="0088624C" w:rsidP="006D4624">
            <w:pPr>
              <w:spacing w:after="0" w:line="240" w:lineRule="auto"/>
              <w:jc w:val="center"/>
              <w:rPr>
                <w:rFonts w:ascii="Arial" w:eastAsia="Times New Roman" w:hAnsi="Arial" w:cs="Arial"/>
                <w:color w:val="000000"/>
                <w:lang w:eastAsia="en-GB"/>
              </w:rPr>
            </w:pPr>
            <w:r w:rsidRPr="00F05339">
              <w:rPr>
                <w:rFonts w:ascii="Arial" w:eastAsia="Times New Roman" w:hAnsi="Arial" w:cs="Arial"/>
                <w:color w:val="000000"/>
                <w:lang w:eastAsia="en-GB"/>
              </w:rPr>
              <w:t>24</w:t>
            </w:r>
          </w:p>
        </w:tc>
        <w:tc>
          <w:tcPr>
            <w:tcW w:w="1400" w:type="dxa"/>
            <w:tcBorders>
              <w:top w:val="nil"/>
              <w:left w:val="nil"/>
              <w:bottom w:val="single" w:sz="4" w:space="0" w:color="auto"/>
              <w:right w:val="single" w:sz="4" w:space="0" w:color="auto"/>
            </w:tcBorders>
            <w:shd w:val="clear" w:color="auto" w:fill="auto"/>
            <w:vAlign w:val="center"/>
            <w:hideMark/>
          </w:tcPr>
          <w:p w14:paraId="4647DDF6" w14:textId="77777777" w:rsidR="0088624C" w:rsidRPr="00F05339" w:rsidRDefault="0088624C" w:rsidP="006D4624">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113.09</w:t>
            </w:r>
          </w:p>
        </w:tc>
        <w:tc>
          <w:tcPr>
            <w:tcW w:w="1800" w:type="dxa"/>
            <w:tcBorders>
              <w:top w:val="nil"/>
              <w:left w:val="nil"/>
              <w:bottom w:val="single" w:sz="4" w:space="0" w:color="auto"/>
              <w:right w:val="single" w:sz="4" w:space="0" w:color="auto"/>
            </w:tcBorders>
            <w:shd w:val="clear" w:color="auto" w:fill="auto"/>
            <w:vAlign w:val="center"/>
            <w:hideMark/>
          </w:tcPr>
          <w:p w14:paraId="4E1AF51E" w14:textId="77777777" w:rsidR="0088624C" w:rsidRPr="00F05339" w:rsidRDefault="0088624C" w:rsidP="006D4624">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12.19</w:t>
            </w:r>
          </w:p>
        </w:tc>
        <w:tc>
          <w:tcPr>
            <w:tcW w:w="1780" w:type="dxa"/>
            <w:tcBorders>
              <w:top w:val="nil"/>
              <w:left w:val="nil"/>
              <w:bottom w:val="single" w:sz="4" w:space="0" w:color="auto"/>
              <w:right w:val="single" w:sz="4" w:space="0" w:color="auto"/>
            </w:tcBorders>
            <w:shd w:val="clear" w:color="auto" w:fill="auto"/>
            <w:vAlign w:val="center"/>
            <w:hideMark/>
          </w:tcPr>
          <w:p w14:paraId="7B3A5610" w14:textId="77777777" w:rsidR="0088624C" w:rsidRPr="00F05339" w:rsidRDefault="0088624C" w:rsidP="006D4624">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106.38</w:t>
            </w:r>
          </w:p>
        </w:tc>
        <w:tc>
          <w:tcPr>
            <w:tcW w:w="1520" w:type="dxa"/>
            <w:tcBorders>
              <w:top w:val="nil"/>
              <w:left w:val="nil"/>
              <w:bottom w:val="single" w:sz="4" w:space="0" w:color="auto"/>
              <w:right w:val="single" w:sz="4" w:space="0" w:color="auto"/>
            </w:tcBorders>
            <w:shd w:val="clear" w:color="auto" w:fill="auto"/>
            <w:vAlign w:val="center"/>
            <w:hideMark/>
          </w:tcPr>
          <w:p w14:paraId="08049FAC" w14:textId="77777777" w:rsidR="0088624C" w:rsidRPr="00F05339" w:rsidRDefault="0088624C" w:rsidP="006D4624">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118.57</w:t>
            </w:r>
          </w:p>
        </w:tc>
        <w:tc>
          <w:tcPr>
            <w:tcW w:w="1560" w:type="dxa"/>
            <w:tcBorders>
              <w:top w:val="nil"/>
              <w:left w:val="nil"/>
              <w:bottom w:val="single" w:sz="4" w:space="0" w:color="auto"/>
              <w:right w:val="single" w:sz="4" w:space="0" w:color="auto"/>
            </w:tcBorders>
            <w:shd w:val="clear" w:color="auto" w:fill="auto"/>
            <w:vAlign w:val="center"/>
            <w:hideMark/>
          </w:tcPr>
          <w:p w14:paraId="346E46B4" w14:textId="77777777" w:rsidR="0088624C" w:rsidRPr="00F05339" w:rsidRDefault="0088624C" w:rsidP="006D4624">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231.65</w:t>
            </w:r>
          </w:p>
        </w:tc>
      </w:tr>
      <w:tr w:rsidR="0088624C" w:rsidRPr="00F05339" w14:paraId="1574D5F8" w14:textId="77777777" w:rsidTr="006D4624">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2CAFCDCF" w14:textId="77777777" w:rsidR="0088624C" w:rsidRPr="00F05339" w:rsidRDefault="0088624C" w:rsidP="006D4624">
            <w:pPr>
              <w:spacing w:after="0" w:line="240" w:lineRule="auto"/>
              <w:jc w:val="center"/>
              <w:rPr>
                <w:rFonts w:ascii="Arial" w:eastAsia="Times New Roman" w:hAnsi="Arial" w:cs="Arial"/>
                <w:color w:val="000000"/>
                <w:lang w:eastAsia="en-GB"/>
              </w:rPr>
            </w:pPr>
            <w:r w:rsidRPr="00F05339">
              <w:rPr>
                <w:rFonts w:ascii="Arial" w:eastAsia="Times New Roman" w:hAnsi="Arial" w:cs="Arial"/>
                <w:color w:val="000000"/>
                <w:lang w:eastAsia="en-GB"/>
              </w:rPr>
              <w:t>Call 2018</w:t>
            </w:r>
          </w:p>
        </w:tc>
        <w:tc>
          <w:tcPr>
            <w:tcW w:w="1260" w:type="dxa"/>
            <w:tcBorders>
              <w:top w:val="nil"/>
              <w:left w:val="nil"/>
              <w:bottom w:val="single" w:sz="4" w:space="0" w:color="auto"/>
              <w:right w:val="single" w:sz="4" w:space="0" w:color="auto"/>
            </w:tcBorders>
            <w:shd w:val="clear" w:color="auto" w:fill="auto"/>
            <w:vAlign w:val="center"/>
            <w:hideMark/>
          </w:tcPr>
          <w:p w14:paraId="6F7756C3" w14:textId="77777777" w:rsidR="0088624C" w:rsidRPr="00F05339" w:rsidRDefault="0088624C" w:rsidP="006D4624">
            <w:pPr>
              <w:spacing w:after="0" w:line="240" w:lineRule="auto"/>
              <w:jc w:val="center"/>
              <w:rPr>
                <w:rFonts w:ascii="Arial" w:eastAsia="Times New Roman" w:hAnsi="Arial" w:cs="Arial"/>
                <w:color w:val="000000"/>
                <w:lang w:eastAsia="en-GB"/>
              </w:rPr>
            </w:pPr>
            <w:r w:rsidRPr="00F05339">
              <w:rPr>
                <w:rFonts w:ascii="Arial" w:eastAsia="Times New Roman" w:hAnsi="Arial" w:cs="Arial"/>
                <w:color w:val="000000"/>
                <w:lang w:eastAsia="en-GB"/>
              </w:rPr>
              <w:t>19</w:t>
            </w:r>
          </w:p>
        </w:tc>
        <w:tc>
          <w:tcPr>
            <w:tcW w:w="1400" w:type="dxa"/>
            <w:tcBorders>
              <w:top w:val="nil"/>
              <w:left w:val="nil"/>
              <w:bottom w:val="single" w:sz="4" w:space="0" w:color="auto"/>
              <w:right w:val="single" w:sz="4" w:space="0" w:color="auto"/>
            </w:tcBorders>
            <w:shd w:val="clear" w:color="auto" w:fill="auto"/>
            <w:vAlign w:val="center"/>
            <w:hideMark/>
          </w:tcPr>
          <w:p w14:paraId="50486B81" w14:textId="77777777" w:rsidR="0088624C" w:rsidRPr="00F05339" w:rsidRDefault="0088624C" w:rsidP="006D4624">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71.61</w:t>
            </w:r>
          </w:p>
        </w:tc>
        <w:tc>
          <w:tcPr>
            <w:tcW w:w="1800" w:type="dxa"/>
            <w:tcBorders>
              <w:top w:val="nil"/>
              <w:left w:val="nil"/>
              <w:bottom w:val="single" w:sz="4" w:space="0" w:color="auto"/>
              <w:right w:val="single" w:sz="4" w:space="0" w:color="auto"/>
            </w:tcBorders>
            <w:shd w:val="clear" w:color="auto" w:fill="auto"/>
            <w:vAlign w:val="center"/>
            <w:hideMark/>
          </w:tcPr>
          <w:p w14:paraId="055106AA" w14:textId="77777777" w:rsidR="0088624C" w:rsidRPr="00F05339" w:rsidRDefault="0088624C" w:rsidP="006D4624">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14.26</w:t>
            </w:r>
          </w:p>
        </w:tc>
        <w:tc>
          <w:tcPr>
            <w:tcW w:w="1780" w:type="dxa"/>
            <w:tcBorders>
              <w:top w:val="nil"/>
              <w:left w:val="nil"/>
              <w:bottom w:val="single" w:sz="4" w:space="0" w:color="auto"/>
              <w:right w:val="single" w:sz="4" w:space="0" w:color="auto"/>
            </w:tcBorders>
            <w:shd w:val="clear" w:color="auto" w:fill="auto"/>
            <w:vAlign w:val="center"/>
            <w:hideMark/>
          </w:tcPr>
          <w:p w14:paraId="10795039" w14:textId="77777777" w:rsidR="0088624C" w:rsidRPr="00F05339" w:rsidRDefault="0088624C" w:rsidP="006D4624">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38.47</w:t>
            </w:r>
          </w:p>
        </w:tc>
        <w:tc>
          <w:tcPr>
            <w:tcW w:w="1520" w:type="dxa"/>
            <w:tcBorders>
              <w:top w:val="nil"/>
              <w:left w:val="nil"/>
              <w:bottom w:val="single" w:sz="4" w:space="0" w:color="auto"/>
              <w:right w:val="single" w:sz="4" w:space="0" w:color="auto"/>
            </w:tcBorders>
            <w:shd w:val="clear" w:color="auto" w:fill="auto"/>
            <w:vAlign w:val="center"/>
            <w:hideMark/>
          </w:tcPr>
          <w:p w14:paraId="1907517B" w14:textId="77777777" w:rsidR="0088624C" w:rsidRPr="00F05339" w:rsidRDefault="0088624C" w:rsidP="006D4624">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52.73</w:t>
            </w:r>
          </w:p>
        </w:tc>
        <w:tc>
          <w:tcPr>
            <w:tcW w:w="1560" w:type="dxa"/>
            <w:tcBorders>
              <w:top w:val="nil"/>
              <w:left w:val="nil"/>
              <w:bottom w:val="single" w:sz="4" w:space="0" w:color="auto"/>
              <w:right w:val="single" w:sz="4" w:space="0" w:color="auto"/>
            </w:tcBorders>
            <w:shd w:val="clear" w:color="auto" w:fill="auto"/>
            <w:vAlign w:val="center"/>
            <w:hideMark/>
          </w:tcPr>
          <w:p w14:paraId="48CDAD0E" w14:textId="77777777" w:rsidR="0088624C" w:rsidRPr="00F05339" w:rsidRDefault="0088624C" w:rsidP="006D4624">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124.33</w:t>
            </w:r>
          </w:p>
        </w:tc>
      </w:tr>
      <w:tr w:rsidR="0088624C" w:rsidRPr="00F05339" w14:paraId="54E09596" w14:textId="77777777" w:rsidTr="006D4624">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3E414371" w14:textId="77777777" w:rsidR="0088624C" w:rsidRPr="00F05339" w:rsidRDefault="0088624C" w:rsidP="006D4624">
            <w:pPr>
              <w:spacing w:after="0" w:line="240" w:lineRule="auto"/>
              <w:jc w:val="center"/>
              <w:rPr>
                <w:rFonts w:ascii="Arial" w:eastAsia="Times New Roman" w:hAnsi="Arial" w:cs="Arial"/>
                <w:color w:val="000000"/>
                <w:lang w:eastAsia="en-GB"/>
              </w:rPr>
            </w:pPr>
            <w:r w:rsidRPr="00F05339">
              <w:rPr>
                <w:rFonts w:ascii="Arial" w:eastAsia="Times New Roman" w:hAnsi="Arial" w:cs="Arial"/>
                <w:color w:val="000000"/>
                <w:lang w:eastAsia="en-GB"/>
              </w:rPr>
              <w:t>Call 2019</w:t>
            </w:r>
          </w:p>
        </w:tc>
        <w:tc>
          <w:tcPr>
            <w:tcW w:w="1260" w:type="dxa"/>
            <w:tcBorders>
              <w:top w:val="nil"/>
              <w:left w:val="nil"/>
              <w:bottom w:val="single" w:sz="4" w:space="0" w:color="auto"/>
              <w:right w:val="single" w:sz="4" w:space="0" w:color="auto"/>
            </w:tcBorders>
            <w:shd w:val="clear" w:color="auto" w:fill="auto"/>
            <w:vAlign w:val="center"/>
            <w:hideMark/>
          </w:tcPr>
          <w:p w14:paraId="68C5104D" w14:textId="77777777" w:rsidR="0088624C" w:rsidRPr="00F05339" w:rsidRDefault="0088624C" w:rsidP="006D4624">
            <w:pPr>
              <w:spacing w:after="0" w:line="240" w:lineRule="auto"/>
              <w:jc w:val="center"/>
              <w:rPr>
                <w:rFonts w:ascii="Arial" w:eastAsia="Times New Roman" w:hAnsi="Arial" w:cs="Arial"/>
                <w:color w:val="000000"/>
                <w:lang w:eastAsia="en-GB"/>
              </w:rPr>
            </w:pPr>
            <w:r w:rsidRPr="00F05339">
              <w:rPr>
                <w:rFonts w:ascii="Arial" w:eastAsia="Times New Roman" w:hAnsi="Arial" w:cs="Arial"/>
                <w:color w:val="000000"/>
                <w:lang w:eastAsia="en-GB"/>
              </w:rPr>
              <w:t>17</w:t>
            </w:r>
          </w:p>
        </w:tc>
        <w:tc>
          <w:tcPr>
            <w:tcW w:w="1400" w:type="dxa"/>
            <w:tcBorders>
              <w:top w:val="nil"/>
              <w:left w:val="nil"/>
              <w:bottom w:val="single" w:sz="4" w:space="0" w:color="auto"/>
              <w:right w:val="single" w:sz="4" w:space="0" w:color="auto"/>
            </w:tcBorders>
            <w:shd w:val="clear" w:color="auto" w:fill="auto"/>
            <w:vAlign w:val="center"/>
            <w:hideMark/>
          </w:tcPr>
          <w:p w14:paraId="6B0F5A66" w14:textId="77777777" w:rsidR="0088624C" w:rsidRPr="00F05339" w:rsidRDefault="0088624C" w:rsidP="006D4624">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69.13</w:t>
            </w:r>
          </w:p>
        </w:tc>
        <w:tc>
          <w:tcPr>
            <w:tcW w:w="1800" w:type="dxa"/>
            <w:tcBorders>
              <w:top w:val="nil"/>
              <w:left w:val="nil"/>
              <w:bottom w:val="single" w:sz="4" w:space="0" w:color="auto"/>
              <w:right w:val="single" w:sz="4" w:space="0" w:color="auto"/>
            </w:tcBorders>
            <w:shd w:val="clear" w:color="auto" w:fill="auto"/>
            <w:vAlign w:val="center"/>
            <w:hideMark/>
          </w:tcPr>
          <w:p w14:paraId="470BE1A2" w14:textId="77777777" w:rsidR="0088624C" w:rsidRPr="00F05339" w:rsidRDefault="0088624C" w:rsidP="006D4624">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15.24</w:t>
            </w:r>
          </w:p>
        </w:tc>
        <w:tc>
          <w:tcPr>
            <w:tcW w:w="1780" w:type="dxa"/>
            <w:tcBorders>
              <w:top w:val="nil"/>
              <w:left w:val="nil"/>
              <w:bottom w:val="single" w:sz="4" w:space="0" w:color="auto"/>
              <w:right w:val="single" w:sz="4" w:space="0" w:color="auto"/>
            </w:tcBorders>
            <w:shd w:val="clear" w:color="auto" w:fill="auto"/>
            <w:vAlign w:val="center"/>
            <w:hideMark/>
          </w:tcPr>
          <w:p w14:paraId="2DDBD0F4" w14:textId="77777777" w:rsidR="0088624C" w:rsidRPr="00F05339" w:rsidRDefault="0088624C" w:rsidP="006D4624">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70.26</w:t>
            </w:r>
          </w:p>
        </w:tc>
        <w:tc>
          <w:tcPr>
            <w:tcW w:w="1520" w:type="dxa"/>
            <w:tcBorders>
              <w:top w:val="nil"/>
              <w:left w:val="nil"/>
              <w:bottom w:val="single" w:sz="4" w:space="0" w:color="auto"/>
              <w:right w:val="single" w:sz="4" w:space="0" w:color="auto"/>
            </w:tcBorders>
            <w:shd w:val="clear" w:color="auto" w:fill="auto"/>
            <w:vAlign w:val="center"/>
            <w:hideMark/>
          </w:tcPr>
          <w:p w14:paraId="64EBF6F5" w14:textId="77777777" w:rsidR="0088624C" w:rsidRPr="00F05339" w:rsidRDefault="0088624C" w:rsidP="006D4624">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85.51</w:t>
            </w:r>
          </w:p>
        </w:tc>
        <w:tc>
          <w:tcPr>
            <w:tcW w:w="1560" w:type="dxa"/>
            <w:tcBorders>
              <w:top w:val="nil"/>
              <w:left w:val="nil"/>
              <w:bottom w:val="single" w:sz="4" w:space="0" w:color="auto"/>
              <w:right w:val="single" w:sz="4" w:space="0" w:color="auto"/>
            </w:tcBorders>
            <w:shd w:val="clear" w:color="auto" w:fill="auto"/>
            <w:vAlign w:val="center"/>
            <w:hideMark/>
          </w:tcPr>
          <w:p w14:paraId="4B6DF86F" w14:textId="77777777" w:rsidR="0088624C" w:rsidRPr="00F05339" w:rsidRDefault="0088624C" w:rsidP="006D4624">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154.64</w:t>
            </w:r>
          </w:p>
        </w:tc>
      </w:tr>
      <w:tr w:rsidR="0088624C" w:rsidRPr="00F05339" w14:paraId="33CA7100" w14:textId="77777777" w:rsidTr="006D4624">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46D77E79" w14:textId="77777777" w:rsidR="0088624C" w:rsidRPr="00F05339" w:rsidRDefault="0088624C" w:rsidP="006D4624">
            <w:pPr>
              <w:spacing w:after="0" w:line="240" w:lineRule="auto"/>
              <w:jc w:val="center"/>
              <w:rPr>
                <w:rFonts w:ascii="Arial" w:eastAsia="Times New Roman" w:hAnsi="Arial" w:cs="Arial"/>
                <w:color w:val="000000"/>
                <w:lang w:eastAsia="en-GB"/>
              </w:rPr>
            </w:pPr>
            <w:r w:rsidRPr="00F05339">
              <w:rPr>
                <w:rFonts w:ascii="Arial" w:eastAsia="Times New Roman" w:hAnsi="Arial" w:cs="Arial"/>
                <w:color w:val="000000"/>
                <w:lang w:eastAsia="en-GB"/>
              </w:rPr>
              <w:t>Call 2020</w:t>
            </w:r>
          </w:p>
        </w:tc>
        <w:tc>
          <w:tcPr>
            <w:tcW w:w="1260" w:type="dxa"/>
            <w:tcBorders>
              <w:top w:val="nil"/>
              <w:left w:val="nil"/>
              <w:bottom w:val="single" w:sz="4" w:space="0" w:color="auto"/>
              <w:right w:val="single" w:sz="4" w:space="0" w:color="auto"/>
            </w:tcBorders>
            <w:shd w:val="clear" w:color="auto" w:fill="auto"/>
            <w:vAlign w:val="center"/>
            <w:hideMark/>
          </w:tcPr>
          <w:p w14:paraId="541BBFC6" w14:textId="77777777" w:rsidR="0088624C" w:rsidRPr="00F05339" w:rsidRDefault="0088624C" w:rsidP="006D4624">
            <w:pPr>
              <w:spacing w:after="0" w:line="240" w:lineRule="auto"/>
              <w:jc w:val="center"/>
              <w:rPr>
                <w:rFonts w:ascii="Arial" w:eastAsia="Times New Roman" w:hAnsi="Arial" w:cs="Arial"/>
                <w:color w:val="000000"/>
                <w:lang w:eastAsia="en-GB"/>
              </w:rPr>
            </w:pPr>
            <w:r w:rsidRPr="00F05339">
              <w:rPr>
                <w:rFonts w:ascii="Arial" w:eastAsia="Times New Roman" w:hAnsi="Arial" w:cs="Arial"/>
                <w:color w:val="000000"/>
                <w:lang w:eastAsia="en-GB"/>
              </w:rPr>
              <w:t>25</w:t>
            </w:r>
          </w:p>
        </w:tc>
        <w:tc>
          <w:tcPr>
            <w:tcW w:w="1400" w:type="dxa"/>
            <w:tcBorders>
              <w:top w:val="nil"/>
              <w:left w:val="nil"/>
              <w:bottom w:val="single" w:sz="4" w:space="0" w:color="auto"/>
              <w:right w:val="single" w:sz="4" w:space="0" w:color="auto"/>
            </w:tcBorders>
            <w:shd w:val="clear" w:color="auto" w:fill="auto"/>
            <w:vAlign w:val="center"/>
            <w:hideMark/>
          </w:tcPr>
          <w:p w14:paraId="4798E446" w14:textId="77777777" w:rsidR="0088624C" w:rsidRPr="00F05339" w:rsidRDefault="0088624C" w:rsidP="006D4624">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97.84</w:t>
            </w:r>
          </w:p>
        </w:tc>
        <w:tc>
          <w:tcPr>
            <w:tcW w:w="1800" w:type="dxa"/>
            <w:tcBorders>
              <w:top w:val="nil"/>
              <w:left w:val="nil"/>
              <w:bottom w:val="single" w:sz="4" w:space="0" w:color="auto"/>
              <w:right w:val="single" w:sz="4" w:space="0" w:color="auto"/>
            </w:tcBorders>
            <w:shd w:val="clear" w:color="auto" w:fill="auto"/>
            <w:vAlign w:val="center"/>
            <w:hideMark/>
          </w:tcPr>
          <w:p w14:paraId="4F7A26FF" w14:textId="77777777" w:rsidR="0088624C" w:rsidRPr="00F05339" w:rsidRDefault="0088624C" w:rsidP="006D4624">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18.80</w:t>
            </w:r>
          </w:p>
        </w:tc>
        <w:tc>
          <w:tcPr>
            <w:tcW w:w="1780" w:type="dxa"/>
            <w:tcBorders>
              <w:top w:val="nil"/>
              <w:left w:val="nil"/>
              <w:bottom w:val="single" w:sz="4" w:space="0" w:color="auto"/>
              <w:right w:val="single" w:sz="4" w:space="0" w:color="auto"/>
            </w:tcBorders>
            <w:shd w:val="clear" w:color="auto" w:fill="auto"/>
            <w:vAlign w:val="center"/>
            <w:hideMark/>
          </w:tcPr>
          <w:p w14:paraId="1C36EF1D" w14:textId="77777777" w:rsidR="0088624C" w:rsidRPr="00F05339" w:rsidRDefault="0088624C" w:rsidP="006D4624">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22.71</w:t>
            </w:r>
          </w:p>
        </w:tc>
        <w:tc>
          <w:tcPr>
            <w:tcW w:w="1520" w:type="dxa"/>
            <w:tcBorders>
              <w:top w:val="nil"/>
              <w:left w:val="nil"/>
              <w:bottom w:val="single" w:sz="4" w:space="0" w:color="auto"/>
              <w:right w:val="single" w:sz="4" w:space="0" w:color="auto"/>
            </w:tcBorders>
            <w:shd w:val="clear" w:color="auto" w:fill="auto"/>
            <w:vAlign w:val="center"/>
            <w:hideMark/>
          </w:tcPr>
          <w:p w14:paraId="027FE349" w14:textId="77777777" w:rsidR="0088624C" w:rsidRPr="00F05339" w:rsidRDefault="0088624C" w:rsidP="006D4624">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41.52</w:t>
            </w:r>
          </w:p>
        </w:tc>
        <w:tc>
          <w:tcPr>
            <w:tcW w:w="1560" w:type="dxa"/>
            <w:tcBorders>
              <w:top w:val="nil"/>
              <w:left w:val="nil"/>
              <w:bottom w:val="single" w:sz="4" w:space="0" w:color="auto"/>
              <w:right w:val="single" w:sz="4" w:space="0" w:color="auto"/>
            </w:tcBorders>
            <w:shd w:val="clear" w:color="auto" w:fill="auto"/>
            <w:vAlign w:val="center"/>
            <w:hideMark/>
          </w:tcPr>
          <w:p w14:paraId="7F3F2063" w14:textId="77777777" w:rsidR="0088624C" w:rsidRPr="00F05339" w:rsidRDefault="0088624C" w:rsidP="006D4624">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139.35</w:t>
            </w:r>
          </w:p>
        </w:tc>
      </w:tr>
      <w:tr w:rsidR="0088624C" w:rsidRPr="00F05339" w14:paraId="4A1EE3A0" w14:textId="77777777" w:rsidTr="006D4624">
        <w:trPr>
          <w:trHeight w:val="300"/>
        </w:trPr>
        <w:tc>
          <w:tcPr>
            <w:tcW w:w="1120" w:type="dxa"/>
            <w:tcBorders>
              <w:top w:val="nil"/>
              <w:left w:val="single" w:sz="4" w:space="0" w:color="auto"/>
              <w:bottom w:val="single" w:sz="4" w:space="0" w:color="auto"/>
              <w:right w:val="single" w:sz="4" w:space="0" w:color="auto"/>
            </w:tcBorders>
            <w:shd w:val="clear" w:color="auto" w:fill="auto"/>
            <w:vAlign w:val="center"/>
            <w:hideMark/>
          </w:tcPr>
          <w:p w14:paraId="785DE14B" w14:textId="77777777" w:rsidR="0088624C" w:rsidRPr="00F05339" w:rsidRDefault="0088624C" w:rsidP="006D4624">
            <w:pPr>
              <w:spacing w:after="0" w:line="240" w:lineRule="auto"/>
              <w:jc w:val="center"/>
              <w:rPr>
                <w:rFonts w:ascii="Arial" w:eastAsia="Times New Roman" w:hAnsi="Arial" w:cs="Arial"/>
                <w:b/>
                <w:bCs/>
                <w:color w:val="0070C0"/>
                <w:lang w:eastAsia="en-GB"/>
              </w:rPr>
            </w:pPr>
            <w:r w:rsidRPr="00F05339">
              <w:rPr>
                <w:rFonts w:ascii="Arial" w:eastAsia="Times New Roman" w:hAnsi="Arial" w:cs="Arial"/>
                <w:b/>
                <w:bCs/>
                <w:color w:val="0070C0"/>
                <w:lang w:eastAsia="en-GB"/>
              </w:rPr>
              <w:t>TOTAL</w:t>
            </w:r>
          </w:p>
        </w:tc>
        <w:tc>
          <w:tcPr>
            <w:tcW w:w="1260" w:type="dxa"/>
            <w:tcBorders>
              <w:top w:val="nil"/>
              <w:left w:val="nil"/>
              <w:bottom w:val="single" w:sz="4" w:space="0" w:color="auto"/>
              <w:right w:val="single" w:sz="4" w:space="0" w:color="auto"/>
            </w:tcBorders>
            <w:shd w:val="clear" w:color="auto" w:fill="auto"/>
            <w:vAlign w:val="center"/>
            <w:hideMark/>
          </w:tcPr>
          <w:p w14:paraId="4498E159" w14:textId="77777777" w:rsidR="0088624C" w:rsidRPr="00F05339" w:rsidRDefault="0088624C" w:rsidP="006D4624">
            <w:pPr>
              <w:spacing w:after="0" w:line="240" w:lineRule="auto"/>
              <w:jc w:val="center"/>
              <w:rPr>
                <w:rFonts w:ascii="Arial" w:eastAsia="Times New Roman" w:hAnsi="Arial" w:cs="Arial"/>
                <w:b/>
                <w:bCs/>
                <w:color w:val="0070C0"/>
                <w:lang w:eastAsia="en-GB"/>
              </w:rPr>
            </w:pPr>
            <w:r w:rsidRPr="00F05339">
              <w:rPr>
                <w:rFonts w:ascii="Arial" w:eastAsia="Times New Roman" w:hAnsi="Arial" w:cs="Arial"/>
                <w:b/>
                <w:bCs/>
                <w:color w:val="0070C0"/>
                <w:lang w:eastAsia="en-GB"/>
              </w:rPr>
              <w:t>134</w:t>
            </w:r>
          </w:p>
        </w:tc>
        <w:tc>
          <w:tcPr>
            <w:tcW w:w="1400" w:type="dxa"/>
            <w:tcBorders>
              <w:top w:val="nil"/>
              <w:left w:val="nil"/>
              <w:bottom w:val="single" w:sz="4" w:space="0" w:color="auto"/>
              <w:right w:val="single" w:sz="4" w:space="0" w:color="auto"/>
            </w:tcBorders>
            <w:shd w:val="clear" w:color="auto" w:fill="auto"/>
            <w:vAlign w:val="center"/>
            <w:hideMark/>
          </w:tcPr>
          <w:p w14:paraId="3809EAC6" w14:textId="77777777" w:rsidR="0088624C" w:rsidRPr="00F05339" w:rsidRDefault="0088624C" w:rsidP="006D4624">
            <w:pPr>
              <w:spacing w:after="0" w:line="240" w:lineRule="auto"/>
              <w:jc w:val="right"/>
              <w:rPr>
                <w:rFonts w:ascii="Arial" w:eastAsia="Times New Roman" w:hAnsi="Arial" w:cs="Arial"/>
                <w:b/>
                <w:bCs/>
                <w:color w:val="0070C0"/>
                <w:lang w:eastAsia="en-GB"/>
              </w:rPr>
            </w:pPr>
            <w:r w:rsidRPr="00F05339">
              <w:rPr>
                <w:rFonts w:ascii="Arial" w:eastAsia="Times New Roman" w:hAnsi="Arial" w:cs="Arial"/>
                <w:b/>
                <w:bCs/>
                <w:color w:val="0070C0"/>
                <w:lang w:eastAsia="en-GB"/>
              </w:rPr>
              <w:t>627.04</w:t>
            </w:r>
          </w:p>
        </w:tc>
        <w:tc>
          <w:tcPr>
            <w:tcW w:w="1800" w:type="dxa"/>
            <w:tcBorders>
              <w:top w:val="nil"/>
              <w:left w:val="nil"/>
              <w:bottom w:val="single" w:sz="4" w:space="0" w:color="auto"/>
              <w:right w:val="single" w:sz="4" w:space="0" w:color="auto"/>
            </w:tcBorders>
            <w:shd w:val="clear" w:color="auto" w:fill="auto"/>
            <w:vAlign w:val="center"/>
            <w:hideMark/>
          </w:tcPr>
          <w:p w14:paraId="6F8086CB" w14:textId="77777777" w:rsidR="0088624C" w:rsidRPr="00F05339" w:rsidRDefault="0088624C" w:rsidP="006D4624">
            <w:pPr>
              <w:spacing w:after="0" w:line="240" w:lineRule="auto"/>
              <w:jc w:val="right"/>
              <w:rPr>
                <w:rFonts w:ascii="Arial" w:eastAsia="Times New Roman" w:hAnsi="Arial" w:cs="Arial"/>
                <w:b/>
                <w:bCs/>
                <w:color w:val="0070C0"/>
                <w:lang w:eastAsia="en-GB"/>
              </w:rPr>
            </w:pPr>
            <w:r w:rsidRPr="00F05339">
              <w:rPr>
                <w:rFonts w:ascii="Arial" w:eastAsia="Times New Roman" w:hAnsi="Arial" w:cs="Arial"/>
                <w:b/>
                <w:bCs/>
                <w:color w:val="0070C0"/>
                <w:lang w:eastAsia="en-GB"/>
              </w:rPr>
              <w:t>158.27</w:t>
            </w:r>
          </w:p>
        </w:tc>
        <w:tc>
          <w:tcPr>
            <w:tcW w:w="1780" w:type="dxa"/>
            <w:tcBorders>
              <w:top w:val="nil"/>
              <w:left w:val="nil"/>
              <w:bottom w:val="single" w:sz="4" w:space="0" w:color="auto"/>
              <w:right w:val="single" w:sz="4" w:space="0" w:color="auto"/>
            </w:tcBorders>
            <w:shd w:val="clear" w:color="auto" w:fill="auto"/>
            <w:vAlign w:val="center"/>
            <w:hideMark/>
          </w:tcPr>
          <w:p w14:paraId="30C003EC" w14:textId="77777777" w:rsidR="0088624C" w:rsidRPr="00F05339" w:rsidRDefault="0088624C" w:rsidP="006D4624">
            <w:pPr>
              <w:spacing w:after="0" w:line="240" w:lineRule="auto"/>
              <w:jc w:val="right"/>
              <w:rPr>
                <w:rFonts w:ascii="Arial" w:eastAsia="Times New Roman" w:hAnsi="Arial" w:cs="Arial"/>
                <w:b/>
                <w:bCs/>
                <w:color w:val="0070C0"/>
                <w:lang w:eastAsia="en-GB"/>
              </w:rPr>
            </w:pPr>
            <w:r w:rsidRPr="00F05339">
              <w:rPr>
                <w:rFonts w:ascii="Arial" w:eastAsia="Times New Roman" w:hAnsi="Arial" w:cs="Arial"/>
                <w:b/>
                <w:bCs/>
                <w:color w:val="0070C0"/>
                <w:lang w:eastAsia="en-GB"/>
              </w:rPr>
              <w:t>394.99</w:t>
            </w:r>
          </w:p>
        </w:tc>
        <w:tc>
          <w:tcPr>
            <w:tcW w:w="1520" w:type="dxa"/>
            <w:tcBorders>
              <w:top w:val="nil"/>
              <w:left w:val="nil"/>
              <w:bottom w:val="single" w:sz="4" w:space="0" w:color="auto"/>
              <w:right w:val="single" w:sz="4" w:space="0" w:color="auto"/>
            </w:tcBorders>
            <w:shd w:val="clear" w:color="auto" w:fill="auto"/>
            <w:vAlign w:val="center"/>
            <w:hideMark/>
          </w:tcPr>
          <w:p w14:paraId="5163370C" w14:textId="77777777" w:rsidR="0088624C" w:rsidRPr="00F05339" w:rsidRDefault="0088624C" w:rsidP="006D4624">
            <w:pPr>
              <w:spacing w:after="0" w:line="240" w:lineRule="auto"/>
              <w:jc w:val="right"/>
              <w:rPr>
                <w:rFonts w:ascii="Arial" w:eastAsia="Times New Roman" w:hAnsi="Arial" w:cs="Arial"/>
                <w:b/>
                <w:bCs/>
                <w:color w:val="0070C0"/>
                <w:lang w:eastAsia="en-GB"/>
              </w:rPr>
            </w:pPr>
            <w:r w:rsidRPr="00F05339">
              <w:rPr>
                <w:rFonts w:ascii="Arial" w:eastAsia="Times New Roman" w:hAnsi="Arial" w:cs="Arial"/>
                <w:b/>
                <w:bCs/>
                <w:color w:val="0070C0"/>
                <w:lang w:eastAsia="en-GB"/>
              </w:rPr>
              <w:t>553.25</w:t>
            </w:r>
          </w:p>
        </w:tc>
        <w:tc>
          <w:tcPr>
            <w:tcW w:w="1560" w:type="dxa"/>
            <w:tcBorders>
              <w:top w:val="nil"/>
              <w:left w:val="nil"/>
              <w:bottom w:val="single" w:sz="4" w:space="0" w:color="auto"/>
              <w:right w:val="single" w:sz="4" w:space="0" w:color="auto"/>
            </w:tcBorders>
            <w:shd w:val="clear" w:color="auto" w:fill="auto"/>
            <w:vAlign w:val="center"/>
            <w:hideMark/>
          </w:tcPr>
          <w:p w14:paraId="664397AE" w14:textId="77777777" w:rsidR="0088624C" w:rsidRPr="00F05339" w:rsidRDefault="0088624C" w:rsidP="006D4624">
            <w:pPr>
              <w:spacing w:after="0" w:line="240" w:lineRule="auto"/>
              <w:jc w:val="right"/>
              <w:rPr>
                <w:rFonts w:ascii="Arial" w:eastAsia="Times New Roman" w:hAnsi="Arial" w:cs="Arial"/>
                <w:b/>
                <w:bCs/>
                <w:color w:val="0070C0"/>
                <w:lang w:eastAsia="en-GB"/>
              </w:rPr>
            </w:pPr>
            <w:r w:rsidRPr="00F05339">
              <w:rPr>
                <w:rFonts w:ascii="Arial" w:eastAsia="Times New Roman" w:hAnsi="Arial" w:cs="Arial"/>
                <w:b/>
                <w:bCs/>
                <w:color w:val="0070C0"/>
                <w:lang w:eastAsia="en-GB"/>
              </w:rPr>
              <w:t>1,180.30</w:t>
            </w:r>
          </w:p>
        </w:tc>
      </w:tr>
    </w:tbl>
    <w:p w14:paraId="1E0F3CCE" w14:textId="77777777" w:rsidR="0088624C" w:rsidRPr="00F05339" w:rsidRDefault="0088624C" w:rsidP="0088624C">
      <w:pPr>
        <w:keepNext/>
        <w:keepLines/>
        <w:spacing w:before="40" w:after="0"/>
        <w:ind w:left="370"/>
        <w:outlineLvl w:val="3"/>
        <w:rPr>
          <w:rFonts w:ascii="Arial" w:eastAsiaTheme="majorEastAsia" w:hAnsi="Arial" w:cs="Arial"/>
          <w:iCs/>
          <w:color w:val="034EA2"/>
        </w:rPr>
      </w:pPr>
    </w:p>
    <w:p w14:paraId="499C6FD8" w14:textId="77777777" w:rsidR="0088624C" w:rsidRPr="00F05339" w:rsidRDefault="0088624C" w:rsidP="0088624C">
      <w:pPr>
        <w:ind w:right="18"/>
        <w:jc w:val="both"/>
        <w:rPr>
          <w:rFonts w:ascii="Arial" w:hAnsi="Arial" w:cs="Arial"/>
        </w:rPr>
      </w:pPr>
      <w:r w:rsidRPr="00F05339">
        <w:rPr>
          <w:rFonts w:ascii="Arial" w:hAnsi="Arial" w:cs="Arial"/>
        </w:rPr>
        <w:t>Considering that funding rates in projects follow H2020 rules (</w:t>
      </w:r>
      <w:proofErr w:type="gramStart"/>
      <w:r w:rsidRPr="00F05339">
        <w:rPr>
          <w:rFonts w:ascii="Arial" w:hAnsi="Arial" w:cs="Arial"/>
        </w:rPr>
        <w:t>i.e.</w:t>
      </w:r>
      <w:proofErr w:type="gramEnd"/>
      <w:r w:rsidRPr="00F05339">
        <w:rPr>
          <w:rFonts w:ascii="Arial" w:hAnsi="Arial" w:cs="Arial"/>
        </w:rPr>
        <w:t xml:space="preserve"> up to 100 % of direct costs in research and innovation actions (RIAs) and coordination and support actions (CSAs) and up to 70 % in innovation actions (IAs)), these private contributions are significantly higher than was initially foreseen. This is </w:t>
      </w:r>
      <w:proofErr w:type="gramStart"/>
      <w:r w:rsidRPr="00F05339">
        <w:rPr>
          <w:rFonts w:ascii="Arial" w:hAnsi="Arial" w:cs="Arial"/>
        </w:rPr>
        <w:t>due to the fact that</w:t>
      </w:r>
      <w:proofErr w:type="gramEnd"/>
      <w:r w:rsidRPr="00F05339">
        <w:rPr>
          <w:rFonts w:ascii="Arial" w:hAnsi="Arial" w:cs="Arial"/>
        </w:rPr>
        <w:t xml:space="preserve"> most of the largest demonstration projects have effective funding rates lower than 70 % (of direct costs), as they are very close to the market.</w:t>
      </w:r>
    </w:p>
    <w:p w14:paraId="117B967A" w14:textId="77777777" w:rsidR="0088624C" w:rsidRPr="00F05339" w:rsidRDefault="0088624C" w:rsidP="0088624C">
      <w:pPr>
        <w:ind w:right="18"/>
        <w:jc w:val="both"/>
        <w:rPr>
          <w:rFonts w:ascii="Arial" w:hAnsi="Arial" w:cs="Arial"/>
          <w:b/>
          <w:i/>
        </w:rPr>
      </w:pPr>
      <w:r w:rsidRPr="00F05339">
        <w:rPr>
          <w:rFonts w:ascii="Arial" w:hAnsi="Arial" w:cs="Arial"/>
          <w:b/>
          <w:i/>
        </w:rPr>
        <w:t>In-kind contributions in additional activities (IKAA)</w:t>
      </w:r>
    </w:p>
    <w:p w14:paraId="4D48741A" w14:textId="77777777" w:rsidR="0088624C" w:rsidRPr="00F05339" w:rsidRDefault="0088624C" w:rsidP="0088624C">
      <w:pPr>
        <w:ind w:right="18"/>
        <w:jc w:val="both"/>
        <w:rPr>
          <w:rFonts w:ascii="Arial" w:hAnsi="Arial" w:cs="Arial"/>
        </w:rPr>
      </w:pPr>
      <w:r w:rsidRPr="00F05339">
        <w:rPr>
          <w:rFonts w:ascii="Arial" w:hAnsi="Arial" w:cs="Arial"/>
        </w:rPr>
        <w:t xml:space="preserve">The </w:t>
      </w:r>
      <w:proofErr w:type="gramStart"/>
      <w:r w:rsidRPr="00F05339">
        <w:rPr>
          <w:rFonts w:ascii="Arial" w:hAnsi="Arial" w:cs="Arial"/>
        </w:rPr>
        <w:t>underlying purpose</w:t>
      </w:r>
      <w:proofErr w:type="gramEnd"/>
      <w:r w:rsidRPr="00F05339">
        <w:rPr>
          <w:rFonts w:ascii="Arial" w:hAnsi="Arial" w:cs="Arial"/>
        </w:rPr>
        <w:t xml:space="preserve"> of </w:t>
      </w:r>
      <w:r w:rsidRPr="00F05339">
        <w:rPr>
          <w:rFonts w:ascii="Arial" w:hAnsi="Arial" w:cs="Arial"/>
          <w:i/>
        </w:rPr>
        <w:t>additional activities</w:t>
      </w:r>
      <w:r w:rsidRPr="00F05339">
        <w:rPr>
          <w:rFonts w:ascii="Arial" w:hAnsi="Arial" w:cs="Arial"/>
        </w:rPr>
        <w:t xml:space="preserve"> is to demonstrate private investments in the sector and ensure a balanced contribution is made by both the private and public entities in the context of the partnership. </w:t>
      </w:r>
    </w:p>
    <w:p w14:paraId="6F9AE29B" w14:textId="77777777" w:rsidR="0088624C" w:rsidRPr="00F05339" w:rsidRDefault="0088624C" w:rsidP="0088624C">
      <w:pPr>
        <w:ind w:right="18"/>
        <w:jc w:val="both"/>
        <w:rPr>
          <w:rFonts w:ascii="Arial" w:hAnsi="Arial" w:cs="Arial"/>
        </w:rPr>
      </w:pPr>
      <w:r w:rsidRPr="00F05339">
        <w:rPr>
          <w:rFonts w:ascii="Arial" w:hAnsi="Arial" w:cs="Arial"/>
        </w:rPr>
        <w:t>In 2021, members of Hydrogen Europe and Hydrogen Europe Research and their affiliate entities jointly delivered a cumulative amount of EUR 1 039 million certified IKAA (for the period 2014-2020), which is more than three times higher than the minimum requirement for IKAA of EUR 285 million, as defined in the FCH 2 JU Council Regulation.</w:t>
      </w:r>
    </w:p>
    <w:tbl>
      <w:tblPr>
        <w:tblW w:w="11066" w:type="dxa"/>
        <w:tblLook w:val="04A0" w:firstRow="1" w:lastRow="0" w:firstColumn="1" w:lastColumn="0" w:noHBand="0" w:noVBand="1"/>
      </w:tblPr>
      <w:tblGrid>
        <w:gridCol w:w="3700"/>
        <w:gridCol w:w="1067"/>
        <w:gridCol w:w="1020"/>
        <w:gridCol w:w="1020"/>
        <w:gridCol w:w="1020"/>
        <w:gridCol w:w="1020"/>
        <w:gridCol w:w="1020"/>
        <w:gridCol w:w="1020"/>
        <w:gridCol w:w="222"/>
      </w:tblGrid>
      <w:tr w:rsidR="0088624C" w:rsidRPr="00F05339" w14:paraId="6AFBF1A1" w14:textId="77777777" w:rsidTr="006D4624">
        <w:trPr>
          <w:gridAfter w:val="1"/>
          <w:wAfter w:w="222" w:type="dxa"/>
          <w:trHeight w:val="300"/>
        </w:trPr>
        <w:tc>
          <w:tcPr>
            <w:tcW w:w="7784" w:type="dxa"/>
            <w:gridSpan w:val="5"/>
            <w:tcBorders>
              <w:top w:val="nil"/>
              <w:left w:val="nil"/>
              <w:bottom w:val="nil"/>
              <w:right w:val="nil"/>
            </w:tcBorders>
            <w:shd w:val="clear" w:color="auto" w:fill="auto"/>
            <w:noWrap/>
            <w:vAlign w:val="bottom"/>
            <w:hideMark/>
          </w:tcPr>
          <w:p w14:paraId="23F45A5B" w14:textId="77777777" w:rsidR="0088624C" w:rsidRPr="00F05339" w:rsidRDefault="0088624C" w:rsidP="006D4624">
            <w:pPr>
              <w:spacing w:after="0" w:line="240" w:lineRule="auto"/>
              <w:rPr>
                <w:rFonts w:ascii="Arial" w:eastAsia="Times New Roman" w:hAnsi="Arial" w:cs="Arial"/>
                <w:b/>
                <w:bCs/>
                <w:lang w:eastAsia="en-GB"/>
              </w:rPr>
            </w:pPr>
            <w:r w:rsidRPr="00F05339">
              <w:rPr>
                <w:rFonts w:ascii="Arial" w:eastAsia="Times New Roman" w:hAnsi="Arial" w:cs="Arial"/>
                <w:b/>
                <w:bCs/>
                <w:lang w:eastAsia="en-GB"/>
              </w:rPr>
              <w:t>TABLE 1.1.3: In-kind contributions in additional activities for the period 2014-2020</w:t>
            </w:r>
          </w:p>
        </w:tc>
        <w:tc>
          <w:tcPr>
            <w:tcW w:w="1020" w:type="dxa"/>
            <w:tcBorders>
              <w:top w:val="nil"/>
              <w:left w:val="nil"/>
              <w:bottom w:val="nil"/>
              <w:right w:val="nil"/>
            </w:tcBorders>
            <w:shd w:val="clear" w:color="auto" w:fill="auto"/>
            <w:noWrap/>
            <w:vAlign w:val="bottom"/>
            <w:hideMark/>
          </w:tcPr>
          <w:p w14:paraId="703B2D3F" w14:textId="77777777" w:rsidR="0088624C" w:rsidRPr="00F05339" w:rsidRDefault="0088624C" w:rsidP="006D4624">
            <w:pPr>
              <w:spacing w:after="0" w:line="240" w:lineRule="auto"/>
              <w:rPr>
                <w:rFonts w:ascii="Arial" w:eastAsia="Times New Roman" w:hAnsi="Arial" w:cs="Arial"/>
                <w:b/>
                <w:bCs/>
                <w:lang w:eastAsia="en-GB"/>
              </w:rPr>
            </w:pPr>
          </w:p>
        </w:tc>
        <w:tc>
          <w:tcPr>
            <w:tcW w:w="1020" w:type="dxa"/>
            <w:tcBorders>
              <w:top w:val="nil"/>
              <w:left w:val="nil"/>
              <w:bottom w:val="nil"/>
              <w:right w:val="nil"/>
            </w:tcBorders>
            <w:shd w:val="clear" w:color="auto" w:fill="auto"/>
            <w:noWrap/>
            <w:vAlign w:val="bottom"/>
            <w:hideMark/>
          </w:tcPr>
          <w:p w14:paraId="2943C213" w14:textId="77777777" w:rsidR="0088624C" w:rsidRPr="00F05339" w:rsidRDefault="0088624C" w:rsidP="006D4624">
            <w:pPr>
              <w:spacing w:after="0" w:line="240" w:lineRule="auto"/>
              <w:rPr>
                <w:rFonts w:ascii="Arial" w:eastAsia="Times New Roman" w:hAnsi="Arial" w:cs="Arial"/>
                <w:sz w:val="20"/>
                <w:szCs w:val="20"/>
                <w:lang w:eastAsia="en-GB"/>
              </w:rPr>
            </w:pPr>
          </w:p>
        </w:tc>
        <w:tc>
          <w:tcPr>
            <w:tcW w:w="1020" w:type="dxa"/>
            <w:tcBorders>
              <w:top w:val="nil"/>
              <w:left w:val="nil"/>
              <w:bottom w:val="nil"/>
              <w:right w:val="nil"/>
            </w:tcBorders>
            <w:shd w:val="clear" w:color="auto" w:fill="auto"/>
            <w:noWrap/>
            <w:vAlign w:val="bottom"/>
            <w:hideMark/>
          </w:tcPr>
          <w:p w14:paraId="277913DE" w14:textId="77777777" w:rsidR="0088624C" w:rsidRPr="00F05339" w:rsidRDefault="0088624C" w:rsidP="006D4624">
            <w:pPr>
              <w:spacing w:after="0" w:line="240" w:lineRule="auto"/>
              <w:rPr>
                <w:rFonts w:ascii="Arial" w:eastAsia="Times New Roman" w:hAnsi="Arial" w:cs="Arial"/>
                <w:sz w:val="20"/>
                <w:szCs w:val="20"/>
                <w:lang w:eastAsia="en-GB"/>
              </w:rPr>
            </w:pPr>
          </w:p>
        </w:tc>
      </w:tr>
      <w:tr w:rsidR="0088624C" w:rsidRPr="00F05339" w14:paraId="6A173DA6" w14:textId="77777777" w:rsidTr="006D4624">
        <w:trPr>
          <w:gridAfter w:val="1"/>
          <w:wAfter w:w="222" w:type="dxa"/>
          <w:trHeight w:val="315"/>
        </w:trPr>
        <w:tc>
          <w:tcPr>
            <w:tcW w:w="3700" w:type="dxa"/>
            <w:tcBorders>
              <w:top w:val="nil"/>
              <w:left w:val="nil"/>
              <w:bottom w:val="nil"/>
              <w:right w:val="nil"/>
            </w:tcBorders>
            <w:shd w:val="clear" w:color="auto" w:fill="auto"/>
            <w:noWrap/>
            <w:vAlign w:val="bottom"/>
            <w:hideMark/>
          </w:tcPr>
          <w:p w14:paraId="5E71A05A" w14:textId="77777777" w:rsidR="0088624C" w:rsidRPr="00F05339" w:rsidRDefault="0088624C" w:rsidP="006D4624">
            <w:pPr>
              <w:spacing w:after="0" w:line="240" w:lineRule="auto"/>
              <w:rPr>
                <w:rFonts w:ascii="Arial" w:eastAsia="Times New Roman" w:hAnsi="Arial" w:cs="Arial"/>
                <w:sz w:val="20"/>
                <w:szCs w:val="20"/>
                <w:lang w:eastAsia="en-GB"/>
              </w:rPr>
            </w:pPr>
          </w:p>
        </w:tc>
        <w:tc>
          <w:tcPr>
            <w:tcW w:w="1024" w:type="dxa"/>
            <w:tcBorders>
              <w:top w:val="nil"/>
              <w:left w:val="nil"/>
              <w:bottom w:val="nil"/>
              <w:right w:val="nil"/>
            </w:tcBorders>
            <w:shd w:val="clear" w:color="auto" w:fill="auto"/>
            <w:noWrap/>
            <w:vAlign w:val="bottom"/>
            <w:hideMark/>
          </w:tcPr>
          <w:p w14:paraId="48218811" w14:textId="77777777" w:rsidR="0088624C" w:rsidRPr="00F05339" w:rsidRDefault="0088624C" w:rsidP="006D4624">
            <w:pPr>
              <w:spacing w:after="0" w:line="240" w:lineRule="auto"/>
              <w:rPr>
                <w:rFonts w:ascii="Arial" w:eastAsia="Times New Roman" w:hAnsi="Arial" w:cs="Arial"/>
                <w:sz w:val="20"/>
                <w:szCs w:val="20"/>
                <w:lang w:eastAsia="en-GB"/>
              </w:rPr>
            </w:pPr>
          </w:p>
        </w:tc>
        <w:tc>
          <w:tcPr>
            <w:tcW w:w="1020" w:type="dxa"/>
            <w:tcBorders>
              <w:top w:val="nil"/>
              <w:left w:val="nil"/>
              <w:bottom w:val="nil"/>
              <w:right w:val="nil"/>
            </w:tcBorders>
            <w:shd w:val="clear" w:color="auto" w:fill="auto"/>
            <w:noWrap/>
            <w:vAlign w:val="bottom"/>
            <w:hideMark/>
          </w:tcPr>
          <w:p w14:paraId="496DD92E" w14:textId="77777777" w:rsidR="0088624C" w:rsidRPr="00F05339" w:rsidRDefault="0088624C" w:rsidP="006D4624">
            <w:pPr>
              <w:spacing w:after="0" w:line="240" w:lineRule="auto"/>
              <w:rPr>
                <w:rFonts w:ascii="Arial" w:eastAsia="Times New Roman" w:hAnsi="Arial" w:cs="Arial"/>
                <w:sz w:val="20"/>
                <w:szCs w:val="20"/>
                <w:lang w:eastAsia="en-GB"/>
              </w:rPr>
            </w:pPr>
          </w:p>
        </w:tc>
        <w:tc>
          <w:tcPr>
            <w:tcW w:w="1020" w:type="dxa"/>
            <w:tcBorders>
              <w:top w:val="nil"/>
              <w:left w:val="nil"/>
              <w:bottom w:val="nil"/>
              <w:right w:val="nil"/>
            </w:tcBorders>
            <w:shd w:val="clear" w:color="auto" w:fill="auto"/>
            <w:noWrap/>
            <w:vAlign w:val="bottom"/>
            <w:hideMark/>
          </w:tcPr>
          <w:p w14:paraId="16318DDC" w14:textId="77777777" w:rsidR="0088624C" w:rsidRPr="00F05339" w:rsidRDefault="0088624C" w:rsidP="006D4624">
            <w:pPr>
              <w:spacing w:after="0" w:line="240" w:lineRule="auto"/>
              <w:rPr>
                <w:rFonts w:ascii="Arial" w:eastAsia="Times New Roman" w:hAnsi="Arial" w:cs="Arial"/>
                <w:sz w:val="20"/>
                <w:szCs w:val="20"/>
                <w:lang w:eastAsia="en-GB"/>
              </w:rPr>
            </w:pPr>
          </w:p>
        </w:tc>
        <w:tc>
          <w:tcPr>
            <w:tcW w:w="1020" w:type="dxa"/>
            <w:tcBorders>
              <w:top w:val="nil"/>
              <w:left w:val="nil"/>
              <w:bottom w:val="nil"/>
              <w:right w:val="nil"/>
            </w:tcBorders>
            <w:shd w:val="clear" w:color="auto" w:fill="auto"/>
            <w:noWrap/>
            <w:vAlign w:val="bottom"/>
            <w:hideMark/>
          </w:tcPr>
          <w:p w14:paraId="061BE3BA" w14:textId="77777777" w:rsidR="0088624C" w:rsidRPr="00F05339" w:rsidRDefault="0088624C" w:rsidP="006D4624">
            <w:pPr>
              <w:spacing w:after="0" w:line="240" w:lineRule="auto"/>
              <w:rPr>
                <w:rFonts w:ascii="Arial" w:eastAsia="Times New Roman" w:hAnsi="Arial" w:cs="Arial"/>
                <w:sz w:val="20"/>
                <w:szCs w:val="20"/>
                <w:lang w:eastAsia="en-GB"/>
              </w:rPr>
            </w:pPr>
          </w:p>
        </w:tc>
        <w:tc>
          <w:tcPr>
            <w:tcW w:w="1020" w:type="dxa"/>
            <w:tcBorders>
              <w:top w:val="nil"/>
              <w:left w:val="nil"/>
              <w:bottom w:val="nil"/>
              <w:right w:val="nil"/>
            </w:tcBorders>
            <w:shd w:val="clear" w:color="auto" w:fill="auto"/>
            <w:noWrap/>
            <w:vAlign w:val="bottom"/>
            <w:hideMark/>
          </w:tcPr>
          <w:p w14:paraId="76FC0FE3" w14:textId="77777777" w:rsidR="0088624C" w:rsidRPr="00F05339" w:rsidRDefault="0088624C" w:rsidP="006D4624">
            <w:pPr>
              <w:spacing w:after="0" w:line="240" w:lineRule="auto"/>
              <w:rPr>
                <w:rFonts w:ascii="Arial" w:eastAsia="Times New Roman" w:hAnsi="Arial" w:cs="Arial"/>
                <w:sz w:val="20"/>
                <w:szCs w:val="20"/>
                <w:lang w:eastAsia="en-GB"/>
              </w:rPr>
            </w:pPr>
          </w:p>
        </w:tc>
        <w:tc>
          <w:tcPr>
            <w:tcW w:w="1020" w:type="dxa"/>
            <w:tcBorders>
              <w:top w:val="nil"/>
              <w:left w:val="nil"/>
              <w:bottom w:val="nil"/>
              <w:right w:val="nil"/>
            </w:tcBorders>
            <w:shd w:val="clear" w:color="auto" w:fill="auto"/>
            <w:noWrap/>
            <w:vAlign w:val="bottom"/>
            <w:hideMark/>
          </w:tcPr>
          <w:p w14:paraId="3EFA75F2" w14:textId="77777777" w:rsidR="0088624C" w:rsidRPr="00F05339" w:rsidRDefault="0088624C" w:rsidP="006D4624">
            <w:pPr>
              <w:spacing w:after="0" w:line="240" w:lineRule="auto"/>
              <w:rPr>
                <w:rFonts w:ascii="Arial" w:eastAsia="Times New Roman" w:hAnsi="Arial" w:cs="Arial"/>
                <w:sz w:val="20"/>
                <w:szCs w:val="20"/>
                <w:lang w:eastAsia="en-GB"/>
              </w:rPr>
            </w:pPr>
          </w:p>
        </w:tc>
        <w:tc>
          <w:tcPr>
            <w:tcW w:w="1020" w:type="dxa"/>
            <w:tcBorders>
              <w:top w:val="nil"/>
              <w:left w:val="nil"/>
              <w:bottom w:val="nil"/>
              <w:right w:val="nil"/>
            </w:tcBorders>
            <w:shd w:val="clear" w:color="auto" w:fill="auto"/>
            <w:noWrap/>
            <w:vAlign w:val="bottom"/>
            <w:hideMark/>
          </w:tcPr>
          <w:p w14:paraId="298B8FC5" w14:textId="77777777" w:rsidR="0088624C" w:rsidRPr="00F05339" w:rsidRDefault="0088624C" w:rsidP="006D4624">
            <w:pPr>
              <w:spacing w:after="0" w:line="240" w:lineRule="auto"/>
              <w:rPr>
                <w:rFonts w:ascii="Arial" w:eastAsia="Times New Roman" w:hAnsi="Arial" w:cs="Arial"/>
                <w:sz w:val="20"/>
                <w:szCs w:val="20"/>
                <w:lang w:eastAsia="en-GB"/>
              </w:rPr>
            </w:pPr>
          </w:p>
        </w:tc>
      </w:tr>
      <w:tr w:rsidR="0088624C" w:rsidRPr="00F05339" w14:paraId="0815F1A5" w14:textId="77777777" w:rsidTr="006D4624">
        <w:trPr>
          <w:gridAfter w:val="1"/>
          <w:wAfter w:w="222" w:type="dxa"/>
          <w:trHeight w:val="450"/>
        </w:trPr>
        <w:tc>
          <w:tcPr>
            <w:tcW w:w="3700" w:type="dxa"/>
            <w:vMerge w:val="restart"/>
            <w:tcBorders>
              <w:top w:val="single" w:sz="8" w:space="0" w:color="auto"/>
              <w:left w:val="single" w:sz="8" w:space="0" w:color="auto"/>
              <w:bottom w:val="single" w:sz="4" w:space="0" w:color="000000"/>
              <w:right w:val="single" w:sz="4" w:space="0" w:color="auto"/>
            </w:tcBorders>
            <w:shd w:val="clear" w:color="000000" w:fill="60B0AF"/>
            <w:vAlign w:val="center"/>
            <w:hideMark/>
          </w:tcPr>
          <w:p w14:paraId="18A4F547" w14:textId="77777777" w:rsidR="0088624C" w:rsidRPr="00F05339" w:rsidRDefault="0088624C" w:rsidP="006D4624">
            <w:pPr>
              <w:spacing w:after="0" w:line="240" w:lineRule="auto"/>
              <w:rPr>
                <w:rFonts w:ascii="Arial" w:eastAsia="Times New Roman" w:hAnsi="Arial" w:cs="Arial"/>
                <w:b/>
                <w:bCs/>
                <w:color w:val="FFFFFF"/>
                <w:sz w:val="18"/>
                <w:szCs w:val="18"/>
                <w:lang w:eastAsia="en-GB"/>
              </w:rPr>
            </w:pPr>
            <w:r w:rsidRPr="00F05339">
              <w:rPr>
                <w:rFonts w:ascii="Arial" w:eastAsia="Times New Roman" w:hAnsi="Arial" w:cs="Arial"/>
                <w:b/>
                <w:bCs/>
                <w:color w:val="FFFFFF"/>
                <w:sz w:val="18"/>
                <w:szCs w:val="18"/>
                <w:lang w:eastAsia="en-GB"/>
              </w:rPr>
              <w:t>IKAA in EUR mil.</w:t>
            </w:r>
          </w:p>
        </w:tc>
        <w:tc>
          <w:tcPr>
            <w:tcW w:w="1024" w:type="dxa"/>
            <w:vMerge w:val="restart"/>
            <w:tcBorders>
              <w:top w:val="single" w:sz="8" w:space="0" w:color="auto"/>
              <w:left w:val="single" w:sz="4" w:space="0" w:color="auto"/>
              <w:bottom w:val="single" w:sz="4" w:space="0" w:color="auto"/>
              <w:right w:val="single" w:sz="4" w:space="0" w:color="auto"/>
            </w:tcBorders>
            <w:shd w:val="clear" w:color="000000" w:fill="60B0AF"/>
            <w:vAlign w:val="center"/>
            <w:hideMark/>
          </w:tcPr>
          <w:p w14:paraId="0B6274D2" w14:textId="77777777" w:rsidR="0088624C" w:rsidRPr="00F05339" w:rsidRDefault="0088624C" w:rsidP="006D4624">
            <w:pPr>
              <w:spacing w:after="0" w:line="240" w:lineRule="auto"/>
              <w:jc w:val="center"/>
              <w:rPr>
                <w:rFonts w:ascii="Arial" w:eastAsia="Times New Roman" w:hAnsi="Arial" w:cs="Arial"/>
                <w:b/>
                <w:bCs/>
                <w:color w:val="FFFFFF"/>
                <w:sz w:val="18"/>
                <w:szCs w:val="18"/>
                <w:lang w:eastAsia="en-GB"/>
              </w:rPr>
            </w:pPr>
            <w:r w:rsidRPr="00F05339">
              <w:rPr>
                <w:rFonts w:ascii="Arial" w:eastAsia="Times New Roman" w:hAnsi="Arial" w:cs="Arial"/>
                <w:b/>
                <w:bCs/>
                <w:color w:val="FFFFFF"/>
                <w:sz w:val="18"/>
                <w:szCs w:val="18"/>
                <w:lang w:eastAsia="en-GB"/>
              </w:rPr>
              <w:t>2014/2015</w:t>
            </w:r>
          </w:p>
        </w:tc>
        <w:tc>
          <w:tcPr>
            <w:tcW w:w="1020" w:type="dxa"/>
            <w:vMerge w:val="restart"/>
            <w:tcBorders>
              <w:top w:val="single" w:sz="8" w:space="0" w:color="auto"/>
              <w:left w:val="single" w:sz="4" w:space="0" w:color="auto"/>
              <w:bottom w:val="single" w:sz="4" w:space="0" w:color="auto"/>
              <w:right w:val="single" w:sz="4" w:space="0" w:color="auto"/>
            </w:tcBorders>
            <w:shd w:val="clear" w:color="000000" w:fill="60B0AF"/>
            <w:vAlign w:val="center"/>
            <w:hideMark/>
          </w:tcPr>
          <w:p w14:paraId="5B284F77" w14:textId="77777777" w:rsidR="0088624C" w:rsidRPr="00F05339" w:rsidRDefault="0088624C" w:rsidP="006D4624">
            <w:pPr>
              <w:spacing w:after="0" w:line="240" w:lineRule="auto"/>
              <w:jc w:val="center"/>
              <w:rPr>
                <w:rFonts w:ascii="Arial" w:eastAsia="Times New Roman" w:hAnsi="Arial" w:cs="Arial"/>
                <w:b/>
                <w:bCs/>
                <w:color w:val="FFFFFF"/>
                <w:sz w:val="18"/>
                <w:szCs w:val="18"/>
                <w:lang w:eastAsia="en-GB"/>
              </w:rPr>
            </w:pPr>
            <w:r w:rsidRPr="00F05339">
              <w:rPr>
                <w:rFonts w:ascii="Arial" w:eastAsia="Times New Roman" w:hAnsi="Arial" w:cs="Arial"/>
                <w:b/>
                <w:bCs/>
                <w:color w:val="FFFFFF"/>
                <w:sz w:val="18"/>
                <w:szCs w:val="18"/>
                <w:lang w:eastAsia="en-GB"/>
              </w:rPr>
              <w:t>2016</w:t>
            </w:r>
          </w:p>
        </w:tc>
        <w:tc>
          <w:tcPr>
            <w:tcW w:w="1020" w:type="dxa"/>
            <w:vMerge w:val="restart"/>
            <w:tcBorders>
              <w:top w:val="single" w:sz="8" w:space="0" w:color="auto"/>
              <w:left w:val="single" w:sz="4" w:space="0" w:color="auto"/>
              <w:bottom w:val="single" w:sz="4" w:space="0" w:color="auto"/>
              <w:right w:val="single" w:sz="4" w:space="0" w:color="auto"/>
            </w:tcBorders>
            <w:shd w:val="clear" w:color="000000" w:fill="60B0AF"/>
            <w:vAlign w:val="center"/>
            <w:hideMark/>
          </w:tcPr>
          <w:p w14:paraId="347D6465" w14:textId="77777777" w:rsidR="0088624C" w:rsidRPr="00F05339" w:rsidRDefault="0088624C" w:rsidP="006D4624">
            <w:pPr>
              <w:spacing w:after="0" w:line="240" w:lineRule="auto"/>
              <w:jc w:val="center"/>
              <w:rPr>
                <w:rFonts w:ascii="Arial" w:eastAsia="Times New Roman" w:hAnsi="Arial" w:cs="Arial"/>
                <w:b/>
                <w:bCs/>
                <w:color w:val="FFFFFF"/>
                <w:sz w:val="18"/>
                <w:szCs w:val="18"/>
                <w:lang w:eastAsia="en-GB"/>
              </w:rPr>
            </w:pPr>
            <w:r w:rsidRPr="00F05339">
              <w:rPr>
                <w:rFonts w:ascii="Arial" w:eastAsia="Times New Roman" w:hAnsi="Arial" w:cs="Arial"/>
                <w:b/>
                <w:bCs/>
                <w:color w:val="FFFFFF"/>
                <w:sz w:val="18"/>
                <w:szCs w:val="18"/>
                <w:lang w:eastAsia="en-GB"/>
              </w:rPr>
              <w:t>2017</w:t>
            </w:r>
          </w:p>
        </w:tc>
        <w:tc>
          <w:tcPr>
            <w:tcW w:w="1020" w:type="dxa"/>
            <w:vMerge w:val="restart"/>
            <w:tcBorders>
              <w:top w:val="single" w:sz="8" w:space="0" w:color="auto"/>
              <w:left w:val="single" w:sz="4" w:space="0" w:color="auto"/>
              <w:bottom w:val="single" w:sz="4" w:space="0" w:color="auto"/>
              <w:right w:val="single" w:sz="4" w:space="0" w:color="auto"/>
            </w:tcBorders>
            <w:shd w:val="clear" w:color="000000" w:fill="60B0AF"/>
            <w:vAlign w:val="center"/>
            <w:hideMark/>
          </w:tcPr>
          <w:p w14:paraId="49813A34" w14:textId="77777777" w:rsidR="0088624C" w:rsidRPr="00F05339" w:rsidRDefault="0088624C" w:rsidP="006D4624">
            <w:pPr>
              <w:spacing w:after="0" w:line="240" w:lineRule="auto"/>
              <w:jc w:val="center"/>
              <w:rPr>
                <w:rFonts w:ascii="Arial" w:eastAsia="Times New Roman" w:hAnsi="Arial" w:cs="Arial"/>
                <w:b/>
                <w:bCs/>
                <w:color w:val="FFFFFF"/>
                <w:sz w:val="18"/>
                <w:szCs w:val="18"/>
                <w:lang w:eastAsia="en-GB"/>
              </w:rPr>
            </w:pPr>
            <w:r w:rsidRPr="00F05339">
              <w:rPr>
                <w:rFonts w:ascii="Arial" w:eastAsia="Times New Roman" w:hAnsi="Arial" w:cs="Arial"/>
                <w:b/>
                <w:bCs/>
                <w:color w:val="FFFFFF"/>
                <w:sz w:val="18"/>
                <w:szCs w:val="18"/>
                <w:lang w:eastAsia="en-GB"/>
              </w:rPr>
              <w:t>2018</w:t>
            </w:r>
          </w:p>
        </w:tc>
        <w:tc>
          <w:tcPr>
            <w:tcW w:w="1020" w:type="dxa"/>
            <w:vMerge w:val="restart"/>
            <w:tcBorders>
              <w:top w:val="single" w:sz="8" w:space="0" w:color="auto"/>
              <w:left w:val="single" w:sz="4" w:space="0" w:color="auto"/>
              <w:bottom w:val="single" w:sz="4" w:space="0" w:color="auto"/>
              <w:right w:val="single" w:sz="4" w:space="0" w:color="auto"/>
            </w:tcBorders>
            <w:shd w:val="clear" w:color="000000" w:fill="60B0AF"/>
            <w:vAlign w:val="center"/>
            <w:hideMark/>
          </w:tcPr>
          <w:p w14:paraId="7DA2A99D" w14:textId="77777777" w:rsidR="0088624C" w:rsidRPr="00F05339" w:rsidRDefault="0088624C" w:rsidP="006D4624">
            <w:pPr>
              <w:spacing w:after="0" w:line="240" w:lineRule="auto"/>
              <w:jc w:val="center"/>
              <w:rPr>
                <w:rFonts w:ascii="Arial" w:eastAsia="Times New Roman" w:hAnsi="Arial" w:cs="Arial"/>
                <w:b/>
                <w:bCs/>
                <w:color w:val="FFFFFF"/>
                <w:sz w:val="18"/>
                <w:szCs w:val="18"/>
                <w:lang w:eastAsia="en-GB"/>
              </w:rPr>
            </w:pPr>
            <w:r w:rsidRPr="00F05339">
              <w:rPr>
                <w:rFonts w:ascii="Arial" w:eastAsia="Times New Roman" w:hAnsi="Arial" w:cs="Arial"/>
                <w:b/>
                <w:bCs/>
                <w:color w:val="FFFFFF"/>
                <w:sz w:val="18"/>
                <w:szCs w:val="18"/>
                <w:lang w:eastAsia="en-GB"/>
              </w:rPr>
              <w:t>2019</w:t>
            </w:r>
          </w:p>
        </w:tc>
        <w:tc>
          <w:tcPr>
            <w:tcW w:w="1020" w:type="dxa"/>
            <w:vMerge w:val="restart"/>
            <w:tcBorders>
              <w:top w:val="single" w:sz="8" w:space="0" w:color="auto"/>
              <w:left w:val="single" w:sz="4" w:space="0" w:color="auto"/>
              <w:bottom w:val="single" w:sz="4" w:space="0" w:color="auto"/>
              <w:right w:val="single" w:sz="4" w:space="0" w:color="auto"/>
            </w:tcBorders>
            <w:shd w:val="clear" w:color="000000" w:fill="60B0AF"/>
            <w:vAlign w:val="center"/>
            <w:hideMark/>
          </w:tcPr>
          <w:p w14:paraId="6451EC3C" w14:textId="77777777" w:rsidR="0088624C" w:rsidRPr="00F05339" w:rsidRDefault="0088624C" w:rsidP="006D4624">
            <w:pPr>
              <w:spacing w:after="0" w:line="240" w:lineRule="auto"/>
              <w:jc w:val="center"/>
              <w:rPr>
                <w:rFonts w:ascii="Arial" w:eastAsia="Times New Roman" w:hAnsi="Arial" w:cs="Arial"/>
                <w:b/>
                <w:bCs/>
                <w:color w:val="FFFFFF"/>
                <w:sz w:val="18"/>
                <w:szCs w:val="18"/>
                <w:lang w:eastAsia="en-GB"/>
              </w:rPr>
            </w:pPr>
            <w:r w:rsidRPr="00F05339">
              <w:rPr>
                <w:rFonts w:ascii="Arial" w:eastAsia="Times New Roman" w:hAnsi="Arial" w:cs="Arial"/>
                <w:b/>
                <w:bCs/>
                <w:color w:val="FFFFFF"/>
                <w:sz w:val="18"/>
                <w:szCs w:val="18"/>
                <w:lang w:eastAsia="en-GB"/>
              </w:rPr>
              <w:t>2020</w:t>
            </w:r>
          </w:p>
        </w:tc>
        <w:tc>
          <w:tcPr>
            <w:tcW w:w="1020" w:type="dxa"/>
            <w:vMerge w:val="restart"/>
            <w:tcBorders>
              <w:top w:val="single" w:sz="8" w:space="0" w:color="auto"/>
              <w:left w:val="single" w:sz="4" w:space="0" w:color="auto"/>
              <w:bottom w:val="single" w:sz="4" w:space="0" w:color="auto"/>
              <w:right w:val="single" w:sz="8" w:space="0" w:color="auto"/>
            </w:tcBorders>
            <w:shd w:val="clear" w:color="000000" w:fill="60B0AF"/>
            <w:vAlign w:val="center"/>
            <w:hideMark/>
          </w:tcPr>
          <w:p w14:paraId="35E0B1E8" w14:textId="77777777" w:rsidR="0088624C" w:rsidRPr="00F05339" w:rsidRDefault="0088624C" w:rsidP="006D4624">
            <w:pPr>
              <w:spacing w:after="0" w:line="240" w:lineRule="auto"/>
              <w:jc w:val="center"/>
              <w:rPr>
                <w:rFonts w:ascii="Arial" w:eastAsia="Times New Roman" w:hAnsi="Arial" w:cs="Arial"/>
                <w:b/>
                <w:bCs/>
                <w:color w:val="FFFFFF"/>
                <w:sz w:val="18"/>
                <w:szCs w:val="18"/>
                <w:lang w:eastAsia="en-GB"/>
              </w:rPr>
            </w:pPr>
            <w:r w:rsidRPr="00F05339">
              <w:rPr>
                <w:rFonts w:ascii="Arial" w:eastAsia="Times New Roman" w:hAnsi="Arial" w:cs="Arial"/>
                <w:b/>
                <w:bCs/>
                <w:color w:val="FFFFFF"/>
                <w:sz w:val="18"/>
                <w:szCs w:val="18"/>
                <w:lang w:eastAsia="en-GB"/>
              </w:rPr>
              <w:t>TOTAL</w:t>
            </w:r>
          </w:p>
        </w:tc>
      </w:tr>
      <w:tr w:rsidR="0088624C" w:rsidRPr="00F05339" w14:paraId="10BD56CB" w14:textId="77777777" w:rsidTr="006D4624">
        <w:trPr>
          <w:trHeight w:val="300"/>
        </w:trPr>
        <w:tc>
          <w:tcPr>
            <w:tcW w:w="3700" w:type="dxa"/>
            <w:vMerge/>
            <w:tcBorders>
              <w:top w:val="single" w:sz="8" w:space="0" w:color="auto"/>
              <w:left w:val="single" w:sz="8" w:space="0" w:color="auto"/>
              <w:bottom w:val="single" w:sz="4" w:space="0" w:color="000000"/>
              <w:right w:val="single" w:sz="4" w:space="0" w:color="auto"/>
            </w:tcBorders>
            <w:vAlign w:val="center"/>
            <w:hideMark/>
          </w:tcPr>
          <w:p w14:paraId="4CE3EAAF" w14:textId="77777777" w:rsidR="0088624C" w:rsidRPr="00F05339" w:rsidRDefault="0088624C" w:rsidP="006D4624">
            <w:pPr>
              <w:spacing w:after="0" w:line="240" w:lineRule="auto"/>
              <w:rPr>
                <w:rFonts w:ascii="Arial" w:eastAsia="Times New Roman" w:hAnsi="Arial" w:cs="Arial"/>
                <w:b/>
                <w:bCs/>
                <w:color w:val="FFFFFF"/>
                <w:sz w:val="18"/>
                <w:szCs w:val="18"/>
                <w:lang w:eastAsia="en-GB"/>
              </w:rPr>
            </w:pPr>
          </w:p>
        </w:tc>
        <w:tc>
          <w:tcPr>
            <w:tcW w:w="1024" w:type="dxa"/>
            <w:vMerge/>
            <w:tcBorders>
              <w:top w:val="single" w:sz="8" w:space="0" w:color="auto"/>
              <w:left w:val="single" w:sz="4" w:space="0" w:color="auto"/>
              <w:bottom w:val="single" w:sz="4" w:space="0" w:color="auto"/>
              <w:right w:val="single" w:sz="4" w:space="0" w:color="auto"/>
            </w:tcBorders>
            <w:vAlign w:val="center"/>
            <w:hideMark/>
          </w:tcPr>
          <w:p w14:paraId="5EAF07B3" w14:textId="77777777" w:rsidR="0088624C" w:rsidRPr="00F05339" w:rsidRDefault="0088624C" w:rsidP="006D4624">
            <w:pPr>
              <w:spacing w:after="0" w:line="240" w:lineRule="auto"/>
              <w:rPr>
                <w:rFonts w:ascii="Arial" w:eastAsia="Times New Roman" w:hAnsi="Arial" w:cs="Arial"/>
                <w:b/>
                <w:bCs/>
                <w:color w:val="FFFFFF"/>
                <w:sz w:val="18"/>
                <w:szCs w:val="18"/>
                <w:lang w:eastAsia="en-GB"/>
              </w:rPr>
            </w:pPr>
          </w:p>
        </w:tc>
        <w:tc>
          <w:tcPr>
            <w:tcW w:w="1020" w:type="dxa"/>
            <w:vMerge/>
            <w:tcBorders>
              <w:top w:val="single" w:sz="8" w:space="0" w:color="auto"/>
              <w:left w:val="single" w:sz="4" w:space="0" w:color="auto"/>
              <w:bottom w:val="single" w:sz="4" w:space="0" w:color="auto"/>
              <w:right w:val="single" w:sz="4" w:space="0" w:color="auto"/>
            </w:tcBorders>
            <w:vAlign w:val="center"/>
            <w:hideMark/>
          </w:tcPr>
          <w:p w14:paraId="7BC74CD8" w14:textId="77777777" w:rsidR="0088624C" w:rsidRPr="00F05339" w:rsidRDefault="0088624C" w:rsidP="006D4624">
            <w:pPr>
              <w:spacing w:after="0" w:line="240" w:lineRule="auto"/>
              <w:rPr>
                <w:rFonts w:ascii="Arial" w:eastAsia="Times New Roman" w:hAnsi="Arial" w:cs="Arial"/>
                <w:b/>
                <w:bCs/>
                <w:color w:val="FFFFFF"/>
                <w:sz w:val="18"/>
                <w:szCs w:val="18"/>
                <w:lang w:eastAsia="en-GB"/>
              </w:rPr>
            </w:pPr>
          </w:p>
        </w:tc>
        <w:tc>
          <w:tcPr>
            <w:tcW w:w="1020" w:type="dxa"/>
            <w:vMerge/>
            <w:tcBorders>
              <w:top w:val="single" w:sz="8" w:space="0" w:color="auto"/>
              <w:left w:val="single" w:sz="4" w:space="0" w:color="auto"/>
              <w:bottom w:val="single" w:sz="4" w:space="0" w:color="auto"/>
              <w:right w:val="single" w:sz="4" w:space="0" w:color="auto"/>
            </w:tcBorders>
            <w:vAlign w:val="center"/>
            <w:hideMark/>
          </w:tcPr>
          <w:p w14:paraId="27DBED1C" w14:textId="77777777" w:rsidR="0088624C" w:rsidRPr="00F05339" w:rsidRDefault="0088624C" w:rsidP="006D4624">
            <w:pPr>
              <w:spacing w:after="0" w:line="240" w:lineRule="auto"/>
              <w:rPr>
                <w:rFonts w:ascii="Arial" w:eastAsia="Times New Roman" w:hAnsi="Arial" w:cs="Arial"/>
                <w:b/>
                <w:bCs/>
                <w:color w:val="FFFFFF"/>
                <w:sz w:val="18"/>
                <w:szCs w:val="18"/>
                <w:lang w:eastAsia="en-GB"/>
              </w:rPr>
            </w:pPr>
          </w:p>
        </w:tc>
        <w:tc>
          <w:tcPr>
            <w:tcW w:w="1020" w:type="dxa"/>
            <w:vMerge/>
            <w:tcBorders>
              <w:top w:val="single" w:sz="8" w:space="0" w:color="auto"/>
              <w:left w:val="single" w:sz="4" w:space="0" w:color="auto"/>
              <w:bottom w:val="single" w:sz="4" w:space="0" w:color="auto"/>
              <w:right w:val="single" w:sz="4" w:space="0" w:color="auto"/>
            </w:tcBorders>
            <w:vAlign w:val="center"/>
            <w:hideMark/>
          </w:tcPr>
          <w:p w14:paraId="3B2421B7" w14:textId="77777777" w:rsidR="0088624C" w:rsidRPr="00F05339" w:rsidRDefault="0088624C" w:rsidP="006D4624">
            <w:pPr>
              <w:spacing w:after="0" w:line="240" w:lineRule="auto"/>
              <w:rPr>
                <w:rFonts w:ascii="Arial" w:eastAsia="Times New Roman" w:hAnsi="Arial" w:cs="Arial"/>
                <w:b/>
                <w:bCs/>
                <w:color w:val="FFFFFF"/>
                <w:sz w:val="18"/>
                <w:szCs w:val="18"/>
                <w:lang w:eastAsia="en-GB"/>
              </w:rPr>
            </w:pPr>
          </w:p>
        </w:tc>
        <w:tc>
          <w:tcPr>
            <w:tcW w:w="1020" w:type="dxa"/>
            <w:vMerge/>
            <w:tcBorders>
              <w:top w:val="single" w:sz="8" w:space="0" w:color="auto"/>
              <w:left w:val="single" w:sz="4" w:space="0" w:color="auto"/>
              <w:bottom w:val="single" w:sz="4" w:space="0" w:color="auto"/>
              <w:right w:val="single" w:sz="4" w:space="0" w:color="auto"/>
            </w:tcBorders>
            <w:vAlign w:val="center"/>
            <w:hideMark/>
          </w:tcPr>
          <w:p w14:paraId="742E3B73" w14:textId="77777777" w:rsidR="0088624C" w:rsidRPr="00F05339" w:rsidRDefault="0088624C" w:rsidP="006D4624">
            <w:pPr>
              <w:spacing w:after="0" w:line="240" w:lineRule="auto"/>
              <w:rPr>
                <w:rFonts w:ascii="Arial" w:eastAsia="Times New Roman" w:hAnsi="Arial" w:cs="Arial"/>
                <w:b/>
                <w:bCs/>
                <w:color w:val="FFFFFF"/>
                <w:sz w:val="18"/>
                <w:szCs w:val="18"/>
                <w:lang w:eastAsia="en-GB"/>
              </w:rPr>
            </w:pPr>
          </w:p>
        </w:tc>
        <w:tc>
          <w:tcPr>
            <w:tcW w:w="1020" w:type="dxa"/>
            <w:vMerge/>
            <w:tcBorders>
              <w:top w:val="single" w:sz="8" w:space="0" w:color="auto"/>
              <w:left w:val="single" w:sz="4" w:space="0" w:color="auto"/>
              <w:bottom w:val="single" w:sz="4" w:space="0" w:color="auto"/>
              <w:right w:val="single" w:sz="4" w:space="0" w:color="auto"/>
            </w:tcBorders>
            <w:vAlign w:val="center"/>
            <w:hideMark/>
          </w:tcPr>
          <w:p w14:paraId="2CABA00B" w14:textId="77777777" w:rsidR="0088624C" w:rsidRPr="00F05339" w:rsidRDefault="0088624C" w:rsidP="006D4624">
            <w:pPr>
              <w:spacing w:after="0" w:line="240" w:lineRule="auto"/>
              <w:rPr>
                <w:rFonts w:ascii="Arial" w:eastAsia="Times New Roman" w:hAnsi="Arial" w:cs="Arial"/>
                <w:b/>
                <w:bCs/>
                <w:color w:val="FFFFFF"/>
                <w:sz w:val="18"/>
                <w:szCs w:val="18"/>
                <w:lang w:eastAsia="en-GB"/>
              </w:rPr>
            </w:pPr>
          </w:p>
        </w:tc>
        <w:tc>
          <w:tcPr>
            <w:tcW w:w="1020" w:type="dxa"/>
            <w:vMerge/>
            <w:tcBorders>
              <w:top w:val="single" w:sz="8" w:space="0" w:color="auto"/>
              <w:left w:val="single" w:sz="4" w:space="0" w:color="auto"/>
              <w:bottom w:val="single" w:sz="4" w:space="0" w:color="auto"/>
              <w:right w:val="single" w:sz="8" w:space="0" w:color="auto"/>
            </w:tcBorders>
            <w:vAlign w:val="center"/>
            <w:hideMark/>
          </w:tcPr>
          <w:p w14:paraId="4F2783D0" w14:textId="77777777" w:rsidR="0088624C" w:rsidRPr="00F05339" w:rsidRDefault="0088624C" w:rsidP="006D4624">
            <w:pPr>
              <w:spacing w:after="0" w:line="240" w:lineRule="auto"/>
              <w:rPr>
                <w:rFonts w:ascii="Arial" w:eastAsia="Times New Roman" w:hAnsi="Arial" w:cs="Arial"/>
                <w:b/>
                <w:bCs/>
                <w:color w:val="FFFFFF"/>
                <w:sz w:val="18"/>
                <w:szCs w:val="18"/>
                <w:lang w:eastAsia="en-GB"/>
              </w:rPr>
            </w:pPr>
          </w:p>
        </w:tc>
        <w:tc>
          <w:tcPr>
            <w:tcW w:w="222" w:type="dxa"/>
            <w:tcBorders>
              <w:top w:val="nil"/>
              <w:left w:val="nil"/>
              <w:bottom w:val="nil"/>
              <w:right w:val="nil"/>
            </w:tcBorders>
            <w:shd w:val="clear" w:color="auto" w:fill="auto"/>
            <w:noWrap/>
            <w:vAlign w:val="bottom"/>
            <w:hideMark/>
          </w:tcPr>
          <w:p w14:paraId="39F896C8" w14:textId="77777777" w:rsidR="0088624C" w:rsidRPr="00F05339" w:rsidRDefault="0088624C" w:rsidP="006D4624">
            <w:pPr>
              <w:spacing w:after="0" w:line="240" w:lineRule="auto"/>
              <w:jc w:val="center"/>
              <w:rPr>
                <w:rFonts w:ascii="Arial" w:eastAsia="Times New Roman" w:hAnsi="Arial" w:cs="Arial"/>
                <w:b/>
                <w:bCs/>
                <w:color w:val="FFFFFF"/>
                <w:sz w:val="18"/>
                <w:szCs w:val="18"/>
                <w:lang w:eastAsia="en-GB"/>
              </w:rPr>
            </w:pPr>
          </w:p>
        </w:tc>
      </w:tr>
      <w:tr w:rsidR="0088624C" w:rsidRPr="00F05339" w14:paraId="2759535A" w14:textId="77777777" w:rsidTr="006D4624">
        <w:trPr>
          <w:trHeight w:val="495"/>
        </w:trPr>
        <w:tc>
          <w:tcPr>
            <w:tcW w:w="3700" w:type="dxa"/>
            <w:tcBorders>
              <w:top w:val="nil"/>
              <w:left w:val="single" w:sz="8" w:space="0" w:color="auto"/>
              <w:bottom w:val="single" w:sz="8" w:space="0" w:color="auto"/>
              <w:right w:val="single" w:sz="4" w:space="0" w:color="auto"/>
            </w:tcBorders>
            <w:shd w:val="clear" w:color="000000" w:fill="FFFFFF"/>
            <w:vAlign w:val="center"/>
            <w:hideMark/>
          </w:tcPr>
          <w:p w14:paraId="4AB75EF2" w14:textId="77777777" w:rsidR="0088624C" w:rsidRPr="00F05339" w:rsidRDefault="0088624C" w:rsidP="006D4624">
            <w:pPr>
              <w:spacing w:after="0" w:line="240" w:lineRule="auto"/>
              <w:rPr>
                <w:rFonts w:ascii="Arial" w:eastAsia="Times New Roman" w:hAnsi="Arial" w:cs="Arial"/>
                <w:color w:val="000000"/>
                <w:sz w:val="18"/>
                <w:szCs w:val="18"/>
                <w:lang w:eastAsia="en-GB"/>
              </w:rPr>
            </w:pPr>
            <w:r w:rsidRPr="00F05339">
              <w:rPr>
                <w:rFonts w:ascii="Arial" w:eastAsia="Times New Roman" w:hAnsi="Arial" w:cs="Arial"/>
                <w:color w:val="000000"/>
                <w:sz w:val="18"/>
                <w:szCs w:val="18"/>
                <w:lang w:eastAsia="en-GB"/>
              </w:rPr>
              <w:t xml:space="preserve">Total certified IKAA for H2020 as </w:t>
            </w:r>
            <w:proofErr w:type="gramStart"/>
            <w:r w:rsidRPr="00F05339">
              <w:rPr>
                <w:rFonts w:ascii="Arial" w:eastAsia="Times New Roman" w:hAnsi="Arial" w:cs="Arial"/>
                <w:color w:val="000000"/>
                <w:sz w:val="18"/>
                <w:szCs w:val="18"/>
                <w:lang w:eastAsia="en-GB"/>
              </w:rPr>
              <w:t>at</w:t>
            </w:r>
            <w:proofErr w:type="gramEnd"/>
            <w:r w:rsidRPr="00F05339">
              <w:rPr>
                <w:rFonts w:ascii="Arial" w:eastAsia="Times New Roman" w:hAnsi="Arial" w:cs="Arial"/>
                <w:color w:val="000000"/>
                <w:sz w:val="18"/>
                <w:szCs w:val="18"/>
                <w:lang w:eastAsia="en-GB"/>
              </w:rPr>
              <w:t xml:space="preserve"> 31 December 2021</w:t>
            </w:r>
          </w:p>
        </w:tc>
        <w:tc>
          <w:tcPr>
            <w:tcW w:w="1024" w:type="dxa"/>
            <w:tcBorders>
              <w:top w:val="nil"/>
              <w:left w:val="nil"/>
              <w:bottom w:val="single" w:sz="8" w:space="0" w:color="auto"/>
              <w:right w:val="single" w:sz="4" w:space="0" w:color="auto"/>
            </w:tcBorders>
            <w:shd w:val="clear" w:color="000000" w:fill="FFFFFF"/>
            <w:vAlign w:val="center"/>
            <w:hideMark/>
          </w:tcPr>
          <w:p w14:paraId="77C24267" w14:textId="77777777" w:rsidR="0088624C" w:rsidRPr="00F05339" w:rsidRDefault="0088624C" w:rsidP="006D4624">
            <w:pPr>
              <w:spacing w:after="0" w:line="240" w:lineRule="auto"/>
              <w:jc w:val="right"/>
              <w:rPr>
                <w:rFonts w:ascii="Arial" w:eastAsia="Times New Roman" w:hAnsi="Arial" w:cs="Arial"/>
                <w:b/>
                <w:bCs/>
                <w:color w:val="000000"/>
                <w:sz w:val="18"/>
                <w:szCs w:val="18"/>
                <w:lang w:eastAsia="en-GB"/>
              </w:rPr>
            </w:pPr>
            <w:r w:rsidRPr="00F05339">
              <w:rPr>
                <w:rFonts w:ascii="Arial" w:eastAsia="Times New Roman" w:hAnsi="Arial" w:cs="Arial"/>
                <w:b/>
                <w:bCs/>
                <w:color w:val="000000"/>
                <w:sz w:val="18"/>
                <w:szCs w:val="18"/>
                <w:lang w:eastAsia="en-GB"/>
              </w:rPr>
              <w:t>217.56</w:t>
            </w:r>
          </w:p>
        </w:tc>
        <w:tc>
          <w:tcPr>
            <w:tcW w:w="1020" w:type="dxa"/>
            <w:tcBorders>
              <w:top w:val="nil"/>
              <w:left w:val="nil"/>
              <w:bottom w:val="single" w:sz="8" w:space="0" w:color="auto"/>
              <w:right w:val="single" w:sz="4" w:space="0" w:color="auto"/>
            </w:tcBorders>
            <w:shd w:val="clear" w:color="000000" w:fill="FFFFFF"/>
            <w:vAlign w:val="center"/>
            <w:hideMark/>
          </w:tcPr>
          <w:p w14:paraId="727A571C" w14:textId="77777777" w:rsidR="0088624C" w:rsidRPr="00F05339" w:rsidRDefault="0088624C" w:rsidP="006D4624">
            <w:pPr>
              <w:spacing w:after="0" w:line="240" w:lineRule="auto"/>
              <w:jc w:val="right"/>
              <w:rPr>
                <w:rFonts w:ascii="Arial" w:eastAsia="Times New Roman" w:hAnsi="Arial" w:cs="Arial"/>
                <w:b/>
                <w:bCs/>
                <w:color w:val="000000"/>
                <w:sz w:val="18"/>
                <w:szCs w:val="18"/>
                <w:lang w:eastAsia="en-GB"/>
              </w:rPr>
            </w:pPr>
            <w:r w:rsidRPr="00F05339">
              <w:rPr>
                <w:rFonts w:ascii="Arial" w:eastAsia="Times New Roman" w:hAnsi="Arial" w:cs="Arial"/>
                <w:b/>
                <w:bCs/>
                <w:color w:val="000000"/>
                <w:sz w:val="18"/>
                <w:szCs w:val="18"/>
                <w:lang w:eastAsia="en-GB"/>
              </w:rPr>
              <w:t>164.65</w:t>
            </w:r>
          </w:p>
        </w:tc>
        <w:tc>
          <w:tcPr>
            <w:tcW w:w="1020" w:type="dxa"/>
            <w:tcBorders>
              <w:top w:val="nil"/>
              <w:left w:val="nil"/>
              <w:bottom w:val="single" w:sz="8" w:space="0" w:color="auto"/>
              <w:right w:val="single" w:sz="4" w:space="0" w:color="auto"/>
            </w:tcBorders>
            <w:shd w:val="clear" w:color="000000" w:fill="FFFFFF"/>
            <w:vAlign w:val="center"/>
            <w:hideMark/>
          </w:tcPr>
          <w:p w14:paraId="5A6CCA60" w14:textId="77777777" w:rsidR="0088624C" w:rsidRPr="00F05339" w:rsidRDefault="0088624C" w:rsidP="006D4624">
            <w:pPr>
              <w:spacing w:after="0" w:line="240" w:lineRule="auto"/>
              <w:jc w:val="right"/>
              <w:rPr>
                <w:rFonts w:ascii="Arial" w:eastAsia="Times New Roman" w:hAnsi="Arial" w:cs="Arial"/>
                <w:b/>
                <w:bCs/>
                <w:color w:val="000000"/>
                <w:sz w:val="18"/>
                <w:szCs w:val="18"/>
                <w:lang w:eastAsia="en-GB"/>
              </w:rPr>
            </w:pPr>
            <w:r w:rsidRPr="00F05339">
              <w:rPr>
                <w:rFonts w:ascii="Arial" w:eastAsia="Times New Roman" w:hAnsi="Arial" w:cs="Arial"/>
                <w:b/>
                <w:bCs/>
                <w:color w:val="000000"/>
                <w:sz w:val="18"/>
                <w:szCs w:val="18"/>
                <w:lang w:eastAsia="en-GB"/>
              </w:rPr>
              <w:t>107.34</w:t>
            </w:r>
          </w:p>
        </w:tc>
        <w:tc>
          <w:tcPr>
            <w:tcW w:w="1020" w:type="dxa"/>
            <w:tcBorders>
              <w:top w:val="nil"/>
              <w:left w:val="nil"/>
              <w:bottom w:val="single" w:sz="8" w:space="0" w:color="auto"/>
              <w:right w:val="single" w:sz="4" w:space="0" w:color="auto"/>
            </w:tcBorders>
            <w:shd w:val="clear" w:color="000000" w:fill="FFFFFF"/>
            <w:vAlign w:val="center"/>
            <w:hideMark/>
          </w:tcPr>
          <w:p w14:paraId="1A9CB2CC" w14:textId="77777777" w:rsidR="0088624C" w:rsidRPr="00F05339" w:rsidRDefault="0088624C" w:rsidP="006D4624">
            <w:pPr>
              <w:spacing w:after="0" w:line="240" w:lineRule="auto"/>
              <w:jc w:val="right"/>
              <w:rPr>
                <w:rFonts w:ascii="Arial" w:eastAsia="Times New Roman" w:hAnsi="Arial" w:cs="Arial"/>
                <w:b/>
                <w:bCs/>
                <w:color w:val="000000"/>
                <w:sz w:val="18"/>
                <w:szCs w:val="18"/>
                <w:lang w:eastAsia="en-GB"/>
              </w:rPr>
            </w:pPr>
            <w:r w:rsidRPr="00F05339">
              <w:rPr>
                <w:rFonts w:ascii="Arial" w:eastAsia="Times New Roman" w:hAnsi="Arial" w:cs="Arial"/>
                <w:b/>
                <w:bCs/>
                <w:color w:val="000000"/>
                <w:sz w:val="18"/>
                <w:szCs w:val="18"/>
                <w:lang w:eastAsia="en-GB"/>
              </w:rPr>
              <w:t>177.45</w:t>
            </w:r>
          </w:p>
        </w:tc>
        <w:tc>
          <w:tcPr>
            <w:tcW w:w="1020" w:type="dxa"/>
            <w:tcBorders>
              <w:top w:val="nil"/>
              <w:left w:val="nil"/>
              <w:bottom w:val="single" w:sz="8" w:space="0" w:color="auto"/>
              <w:right w:val="single" w:sz="4" w:space="0" w:color="auto"/>
            </w:tcBorders>
            <w:shd w:val="clear" w:color="000000" w:fill="FFFFFF"/>
            <w:vAlign w:val="center"/>
            <w:hideMark/>
          </w:tcPr>
          <w:p w14:paraId="0884017F" w14:textId="77777777" w:rsidR="0088624C" w:rsidRPr="00F05339" w:rsidRDefault="0088624C" w:rsidP="006D4624">
            <w:pPr>
              <w:spacing w:after="0" w:line="240" w:lineRule="auto"/>
              <w:jc w:val="right"/>
              <w:rPr>
                <w:rFonts w:ascii="Arial" w:eastAsia="Times New Roman" w:hAnsi="Arial" w:cs="Arial"/>
                <w:b/>
                <w:bCs/>
                <w:color w:val="000000"/>
                <w:sz w:val="18"/>
                <w:szCs w:val="18"/>
                <w:lang w:eastAsia="en-GB"/>
              </w:rPr>
            </w:pPr>
            <w:r w:rsidRPr="00F05339">
              <w:rPr>
                <w:rFonts w:ascii="Arial" w:eastAsia="Times New Roman" w:hAnsi="Arial" w:cs="Arial"/>
                <w:b/>
                <w:bCs/>
                <w:color w:val="000000"/>
                <w:sz w:val="18"/>
                <w:szCs w:val="18"/>
                <w:lang w:eastAsia="en-GB"/>
              </w:rPr>
              <w:t>209.55</w:t>
            </w:r>
          </w:p>
        </w:tc>
        <w:tc>
          <w:tcPr>
            <w:tcW w:w="1020" w:type="dxa"/>
            <w:tcBorders>
              <w:top w:val="nil"/>
              <w:left w:val="nil"/>
              <w:bottom w:val="single" w:sz="8" w:space="0" w:color="auto"/>
              <w:right w:val="single" w:sz="4" w:space="0" w:color="auto"/>
            </w:tcBorders>
            <w:shd w:val="clear" w:color="auto" w:fill="auto"/>
            <w:vAlign w:val="center"/>
            <w:hideMark/>
          </w:tcPr>
          <w:p w14:paraId="4B3A2041" w14:textId="77777777" w:rsidR="0088624C" w:rsidRPr="00F05339" w:rsidRDefault="0088624C" w:rsidP="006D4624">
            <w:pPr>
              <w:spacing w:after="0" w:line="240" w:lineRule="auto"/>
              <w:jc w:val="right"/>
              <w:rPr>
                <w:rFonts w:ascii="Arial" w:eastAsia="Times New Roman" w:hAnsi="Arial" w:cs="Arial"/>
                <w:b/>
                <w:bCs/>
                <w:color w:val="000000"/>
                <w:sz w:val="18"/>
                <w:szCs w:val="18"/>
                <w:lang w:eastAsia="en-GB"/>
              </w:rPr>
            </w:pPr>
            <w:r w:rsidRPr="00F05339">
              <w:rPr>
                <w:rFonts w:ascii="Arial" w:eastAsia="Times New Roman" w:hAnsi="Arial" w:cs="Arial"/>
                <w:b/>
                <w:bCs/>
                <w:color w:val="000000"/>
                <w:sz w:val="18"/>
                <w:szCs w:val="18"/>
                <w:lang w:eastAsia="en-GB"/>
              </w:rPr>
              <w:t xml:space="preserve">162.45 </w:t>
            </w:r>
          </w:p>
        </w:tc>
        <w:tc>
          <w:tcPr>
            <w:tcW w:w="1020" w:type="dxa"/>
            <w:tcBorders>
              <w:top w:val="nil"/>
              <w:left w:val="nil"/>
              <w:bottom w:val="single" w:sz="8" w:space="0" w:color="auto"/>
              <w:right w:val="single" w:sz="8" w:space="0" w:color="auto"/>
            </w:tcBorders>
            <w:shd w:val="clear" w:color="auto" w:fill="auto"/>
            <w:vAlign w:val="center"/>
            <w:hideMark/>
          </w:tcPr>
          <w:p w14:paraId="0FF44385" w14:textId="77777777" w:rsidR="0088624C" w:rsidRPr="00F05339" w:rsidRDefault="0088624C" w:rsidP="006D4624">
            <w:pPr>
              <w:spacing w:after="0" w:line="240" w:lineRule="auto"/>
              <w:jc w:val="right"/>
              <w:rPr>
                <w:rFonts w:ascii="Arial" w:eastAsia="Times New Roman" w:hAnsi="Arial" w:cs="Arial"/>
                <w:b/>
                <w:bCs/>
                <w:color w:val="00B050"/>
                <w:sz w:val="18"/>
                <w:szCs w:val="18"/>
                <w:lang w:eastAsia="en-GB"/>
              </w:rPr>
            </w:pPr>
            <w:r w:rsidRPr="00F05339">
              <w:rPr>
                <w:rFonts w:ascii="Arial" w:eastAsia="Times New Roman" w:hAnsi="Arial" w:cs="Arial"/>
                <w:b/>
                <w:bCs/>
                <w:color w:val="00B050"/>
                <w:sz w:val="18"/>
                <w:szCs w:val="18"/>
                <w:lang w:eastAsia="en-GB"/>
              </w:rPr>
              <w:t>1039.00</w:t>
            </w:r>
          </w:p>
        </w:tc>
        <w:tc>
          <w:tcPr>
            <w:tcW w:w="222" w:type="dxa"/>
            <w:vAlign w:val="center"/>
            <w:hideMark/>
          </w:tcPr>
          <w:p w14:paraId="28CEF9FE" w14:textId="77777777" w:rsidR="0088624C" w:rsidRPr="00F05339" w:rsidRDefault="0088624C" w:rsidP="006D4624">
            <w:pPr>
              <w:spacing w:after="0" w:line="240" w:lineRule="auto"/>
              <w:rPr>
                <w:rFonts w:ascii="Arial" w:eastAsia="Times New Roman" w:hAnsi="Arial" w:cs="Arial"/>
                <w:sz w:val="20"/>
                <w:szCs w:val="20"/>
                <w:lang w:eastAsia="en-GB"/>
              </w:rPr>
            </w:pPr>
          </w:p>
        </w:tc>
      </w:tr>
    </w:tbl>
    <w:p w14:paraId="28DF6183" w14:textId="77777777" w:rsidR="0088624C" w:rsidRPr="00F05339" w:rsidRDefault="0088624C" w:rsidP="0088624C">
      <w:pPr>
        <w:ind w:right="18"/>
        <w:jc w:val="both"/>
        <w:rPr>
          <w:rFonts w:ascii="Arial" w:hAnsi="Arial" w:cs="Arial"/>
          <w:sz w:val="16"/>
          <w:szCs w:val="16"/>
        </w:rPr>
      </w:pPr>
    </w:p>
    <w:p w14:paraId="1CACB2D0" w14:textId="77777777" w:rsidR="0088624C" w:rsidRPr="00F05339" w:rsidRDefault="0088624C" w:rsidP="0088624C">
      <w:pPr>
        <w:ind w:right="18"/>
        <w:jc w:val="both"/>
        <w:rPr>
          <w:rFonts w:ascii="Arial" w:hAnsi="Arial" w:cs="Arial"/>
        </w:rPr>
      </w:pPr>
      <w:r w:rsidRPr="00F05339">
        <w:rPr>
          <w:rFonts w:ascii="Arial" w:hAnsi="Arial" w:cs="Arial"/>
        </w:rPr>
        <w:t xml:space="preserve">The following values have been </w:t>
      </w:r>
      <w:proofErr w:type="gramStart"/>
      <w:r w:rsidRPr="00F05339">
        <w:rPr>
          <w:rFonts w:ascii="Arial" w:hAnsi="Arial" w:cs="Arial"/>
        </w:rPr>
        <w:t>taken into account</w:t>
      </w:r>
      <w:proofErr w:type="gramEnd"/>
      <w:r w:rsidRPr="00F05339">
        <w:rPr>
          <w:rFonts w:ascii="Arial" w:hAnsi="Arial" w:cs="Arial"/>
        </w:rPr>
        <w:t xml:space="preserve"> in order to combine an operational component and </w:t>
      </w:r>
      <w:r w:rsidRPr="00F05339">
        <w:rPr>
          <w:rFonts w:ascii="Arial" w:hAnsi="Arial" w:cs="Arial"/>
          <w:i/>
        </w:rPr>
        <w:t>additional activities</w:t>
      </w:r>
      <w:r w:rsidRPr="00F05339">
        <w:rPr>
          <w:rFonts w:ascii="Arial" w:hAnsi="Arial" w:cs="Arial"/>
        </w:rPr>
        <w:t xml:space="preserve"> part of private investments over public investment in the FCH 2 JU:</w:t>
      </w:r>
    </w:p>
    <w:p w14:paraId="28548F56" w14:textId="77777777" w:rsidR="0088624C" w:rsidRPr="00F05339" w:rsidRDefault="0088624C" w:rsidP="0088624C">
      <w:pPr>
        <w:ind w:right="18"/>
        <w:jc w:val="both"/>
        <w:rPr>
          <w:rFonts w:ascii="Arial" w:hAnsi="Arial" w:cs="Arial"/>
          <w:b/>
          <w:bCs/>
          <w:iCs/>
          <w:color w:val="034EA2"/>
        </w:rPr>
      </w:pPr>
      <w:r w:rsidRPr="00F05339">
        <w:rPr>
          <w:rFonts w:ascii="Arial" w:hAnsi="Arial" w:cs="Arial"/>
          <w:b/>
          <w:bCs/>
          <w:iCs/>
          <w:color w:val="034EA2"/>
        </w:rPr>
        <w:t xml:space="preserve">TABLE 1.1.4: Values of leverage effect as </w:t>
      </w:r>
      <w:proofErr w:type="gramStart"/>
      <w:r w:rsidRPr="00F05339">
        <w:rPr>
          <w:rFonts w:ascii="Arial" w:hAnsi="Arial" w:cs="Arial"/>
          <w:b/>
          <w:bCs/>
          <w:iCs/>
          <w:color w:val="034EA2"/>
        </w:rPr>
        <w:t>at</w:t>
      </w:r>
      <w:proofErr w:type="gramEnd"/>
      <w:r w:rsidRPr="00F05339">
        <w:rPr>
          <w:rFonts w:ascii="Arial" w:hAnsi="Arial" w:cs="Arial"/>
          <w:b/>
          <w:bCs/>
          <w:iCs/>
          <w:color w:val="034EA2"/>
        </w:rPr>
        <w:t xml:space="preserve"> 31 December 2021 compared to the overall Horizon 2020 targets</w:t>
      </w:r>
    </w:p>
    <w:tbl>
      <w:tblPr>
        <w:tblW w:w="13036" w:type="dxa"/>
        <w:tblLook w:val="04A0" w:firstRow="1" w:lastRow="0" w:firstColumn="1" w:lastColumn="0" w:noHBand="0" w:noVBand="1"/>
      </w:tblPr>
      <w:tblGrid>
        <w:gridCol w:w="2689"/>
        <w:gridCol w:w="1015"/>
        <w:gridCol w:w="2954"/>
        <w:gridCol w:w="1213"/>
        <w:gridCol w:w="3039"/>
        <w:gridCol w:w="2126"/>
      </w:tblGrid>
      <w:tr w:rsidR="0088624C" w:rsidRPr="00F05339" w14:paraId="5381E0DB" w14:textId="77777777" w:rsidTr="006D4624">
        <w:trPr>
          <w:trHeight w:val="1230"/>
        </w:trPr>
        <w:tc>
          <w:tcPr>
            <w:tcW w:w="3704"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4F0B8B71" w14:textId="77777777" w:rsidR="0088624C" w:rsidRPr="00F05339" w:rsidRDefault="0088624C" w:rsidP="006D4624">
            <w:pPr>
              <w:spacing w:after="0" w:line="240" w:lineRule="auto"/>
              <w:jc w:val="center"/>
              <w:rPr>
                <w:rFonts w:ascii="Arial" w:eastAsia="Times New Roman" w:hAnsi="Arial" w:cs="Arial"/>
                <w:b/>
                <w:bCs/>
                <w:color w:val="000000"/>
                <w:sz w:val="18"/>
                <w:szCs w:val="18"/>
                <w:lang w:eastAsia="en-GB"/>
              </w:rPr>
            </w:pPr>
            <w:r w:rsidRPr="00F05339">
              <w:rPr>
                <w:rFonts w:ascii="Arial" w:eastAsia="Times New Roman" w:hAnsi="Arial" w:cs="Arial"/>
                <w:b/>
                <w:bCs/>
                <w:color w:val="000000"/>
                <w:sz w:val="18"/>
                <w:szCs w:val="18"/>
                <w:lang w:eastAsia="en-GB"/>
              </w:rPr>
              <w:t>The overall Horizon 2020 targets (EUR million) set in the Council Regulation for FCH 2 JU</w:t>
            </w:r>
          </w:p>
        </w:tc>
        <w:tc>
          <w:tcPr>
            <w:tcW w:w="4167" w:type="dxa"/>
            <w:gridSpan w:val="2"/>
            <w:tcBorders>
              <w:top w:val="single" w:sz="4" w:space="0" w:color="auto"/>
              <w:left w:val="nil"/>
              <w:bottom w:val="single" w:sz="4" w:space="0" w:color="auto"/>
              <w:right w:val="single" w:sz="4" w:space="0" w:color="auto"/>
            </w:tcBorders>
            <w:shd w:val="clear" w:color="auto" w:fill="auto"/>
            <w:vAlign w:val="bottom"/>
            <w:hideMark/>
          </w:tcPr>
          <w:p w14:paraId="08F1468B" w14:textId="77777777" w:rsidR="0088624C" w:rsidRPr="00F05339" w:rsidRDefault="0088624C" w:rsidP="006D4624">
            <w:pPr>
              <w:spacing w:after="0" w:line="240" w:lineRule="auto"/>
              <w:jc w:val="center"/>
              <w:rPr>
                <w:rFonts w:ascii="Arial" w:eastAsia="Times New Roman" w:hAnsi="Arial" w:cs="Arial"/>
                <w:b/>
                <w:bCs/>
                <w:color w:val="000000"/>
                <w:sz w:val="18"/>
                <w:szCs w:val="18"/>
                <w:lang w:eastAsia="en-GB"/>
              </w:rPr>
            </w:pPr>
            <w:r w:rsidRPr="00F05339">
              <w:rPr>
                <w:rFonts w:ascii="Arial" w:eastAsia="Times New Roman" w:hAnsi="Arial" w:cs="Arial"/>
                <w:b/>
                <w:bCs/>
                <w:color w:val="000000"/>
                <w:sz w:val="18"/>
                <w:szCs w:val="18"/>
                <w:lang w:eastAsia="en-GB"/>
              </w:rPr>
              <w:t xml:space="preserve">Members contributions as </w:t>
            </w:r>
            <w:proofErr w:type="gramStart"/>
            <w:r w:rsidRPr="00F05339">
              <w:rPr>
                <w:rFonts w:ascii="Arial" w:eastAsia="Times New Roman" w:hAnsi="Arial" w:cs="Arial"/>
                <w:b/>
                <w:bCs/>
                <w:color w:val="000000"/>
                <w:sz w:val="18"/>
                <w:szCs w:val="18"/>
                <w:lang w:eastAsia="en-GB"/>
              </w:rPr>
              <w:t>at</w:t>
            </w:r>
            <w:proofErr w:type="gramEnd"/>
            <w:r w:rsidRPr="00F05339">
              <w:rPr>
                <w:rFonts w:ascii="Arial" w:eastAsia="Times New Roman" w:hAnsi="Arial" w:cs="Arial"/>
                <w:b/>
                <w:bCs/>
                <w:color w:val="000000"/>
                <w:sz w:val="18"/>
                <w:szCs w:val="18"/>
                <w:lang w:eastAsia="en-GB"/>
              </w:rPr>
              <w:t xml:space="preserve"> 31 December 2021 and certified </w:t>
            </w:r>
            <w:r w:rsidRPr="00F05339">
              <w:rPr>
                <w:rFonts w:ascii="Arial" w:eastAsia="Times New Roman" w:hAnsi="Arial" w:cs="Arial"/>
                <w:b/>
                <w:bCs/>
                <w:i/>
                <w:iCs/>
                <w:color w:val="000000"/>
                <w:sz w:val="18"/>
                <w:szCs w:val="18"/>
                <w:lang w:eastAsia="en-GB"/>
              </w:rPr>
              <w:t>additional activities for 2014 - 2020</w:t>
            </w:r>
          </w:p>
        </w:tc>
        <w:tc>
          <w:tcPr>
            <w:tcW w:w="5165" w:type="dxa"/>
            <w:gridSpan w:val="2"/>
            <w:tcBorders>
              <w:top w:val="single" w:sz="4" w:space="0" w:color="auto"/>
              <w:left w:val="nil"/>
              <w:bottom w:val="single" w:sz="4" w:space="0" w:color="auto"/>
              <w:right w:val="single" w:sz="4" w:space="0" w:color="auto"/>
            </w:tcBorders>
            <w:shd w:val="clear" w:color="auto" w:fill="auto"/>
            <w:vAlign w:val="bottom"/>
            <w:hideMark/>
          </w:tcPr>
          <w:p w14:paraId="2B2C09D4" w14:textId="77777777" w:rsidR="0088624C" w:rsidRPr="00F05339" w:rsidRDefault="0088624C" w:rsidP="006D4624">
            <w:pPr>
              <w:spacing w:after="0" w:line="240" w:lineRule="auto"/>
              <w:jc w:val="center"/>
              <w:rPr>
                <w:rFonts w:ascii="Arial" w:eastAsia="Times New Roman" w:hAnsi="Arial" w:cs="Arial"/>
                <w:b/>
                <w:bCs/>
                <w:color w:val="000000"/>
                <w:sz w:val="18"/>
                <w:szCs w:val="18"/>
                <w:lang w:eastAsia="en-GB"/>
              </w:rPr>
            </w:pPr>
            <w:r w:rsidRPr="00F05339">
              <w:rPr>
                <w:rFonts w:ascii="Arial" w:eastAsia="Times New Roman" w:hAnsi="Arial" w:cs="Arial"/>
                <w:b/>
                <w:bCs/>
                <w:color w:val="000000"/>
                <w:sz w:val="18"/>
                <w:szCs w:val="18"/>
                <w:lang w:eastAsia="en-GB"/>
              </w:rPr>
              <w:t xml:space="preserve">Overall private contributions as </w:t>
            </w:r>
            <w:proofErr w:type="gramStart"/>
            <w:r w:rsidRPr="00F05339">
              <w:rPr>
                <w:rFonts w:ascii="Arial" w:eastAsia="Times New Roman" w:hAnsi="Arial" w:cs="Arial"/>
                <w:b/>
                <w:bCs/>
                <w:color w:val="000000"/>
                <w:sz w:val="18"/>
                <w:szCs w:val="18"/>
                <w:lang w:eastAsia="en-GB"/>
              </w:rPr>
              <w:t>at</w:t>
            </w:r>
            <w:proofErr w:type="gramEnd"/>
            <w:r w:rsidRPr="00F05339">
              <w:rPr>
                <w:rFonts w:ascii="Arial" w:eastAsia="Times New Roman" w:hAnsi="Arial" w:cs="Arial"/>
                <w:b/>
                <w:bCs/>
                <w:color w:val="000000"/>
                <w:sz w:val="18"/>
                <w:szCs w:val="18"/>
                <w:lang w:eastAsia="en-GB"/>
              </w:rPr>
              <w:t xml:space="preserve"> 31 December 2021 and certified </w:t>
            </w:r>
            <w:r w:rsidRPr="00F05339">
              <w:rPr>
                <w:rFonts w:ascii="Arial" w:eastAsia="Times New Roman" w:hAnsi="Arial" w:cs="Arial"/>
                <w:b/>
                <w:bCs/>
                <w:i/>
                <w:iCs/>
                <w:color w:val="000000"/>
                <w:sz w:val="18"/>
                <w:szCs w:val="18"/>
                <w:lang w:eastAsia="en-GB"/>
              </w:rPr>
              <w:t>additional activities for 2014 - 2020</w:t>
            </w:r>
          </w:p>
        </w:tc>
      </w:tr>
      <w:tr w:rsidR="0088624C" w:rsidRPr="00F05339" w14:paraId="7D3EB834" w14:textId="77777777" w:rsidTr="006D4624">
        <w:trPr>
          <w:trHeight w:val="1920"/>
        </w:trPr>
        <w:tc>
          <w:tcPr>
            <w:tcW w:w="2689" w:type="dxa"/>
            <w:tcBorders>
              <w:top w:val="nil"/>
              <w:left w:val="single" w:sz="4" w:space="0" w:color="auto"/>
              <w:bottom w:val="single" w:sz="4" w:space="0" w:color="auto"/>
              <w:right w:val="single" w:sz="4" w:space="0" w:color="auto"/>
            </w:tcBorders>
            <w:shd w:val="clear" w:color="auto" w:fill="auto"/>
            <w:vAlign w:val="bottom"/>
            <w:hideMark/>
          </w:tcPr>
          <w:p w14:paraId="389C1F67" w14:textId="77777777" w:rsidR="0088624C" w:rsidRPr="00F05339" w:rsidRDefault="0088624C" w:rsidP="006D4624">
            <w:pPr>
              <w:spacing w:after="0" w:line="240" w:lineRule="auto"/>
              <w:rPr>
                <w:rFonts w:ascii="Arial" w:eastAsia="Times New Roman" w:hAnsi="Arial" w:cs="Arial"/>
                <w:color w:val="000000"/>
                <w:sz w:val="18"/>
                <w:szCs w:val="18"/>
                <w:lang w:eastAsia="en-GB"/>
              </w:rPr>
            </w:pPr>
            <w:r w:rsidRPr="00F05339">
              <w:rPr>
                <w:rFonts w:ascii="Arial" w:eastAsia="Times New Roman" w:hAnsi="Arial" w:cs="Arial"/>
                <w:color w:val="000000"/>
                <w:sz w:val="18"/>
                <w:szCs w:val="18"/>
                <w:lang w:eastAsia="en-GB"/>
              </w:rPr>
              <w:lastRenderedPageBreak/>
              <w:t>Total minimum contribution from members other than the EU</w:t>
            </w:r>
          </w:p>
        </w:tc>
        <w:tc>
          <w:tcPr>
            <w:tcW w:w="1015" w:type="dxa"/>
            <w:tcBorders>
              <w:top w:val="nil"/>
              <w:left w:val="nil"/>
              <w:bottom w:val="single" w:sz="4" w:space="0" w:color="auto"/>
              <w:right w:val="single" w:sz="4" w:space="0" w:color="auto"/>
            </w:tcBorders>
            <w:shd w:val="clear" w:color="auto" w:fill="auto"/>
            <w:noWrap/>
            <w:vAlign w:val="bottom"/>
            <w:hideMark/>
          </w:tcPr>
          <w:p w14:paraId="586D9732" w14:textId="77777777" w:rsidR="0088624C" w:rsidRPr="00F05339" w:rsidRDefault="0088624C" w:rsidP="006D4624">
            <w:pPr>
              <w:spacing w:after="0" w:line="240" w:lineRule="auto"/>
              <w:jc w:val="right"/>
              <w:rPr>
                <w:rFonts w:ascii="Arial" w:eastAsia="Times New Roman" w:hAnsi="Arial" w:cs="Arial"/>
                <w:color w:val="000000"/>
                <w:sz w:val="18"/>
                <w:szCs w:val="18"/>
                <w:lang w:eastAsia="en-GB"/>
              </w:rPr>
            </w:pPr>
            <w:r w:rsidRPr="00F05339">
              <w:rPr>
                <w:rFonts w:ascii="Arial" w:eastAsia="Times New Roman" w:hAnsi="Arial" w:cs="Arial"/>
                <w:color w:val="000000"/>
                <w:sz w:val="18"/>
                <w:szCs w:val="18"/>
                <w:lang w:eastAsia="en-GB"/>
              </w:rPr>
              <w:t>380</w:t>
            </w:r>
          </w:p>
        </w:tc>
        <w:tc>
          <w:tcPr>
            <w:tcW w:w="2954" w:type="dxa"/>
            <w:tcBorders>
              <w:top w:val="nil"/>
              <w:left w:val="nil"/>
              <w:bottom w:val="single" w:sz="4" w:space="0" w:color="auto"/>
              <w:right w:val="single" w:sz="4" w:space="0" w:color="auto"/>
            </w:tcBorders>
            <w:shd w:val="clear" w:color="auto" w:fill="auto"/>
            <w:vAlign w:val="center"/>
            <w:hideMark/>
          </w:tcPr>
          <w:p w14:paraId="7F4E3EC3" w14:textId="77777777" w:rsidR="0088624C" w:rsidRPr="00F05339" w:rsidRDefault="0088624C" w:rsidP="006D4624">
            <w:pPr>
              <w:spacing w:after="0" w:line="240" w:lineRule="auto"/>
              <w:rPr>
                <w:rFonts w:ascii="Arial" w:eastAsia="Times New Roman" w:hAnsi="Arial" w:cs="Arial"/>
                <w:color w:val="000000"/>
                <w:sz w:val="18"/>
                <w:szCs w:val="18"/>
                <w:lang w:eastAsia="en-GB"/>
              </w:rPr>
            </w:pPr>
            <w:r w:rsidRPr="00F05339">
              <w:rPr>
                <w:rFonts w:ascii="Arial" w:eastAsia="Times New Roman" w:hAnsi="Arial" w:cs="Arial"/>
                <w:color w:val="000000"/>
                <w:sz w:val="18"/>
                <w:szCs w:val="18"/>
                <w:lang w:eastAsia="en-GB"/>
              </w:rPr>
              <w:t>Cash and committed in-kind in projects plus certified additional activities - MEMBERS</w:t>
            </w:r>
          </w:p>
        </w:tc>
        <w:tc>
          <w:tcPr>
            <w:tcW w:w="1213" w:type="dxa"/>
            <w:tcBorders>
              <w:top w:val="nil"/>
              <w:left w:val="nil"/>
              <w:bottom w:val="single" w:sz="4" w:space="0" w:color="auto"/>
              <w:right w:val="single" w:sz="4" w:space="0" w:color="auto"/>
            </w:tcBorders>
            <w:shd w:val="clear" w:color="auto" w:fill="auto"/>
            <w:noWrap/>
            <w:vAlign w:val="bottom"/>
            <w:hideMark/>
          </w:tcPr>
          <w:p w14:paraId="77CACABA" w14:textId="77777777" w:rsidR="0088624C" w:rsidRPr="00F05339" w:rsidRDefault="0088624C" w:rsidP="006D4624">
            <w:pPr>
              <w:spacing w:after="0" w:line="240" w:lineRule="auto"/>
              <w:jc w:val="right"/>
              <w:rPr>
                <w:rFonts w:ascii="Arial" w:eastAsia="Times New Roman" w:hAnsi="Arial" w:cs="Arial"/>
                <w:color w:val="000000"/>
                <w:sz w:val="18"/>
                <w:szCs w:val="18"/>
                <w:lang w:eastAsia="en-GB"/>
              </w:rPr>
            </w:pPr>
            <w:r w:rsidRPr="00F05339">
              <w:rPr>
                <w:rFonts w:ascii="Arial" w:eastAsia="Times New Roman" w:hAnsi="Arial" w:cs="Arial"/>
                <w:color w:val="000000"/>
                <w:sz w:val="18"/>
                <w:szCs w:val="18"/>
                <w:lang w:eastAsia="en-GB"/>
              </w:rPr>
              <w:t>1 209</w:t>
            </w:r>
          </w:p>
        </w:tc>
        <w:tc>
          <w:tcPr>
            <w:tcW w:w="3039" w:type="dxa"/>
            <w:tcBorders>
              <w:top w:val="nil"/>
              <w:left w:val="nil"/>
              <w:bottom w:val="single" w:sz="4" w:space="0" w:color="auto"/>
              <w:right w:val="single" w:sz="4" w:space="0" w:color="auto"/>
            </w:tcBorders>
            <w:shd w:val="clear" w:color="auto" w:fill="auto"/>
            <w:vAlign w:val="center"/>
            <w:hideMark/>
          </w:tcPr>
          <w:p w14:paraId="39D04692" w14:textId="77777777" w:rsidR="0088624C" w:rsidRPr="00F05339" w:rsidRDefault="0088624C" w:rsidP="006D4624">
            <w:pPr>
              <w:spacing w:after="0" w:line="240" w:lineRule="auto"/>
              <w:rPr>
                <w:rFonts w:ascii="Arial" w:eastAsia="Times New Roman" w:hAnsi="Arial" w:cs="Arial"/>
                <w:color w:val="000000"/>
                <w:sz w:val="18"/>
                <w:szCs w:val="18"/>
                <w:lang w:eastAsia="en-GB"/>
              </w:rPr>
            </w:pPr>
            <w:r w:rsidRPr="00F05339">
              <w:rPr>
                <w:rFonts w:ascii="Arial" w:eastAsia="Times New Roman" w:hAnsi="Arial" w:cs="Arial"/>
                <w:color w:val="000000"/>
                <w:sz w:val="18"/>
                <w:szCs w:val="18"/>
                <w:lang w:eastAsia="en-GB"/>
              </w:rPr>
              <w:t>Cash and committed in-kind in projects plus certified additional activities - MEMBERS and NON-MEMBERS</w:t>
            </w:r>
          </w:p>
        </w:tc>
        <w:tc>
          <w:tcPr>
            <w:tcW w:w="2126" w:type="dxa"/>
            <w:tcBorders>
              <w:top w:val="nil"/>
              <w:left w:val="nil"/>
              <w:bottom w:val="single" w:sz="4" w:space="0" w:color="auto"/>
              <w:right w:val="single" w:sz="4" w:space="0" w:color="auto"/>
            </w:tcBorders>
            <w:shd w:val="clear" w:color="auto" w:fill="auto"/>
            <w:noWrap/>
            <w:vAlign w:val="bottom"/>
            <w:hideMark/>
          </w:tcPr>
          <w:p w14:paraId="06301267" w14:textId="77777777" w:rsidR="0088624C" w:rsidRPr="00F05339" w:rsidRDefault="0088624C" w:rsidP="006D4624">
            <w:pPr>
              <w:spacing w:after="0" w:line="240" w:lineRule="auto"/>
              <w:jc w:val="right"/>
              <w:rPr>
                <w:rFonts w:ascii="Arial" w:eastAsia="Times New Roman" w:hAnsi="Arial" w:cs="Arial"/>
                <w:color w:val="000000"/>
                <w:sz w:val="18"/>
                <w:szCs w:val="18"/>
                <w:lang w:eastAsia="en-GB"/>
              </w:rPr>
            </w:pPr>
            <w:r w:rsidRPr="00F05339">
              <w:rPr>
                <w:rFonts w:ascii="Arial" w:eastAsia="Times New Roman" w:hAnsi="Arial" w:cs="Arial"/>
                <w:color w:val="000000"/>
                <w:sz w:val="18"/>
                <w:szCs w:val="18"/>
                <w:lang w:eastAsia="en-GB"/>
              </w:rPr>
              <w:t xml:space="preserve">                                                          1 604 </w:t>
            </w:r>
          </w:p>
        </w:tc>
      </w:tr>
      <w:tr w:rsidR="0088624C" w:rsidRPr="00F05339" w14:paraId="13DD9340" w14:textId="77777777" w:rsidTr="006D4624">
        <w:trPr>
          <w:trHeight w:val="730"/>
        </w:trPr>
        <w:tc>
          <w:tcPr>
            <w:tcW w:w="2689" w:type="dxa"/>
            <w:tcBorders>
              <w:top w:val="nil"/>
              <w:left w:val="single" w:sz="4" w:space="0" w:color="auto"/>
              <w:bottom w:val="single" w:sz="4" w:space="0" w:color="auto"/>
              <w:right w:val="single" w:sz="4" w:space="0" w:color="auto"/>
            </w:tcBorders>
            <w:shd w:val="clear" w:color="auto" w:fill="auto"/>
            <w:vAlign w:val="bottom"/>
            <w:hideMark/>
          </w:tcPr>
          <w:p w14:paraId="6A2DAB55" w14:textId="77777777" w:rsidR="0088624C" w:rsidRPr="00F05339" w:rsidRDefault="0088624C" w:rsidP="006D4624">
            <w:pPr>
              <w:spacing w:after="0" w:line="240" w:lineRule="auto"/>
              <w:rPr>
                <w:rFonts w:ascii="Arial" w:eastAsia="Times New Roman" w:hAnsi="Arial" w:cs="Arial"/>
                <w:color w:val="000000"/>
                <w:sz w:val="18"/>
                <w:szCs w:val="18"/>
                <w:lang w:eastAsia="en-GB"/>
              </w:rPr>
            </w:pPr>
            <w:r w:rsidRPr="00F05339">
              <w:rPr>
                <w:rFonts w:ascii="Arial" w:eastAsia="Times New Roman" w:hAnsi="Arial" w:cs="Arial"/>
                <w:color w:val="000000"/>
                <w:sz w:val="18"/>
                <w:szCs w:val="18"/>
                <w:lang w:eastAsia="en-GB"/>
              </w:rPr>
              <w:t>Total EU contribution</w:t>
            </w:r>
          </w:p>
        </w:tc>
        <w:tc>
          <w:tcPr>
            <w:tcW w:w="1015" w:type="dxa"/>
            <w:tcBorders>
              <w:top w:val="nil"/>
              <w:left w:val="nil"/>
              <w:bottom w:val="single" w:sz="4" w:space="0" w:color="auto"/>
              <w:right w:val="single" w:sz="4" w:space="0" w:color="auto"/>
            </w:tcBorders>
            <w:shd w:val="clear" w:color="auto" w:fill="auto"/>
            <w:noWrap/>
            <w:vAlign w:val="bottom"/>
            <w:hideMark/>
          </w:tcPr>
          <w:p w14:paraId="7512D33D" w14:textId="77777777" w:rsidR="0088624C" w:rsidRPr="00F05339" w:rsidRDefault="0088624C" w:rsidP="006D4624">
            <w:pPr>
              <w:spacing w:after="0" w:line="240" w:lineRule="auto"/>
              <w:jc w:val="right"/>
              <w:rPr>
                <w:rFonts w:ascii="Arial" w:eastAsia="Times New Roman" w:hAnsi="Arial" w:cs="Arial"/>
                <w:color w:val="000000"/>
                <w:sz w:val="18"/>
                <w:szCs w:val="18"/>
                <w:lang w:eastAsia="en-GB"/>
              </w:rPr>
            </w:pPr>
            <w:r w:rsidRPr="00F05339">
              <w:rPr>
                <w:rFonts w:ascii="Arial" w:eastAsia="Times New Roman" w:hAnsi="Arial" w:cs="Arial"/>
                <w:color w:val="000000"/>
                <w:sz w:val="18"/>
                <w:szCs w:val="18"/>
                <w:lang w:eastAsia="en-GB"/>
              </w:rPr>
              <w:t>665</w:t>
            </w:r>
          </w:p>
        </w:tc>
        <w:tc>
          <w:tcPr>
            <w:tcW w:w="2954" w:type="dxa"/>
            <w:tcBorders>
              <w:top w:val="nil"/>
              <w:left w:val="nil"/>
              <w:bottom w:val="single" w:sz="4" w:space="0" w:color="auto"/>
              <w:right w:val="single" w:sz="4" w:space="0" w:color="auto"/>
            </w:tcBorders>
            <w:shd w:val="clear" w:color="auto" w:fill="auto"/>
            <w:vAlign w:val="bottom"/>
            <w:hideMark/>
          </w:tcPr>
          <w:p w14:paraId="6E3EB28F" w14:textId="77777777" w:rsidR="0088624C" w:rsidRPr="00F05339" w:rsidRDefault="0088624C" w:rsidP="006D4624">
            <w:pPr>
              <w:spacing w:after="0" w:line="240" w:lineRule="auto"/>
              <w:rPr>
                <w:rFonts w:ascii="Arial" w:eastAsia="Times New Roman" w:hAnsi="Arial" w:cs="Arial"/>
                <w:color w:val="000000"/>
                <w:sz w:val="18"/>
                <w:szCs w:val="18"/>
                <w:lang w:eastAsia="en-GB"/>
              </w:rPr>
            </w:pPr>
            <w:r w:rsidRPr="00F05339">
              <w:rPr>
                <w:rFonts w:ascii="Arial" w:eastAsia="Times New Roman" w:hAnsi="Arial" w:cs="Arial"/>
                <w:color w:val="000000"/>
                <w:sz w:val="18"/>
                <w:szCs w:val="18"/>
                <w:lang w:eastAsia="en-GB"/>
              </w:rPr>
              <w:t>Committed EU contribution (2014 - 2020)</w:t>
            </w:r>
          </w:p>
        </w:tc>
        <w:tc>
          <w:tcPr>
            <w:tcW w:w="1213" w:type="dxa"/>
            <w:tcBorders>
              <w:top w:val="nil"/>
              <w:left w:val="nil"/>
              <w:bottom w:val="single" w:sz="4" w:space="0" w:color="auto"/>
              <w:right w:val="single" w:sz="4" w:space="0" w:color="auto"/>
            </w:tcBorders>
            <w:shd w:val="clear" w:color="auto" w:fill="auto"/>
            <w:noWrap/>
            <w:vAlign w:val="bottom"/>
            <w:hideMark/>
          </w:tcPr>
          <w:p w14:paraId="76550B43" w14:textId="77777777" w:rsidR="0088624C" w:rsidRPr="00F05339" w:rsidRDefault="0088624C" w:rsidP="006D4624">
            <w:pPr>
              <w:spacing w:after="0" w:line="240" w:lineRule="auto"/>
              <w:jc w:val="right"/>
              <w:rPr>
                <w:rFonts w:ascii="Arial" w:eastAsia="Times New Roman" w:hAnsi="Arial" w:cs="Arial"/>
                <w:color w:val="000000"/>
                <w:sz w:val="18"/>
                <w:szCs w:val="18"/>
                <w:lang w:eastAsia="en-GB"/>
              </w:rPr>
            </w:pPr>
            <w:r w:rsidRPr="00F05339">
              <w:rPr>
                <w:rFonts w:ascii="Arial" w:eastAsia="Times New Roman" w:hAnsi="Arial" w:cs="Arial"/>
                <w:color w:val="000000"/>
                <w:sz w:val="18"/>
                <w:szCs w:val="18"/>
                <w:lang w:eastAsia="en-GB"/>
              </w:rPr>
              <w:t>627</w:t>
            </w:r>
          </w:p>
        </w:tc>
        <w:tc>
          <w:tcPr>
            <w:tcW w:w="3039" w:type="dxa"/>
            <w:tcBorders>
              <w:top w:val="nil"/>
              <w:left w:val="nil"/>
              <w:bottom w:val="single" w:sz="4" w:space="0" w:color="auto"/>
              <w:right w:val="single" w:sz="4" w:space="0" w:color="auto"/>
            </w:tcBorders>
            <w:shd w:val="clear" w:color="auto" w:fill="auto"/>
            <w:vAlign w:val="bottom"/>
            <w:hideMark/>
          </w:tcPr>
          <w:p w14:paraId="379DF829" w14:textId="77777777" w:rsidR="0088624C" w:rsidRPr="00F05339" w:rsidRDefault="0088624C" w:rsidP="006D4624">
            <w:pPr>
              <w:spacing w:after="0" w:line="240" w:lineRule="auto"/>
              <w:rPr>
                <w:rFonts w:ascii="Arial" w:eastAsia="Times New Roman" w:hAnsi="Arial" w:cs="Arial"/>
                <w:color w:val="000000"/>
                <w:sz w:val="18"/>
                <w:szCs w:val="18"/>
                <w:lang w:eastAsia="en-GB"/>
              </w:rPr>
            </w:pPr>
            <w:r w:rsidRPr="00F05339">
              <w:rPr>
                <w:rFonts w:ascii="Arial" w:eastAsia="Times New Roman" w:hAnsi="Arial" w:cs="Arial"/>
                <w:color w:val="000000"/>
                <w:sz w:val="18"/>
                <w:szCs w:val="18"/>
                <w:lang w:eastAsia="en-GB"/>
              </w:rPr>
              <w:t>Committed EU contribution (2014 - 2020)</w:t>
            </w:r>
          </w:p>
        </w:tc>
        <w:tc>
          <w:tcPr>
            <w:tcW w:w="2126" w:type="dxa"/>
            <w:tcBorders>
              <w:top w:val="nil"/>
              <w:left w:val="nil"/>
              <w:bottom w:val="single" w:sz="4" w:space="0" w:color="auto"/>
              <w:right w:val="single" w:sz="4" w:space="0" w:color="auto"/>
            </w:tcBorders>
            <w:shd w:val="clear" w:color="auto" w:fill="auto"/>
            <w:noWrap/>
            <w:vAlign w:val="bottom"/>
            <w:hideMark/>
          </w:tcPr>
          <w:p w14:paraId="4246093F" w14:textId="77777777" w:rsidR="0088624C" w:rsidRPr="00F05339" w:rsidRDefault="0088624C" w:rsidP="006D4624">
            <w:pPr>
              <w:spacing w:after="0" w:line="240" w:lineRule="auto"/>
              <w:jc w:val="right"/>
              <w:rPr>
                <w:rFonts w:ascii="Arial" w:eastAsia="Times New Roman" w:hAnsi="Arial" w:cs="Arial"/>
                <w:color w:val="000000"/>
                <w:sz w:val="18"/>
                <w:szCs w:val="18"/>
                <w:lang w:eastAsia="en-GB"/>
              </w:rPr>
            </w:pPr>
            <w:r w:rsidRPr="00F05339">
              <w:rPr>
                <w:rFonts w:ascii="Arial" w:eastAsia="Times New Roman" w:hAnsi="Arial" w:cs="Arial"/>
                <w:color w:val="000000"/>
                <w:sz w:val="18"/>
                <w:szCs w:val="18"/>
                <w:lang w:eastAsia="en-GB"/>
              </w:rPr>
              <w:t>627</w:t>
            </w:r>
          </w:p>
        </w:tc>
      </w:tr>
      <w:tr w:rsidR="0088624C" w:rsidRPr="00F05339" w14:paraId="495AFCEC" w14:textId="77777777" w:rsidTr="006D4624">
        <w:trPr>
          <w:trHeight w:val="970"/>
        </w:trPr>
        <w:tc>
          <w:tcPr>
            <w:tcW w:w="2689" w:type="dxa"/>
            <w:tcBorders>
              <w:top w:val="nil"/>
              <w:left w:val="single" w:sz="4" w:space="0" w:color="auto"/>
              <w:bottom w:val="single" w:sz="4" w:space="0" w:color="auto"/>
              <w:right w:val="single" w:sz="4" w:space="0" w:color="auto"/>
            </w:tcBorders>
            <w:shd w:val="clear" w:color="auto" w:fill="auto"/>
            <w:vAlign w:val="bottom"/>
            <w:hideMark/>
          </w:tcPr>
          <w:p w14:paraId="3666BE2A" w14:textId="77777777" w:rsidR="0088624C" w:rsidRPr="00F05339" w:rsidRDefault="0088624C" w:rsidP="006D4624">
            <w:pPr>
              <w:spacing w:after="0" w:line="240" w:lineRule="auto"/>
              <w:rPr>
                <w:rFonts w:ascii="Arial" w:eastAsia="Times New Roman" w:hAnsi="Arial" w:cs="Arial"/>
                <w:color w:val="000000"/>
                <w:sz w:val="18"/>
                <w:szCs w:val="18"/>
                <w:lang w:eastAsia="en-GB"/>
              </w:rPr>
            </w:pPr>
            <w:r w:rsidRPr="00F05339">
              <w:rPr>
                <w:rFonts w:ascii="Arial" w:eastAsia="Times New Roman" w:hAnsi="Arial" w:cs="Arial"/>
                <w:color w:val="000000"/>
                <w:sz w:val="18"/>
                <w:szCs w:val="18"/>
                <w:lang w:eastAsia="en-GB"/>
              </w:rPr>
              <w:t>Target leverage effect over the whole H2020 programme</w:t>
            </w:r>
          </w:p>
        </w:tc>
        <w:tc>
          <w:tcPr>
            <w:tcW w:w="1015" w:type="dxa"/>
            <w:tcBorders>
              <w:top w:val="nil"/>
              <w:left w:val="nil"/>
              <w:bottom w:val="single" w:sz="4" w:space="0" w:color="auto"/>
              <w:right w:val="single" w:sz="4" w:space="0" w:color="auto"/>
            </w:tcBorders>
            <w:shd w:val="clear" w:color="auto" w:fill="auto"/>
            <w:noWrap/>
            <w:vAlign w:val="bottom"/>
            <w:hideMark/>
          </w:tcPr>
          <w:p w14:paraId="1E9A28C7" w14:textId="77777777" w:rsidR="0088624C" w:rsidRPr="00F05339" w:rsidRDefault="0088624C" w:rsidP="006D4624">
            <w:pPr>
              <w:spacing w:after="0" w:line="240" w:lineRule="auto"/>
              <w:jc w:val="right"/>
              <w:rPr>
                <w:rFonts w:ascii="Arial" w:eastAsia="Times New Roman" w:hAnsi="Arial" w:cs="Arial"/>
                <w:color w:val="000000"/>
                <w:sz w:val="18"/>
                <w:szCs w:val="18"/>
                <w:lang w:eastAsia="en-GB"/>
              </w:rPr>
            </w:pPr>
            <w:r w:rsidRPr="00F05339">
              <w:rPr>
                <w:rFonts w:ascii="Arial" w:eastAsia="Times New Roman" w:hAnsi="Arial" w:cs="Arial"/>
                <w:color w:val="000000"/>
                <w:sz w:val="18"/>
                <w:szCs w:val="18"/>
                <w:lang w:eastAsia="en-GB"/>
              </w:rPr>
              <w:t>0.57</w:t>
            </w:r>
          </w:p>
        </w:tc>
        <w:tc>
          <w:tcPr>
            <w:tcW w:w="2954" w:type="dxa"/>
            <w:tcBorders>
              <w:top w:val="nil"/>
              <w:left w:val="nil"/>
              <w:bottom w:val="single" w:sz="4" w:space="0" w:color="auto"/>
              <w:right w:val="single" w:sz="4" w:space="0" w:color="auto"/>
            </w:tcBorders>
            <w:shd w:val="clear" w:color="auto" w:fill="auto"/>
            <w:vAlign w:val="bottom"/>
            <w:hideMark/>
          </w:tcPr>
          <w:p w14:paraId="1B1B13C4" w14:textId="77777777" w:rsidR="0088624C" w:rsidRPr="00F05339" w:rsidRDefault="0088624C" w:rsidP="006D4624">
            <w:pPr>
              <w:spacing w:after="0" w:line="240" w:lineRule="auto"/>
              <w:rPr>
                <w:rFonts w:ascii="Arial" w:eastAsia="Times New Roman" w:hAnsi="Arial" w:cs="Arial"/>
                <w:color w:val="000000"/>
                <w:sz w:val="18"/>
                <w:szCs w:val="18"/>
                <w:lang w:eastAsia="en-GB"/>
              </w:rPr>
            </w:pPr>
            <w:r w:rsidRPr="00F05339">
              <w:rPr>
                <w:rFonts w:ascii="Arial" w:eastAsia="Times New Roman" w:hAnsi="Arial" w:cs="Arial"/>
                <w:color w:val="000000"/>
                <w:sz w:val="18"/>
                <w:szCs w:val="18"/>
                <w:lang w:eastAsia="en-GB"/>
              </w:rPr>
              <w:t xml:space="preserve">Leverage effect - members only as </w:t>
            </w:r>
            <w:proofErr w:type="gramStart"/>
            <w:r w:rsidRPr="00F05339">
              <w:rPr>
                <w:rFonts w:ascii="Arial" w:eastAsia="Times New Roman" w:hAnsi="Arial" w:cs="Arial"/>
                <w:color w:val="000000"/>
                <w:sz w:val="18"/>
                <w:szCs w:val="18"/>
                <w:lang w:eastAsia="en-GB"/>
              </w:rPr>
              <w:t>at</w:t>
            </w:r>
            <w:proofErr w:type="gramEnd"/>
            <w:r w:rsidRPr="00F05339">
              <w:rPr>
                <w:rFonts w:ascii="Arial" w:eastAsia="Times New Roman" w:hAnsi="Arial" w:cs="Arial"/>
                <w:color w:val="000000"/>
                <w:sz w:val="18"/>
                <w:szCs w:val="18"/>
                <w:lang w:eastAsia="en-GB"/>
              </w:rPr>
              <w:t xml:space="preserve"> 31 December 2021</w:t>
            </w:r>
          </w:p>
        </w:tc>
        <w:tc>
          <w:tcPr>
            <w:tcW w:w="1213" w:type="dxa"/>
            <w:tcBorders>
              <w:top w:val="nil"/>
              <w:left w:val="nil"/>
              <w:bottom w:val="single" w:sz="4" w:space="0" w:color="auto"/>
              <w:right w:val="single" w:sz="4" w:space="0" w:color="auto"/>
            </w:tcBorders>
            <w:shd w:val="clear" w:color="auto" w:fill="auto"/>
            <w:noWrap/>
            <w:vAlign w:val="bottom"/>
            <w:hideMark/>
          </w:tcPr>
          <w:p w14:paraId="78D205E4" w14:textId="77777777" w:rsidR="0088624C" w:rsidRPr="00F05339" w:rsidRDefault="0088624C" w:rsidP="006D4624">
            <w:pPr>
              <w:spacing w:after="0" w:line="240" w:lineRule="auto"/>
              <w:jc w:val="right"/>
              <w:rPr>
                <w:rFonts w:ascii="Arial" w:eastAsia="Times New Roman" w:hAnsi="Arial" w:cs="Arial"/>
                <w:color w:val="000000"/>
                <w:sz w:val="18"/>
                <w:szCs w:val="18"/>
                <w:lang w:eastAsia="en-GB"/>
              </w:rPr>
            </w:pPr>
            <w:r w:rsidRPr="00F05339">
              <w:rPr>
                <w:rFonts w:ascii="Arial" w:eastAsia="Times New Roman" w:hAnsi="Arial" w:cs="Arial"/>
                <w:color w:val="000000"/>
                <w:sz w:val="18"/>
                <w:szCs w:val="18"/>
                <w:lang w:eastAsia="en-GB"/>
              </w:rPr>
              <w:t>1.93</w:t>
            </w:r>
          </w:p>
        </w:tc>
        <w:tc>
          <w:tcPr>
            <w:tcW w:w="3039" w:type="dxa"/>
            <w:tcBorders>
              <w:top w:val="nil"/>
              <w:left w:val="nil"/>
              <w:bottom w:val="single" w:sz="4" w:space="0" w:color="auto"/>
              <w:right w:val="single" w:sz="4" w:space="0" w:color="auto"/>
            </w:tcBorders>
            <w:shd w:val="clear" w:color="auto" w:fill="auto"/>
            <w:vAlign w:val="bottom"/>
            <w:hideMark/>
          </w:tcPr>
          <w:p w14:paraId="2C38E4CE" w14:textId="77777777" w:rsidR="0088624C" w:rsidRPr="00F05339" w:rsidRDefault="0088624C" w:rsidP="006D4624">
            <w:pPr>
              <w:spacing w:after="0" w:line="240" w:lineRule="auto"/>
              <w:rPr>
                <w:rFonts w:ascii="Arial" w:eastAsia="Times New Roman" w:hAnsi="Arial" w:cs="Arial"/>
                <w:color w:val="000000"/>
                <w:sz w:val="18"/>
                <w:szCs w:val="18"/>
                <w:lang w:eastAsia="en-GB"/>
              </w:rPr>
            </w:pPr>
            <w:r w:rsidRPr="00F05339">
              <w:rPr>
                <w:rFonts w:ascii="Arial" w:eastAsia="Times New Roman" w:hAnsi="Arial" w:cs="Arial"/>
                <w:color w:val="000000"/>
                <w:sz w:val="18"/>
                <w:szCs w:val="18"/>
                <w:lang w:eastAsia="en-GB"/>
              </w:rPr>
              <w:t xml:space="preserve">Leverage effect - all private partners as </w:t>
            </w:r>
            <w:proofErr w:type="gramStart"/>
            <w:r w:rsidRPr="00F05339">
              <w:rPr>
                <w:rFonts w:ascii="Arial" w:eastAsia="Times New Roman" w:hAnsi="Arial" w:cs="Arial"/>
                <w:color w:val="000000"/>
                <w:sz w:val="18"/>
                <w:szCs w:val="18"/>
                <w:lang w:eastAsia="en-GB"/>
              </w:rPr>
              <w:t>at</w:t>
            </w:r>
            <w:proofErr w:type="gramEnd"/>
            <w:r w:rsidRPr="00F05339">
              <w:rPr>
                <w:rFonts w:ascii="Arial" w:eastAsia="Times New Roman" w:hAnsi="Arial" w:cs="Arial"/>
                <w:color w:val="000000"/>
                <w:sz w:val="18"/>
                <w:szCs w:val="18"/>
                <w:lang w:eastAsia="en-GB"/>
              </w:rPr>
              <w:t xml:space="preserve"> 31 December 2021</w:t>
            </w:r>
          </w:p>
        </w:tc>
        <w:tc>
          <w:tcPr>
            <w:tcW w:w="2126" w:type="dxa"/>
            <w:tcBorders>
              <w:top w:val="nil"/>
              <w:left w:val="nil"/>
              <w:bottom w:val="single" w:sz="4" w:space="0" w:color="auto"/>
              <w:right w:val="single" w:sz="4" w:space="0" w:color="auto"/>
            </w:tcBorders>
            <w:shd w:val="clear" w:color="auto" w:fill="auto"/>
            <w:noWrap/>
            <w:vAlign w:val="bottom"/>
            <w:hideMark/>
          </w:tcPr>
          <w:p w14:paraId="1DAE78BF" w14:textId="77777777" w:rsidR="0088624C" w:rsidRPr="00F05339" w:rsidRDefault="0088624C" w:rsidP="006D4624">
            <w:pPr>
              <w:spacing w:after="0" w:line="240" w:lineRule="auto"/>
              <w:jc w:val="right"/>
              <w:rPr>
                <w:rFonts w:ascii="Arial" w:eastAsia="Times New Roman" w:hAnsi="Arial" w:cs="Arial"/>
                <w:b/>
                <w:bCs/>
                <w:color w:val="000000"/>
                <w:sz w:val="18"/>
                <w:szCs w:val="18"/>
                <w:lang w:eastAsia="en-GB"/>
              </w:rPr>
            </w:pPr>
            <w:r w:rsidRPr="00F05339">
              <w:rPr>
                <w:rFonts w:ascii="Arial" w:eastAsia="Times New Roman" w:hAnsi="Arial" w:cs="Arial"/>
                <w:b/>
                <w:bCs/>
                <w:color w:val="000000"/>
                <w:sz w:val="18"/>
                <w:szCs w:val="18"/>
                <w:lang w:eastAsia="en-GB"/>
              </w:rPr>
              <w:t xml:space="preserve">                                                            2.56 </w:t>
            </w:r>
          </w:p>
        </w:tc>
      </w:tr>
    </w:tbl>
    <w:p w14:paraId="42A5B2CA" w14:textId="77777777" w:rsidR="0088624C" w:rsidRPr="00F05339" w:rsidRDefault="0088624C" w:rsidP="0088624C">
      <w:pPr>
        <w:ind w:right="18"/>
        <w:jc w:val="both"/>
        <w:rPr>
          <w:rFonts w:ascii="Arial" w:hAnsi="Arial" w:cs="Arial"/>
          <w:iCs/>
          <w:color w:val="034EA2"/>
        </w:rPr>
      </w:pPr>
    </w:p>
    <w:p w14:paraId="69C8CD0A" w14:textId="77777777" w:rsidR="0088624C" w:rsidRPr="00F05339" w:rsidRDefault="0088624C" w:rsidP="0088624C">
      <w:pPr>
        <w:spacing w:after="0"/>
        <w:ind w:left="11" w:right="17"/>
        <w:jc w:val="both"/>
        <w:rPr>
          <w:rFonts w:ascii="Arial" w:hAnsi="Arial" w:cs="Arial"/>
        </w:rPr>
      </w:pPr>
    </w:p>
    <w:p w14:paraId="576EFAC8" w14:textId="77777777" w:rsidR="0088624C" w:rsidRPr="00F05339" w:rsidRDefault="0088624C" w:rsidP="0088624C">
      <w:pPr>
        <w:pStyle w:val="ListParagraph"/>
        <w:numPr>
          <w:ilvl w:val="0"/>
          <w:numId w:val="10"/>
        </w:numPr>
        <w:spacing w:after="0"/>
        <w:ind w:right="17"/>
        <w:jc w:val="both"/>
        <w:rPr>
          <w:rFonts w:ascii="Arial" w:hAnsi="Arial" w:cs="Arial"/>
        </w:rPr>
      </w:pPr>
      <w:r w:rsidRPr="00F05339">
        <w:rPr>
          <w:rFonts w:ascii="Arial" w:hAnsi="Arial" w:cs="Arial"/>
          <w:b/>
        </w:rPr>
        <w:t xml:space="preserve">Leverage effect – members only as </w:t>
      </w:r>
      <w:proofErr w:type="gramStart"/>
      <w:r w:rsidRPr="00F05339">
        <w:rPr>
          <w:rFonts w:ascii="Arial" w:hAnsi="Arial" w:cs="Arial"/>
          <w:b/>
        </w:rPr>
        <w:t>at</w:t>
      </w:r>
      <w:proofErr w:type="gramEnd"/>
      <w:r w:rsidRPr="00F05339">
        <w:rPr>
          <w:rFonts w:ascii="Arial" w:hAnsi="Arial" w:cs="Arial"/>
          <w:b/>
        </w:rPr>
        <w:t xml:space="preserve"> 31 December 2021 = (</w:t>
      </w:r>
      <w:r w:rsidRPr="00F05339">
        <w:rPr>
          <w:rFonts w:ascii="Arial" w:hAnsi="Arial" w:cs="Arial"/>
          <w:b/>
          <w:color w:val="C0504D" w:themeColor="accent2"/>
        </w:rPr>
        <w:t xml:space="preserve">11.36 </w:t>
      </w:r>
      <w:r w:rsidRPr="00F05339">
        <w:rPr>
          <w:rFonts w:ascii="Arial" w:hAnsi="Arial" w:cs="Arial"/>
          <w:b/>
        </w:rPr>
        <w:t xml:space="preserve">+ </w:t>
      </w:r>
      <w:r w:rsidRPr="00F05339">
        <w:rPr>
          <w:rFonts w:ascii="Arial" w:hAnsi="Arial" w:cs="Arial"/>
          <w:b/>
          <w:color w:val="0070C0"/>
        </w:rPr>
        <w:t xml:space="preserve">158.27 </w:t>
      </w:r>
      <w:r w:rsidRPr="00F05339">
        <w:rPr>
          <w:rFonts w:ascii="Arial" w:hAnsi="Arial" w:cs="Arial"/>
          <w:b/>
        </w:rPr>
        <w:t xml:space="preserve">+ </w:t>
      </w:r>
      <w:r w:rsidRPr="00F05339">
        <w:rPr>
          <w:rFonts w:ascii="Arial" w:hAnsi="Arial" w:cs="Arial"/>
          <w:b/>
          <w:color w:val="00B050"/>
        </w:rPr>
        <w:t xml:space="preserve">1 039 </w:t>
      </w:r>
      <w:r w:rsidRPr="00F05339">
        <w:rPr>
          <w:rFonts w:ascii="Arial" w:hAnsi="Arial" w:cs="Arial"/>
          <w:b/>
        </w:rPr>
        <w:t xml:space="preserve">/ </w:t>
      </w:r>
      <w:r w:rsidRPr="00F05339">
        <w:rPr>
          <w:rFonts w:ascii="Arial" w:hAnsi="Arial" w:cs="Arial"/>
          <w:b/>
          <w:color w:val="E36C0A" w:themeColor="accent6" w:themeShade="BF"/>
        </w:rPr>
        <w:t>627.04</w:t>
      </w:r>
      <w:r w:rsidRPr="00F05339">
        <w:rPr>
          <w:rFonts w:ascii="Arial" w:hAnsi="Arial" w:cs="Arial"/>
          <w:b/>
        </w:rPr>
        <w:t xml:space="preserve">) </w:t>
      </w:r>
      <w:r w:rsidRPr="00F05339">
        <w:rPr>
          <w:rFonts w:ascii="Arial" w:hAnsi="Arial" w:cs="Arial"/>
        </w:rPr>
        <w:t>= 1 209 / 627 = 1.93</w:t>
      </w:r>
    </w:p>
    <w:p w14:paraId="5797B80D" w14:textId="43FBC241" w:rsidR="0088624C" w:rsidRPr="00F05339" w:rsidRDefault="0088624C" w:rsidP="0088624C">
      <w:pPr>
        <w:spacing w:after="274"/>
        <w:ind w:left="10" w:right="18"/>
        <w:jc w:val="both"/>
        <w:rPr>
          <w:rFonts w:ascii="Arial" w:hAnsi="Arial" w:cs="Arial"/>
        </w:rPr>
      </w:pPr>
      <w:r w:rsidRPr="00F05339">
        <w:rPr>
          <w:rFonts w:ascii="Arial" w:hAnsi="Arial" w:cs="Arial"/>
        </w:rPr>
        <w:t>In other words, for every EUR 1 of EU contribution for all JU signed H2020 grant agreements up to 31 December 2021, members of Hydrogen Europe Industry and Hydrogen Europe Research committed to spend EUR 1.93 either on JU projects or in certified additional activities.</w:t>
      </w:r>
    </w:p>
    <w:p w14:paraId="727CAC0D" w14:textId="77777777" w:rsidR="0088624C" w:rsidRPr="00F05339" w:rsidRDefault="0088624C" w:rsidP="0088624C">
      <w:pPr>
        <w:spacing w:after="274"/>
        <w:ind w:left="10" w:right="18"/>
        <w:jc w:val="both"/>
        <w:rPr>
          <w:rFonts w:ascii="Arial" w:hAnsi="Arial" w:cs="Arial"/>
        </w:rPr>
      </w:pPr>
      <w:r w:rsidRPr="00F05339">
        <w:rPr>
          <w:rFonts w:ascii="Arial" w:hAnsi="Arial" w:cs="Arial"/>
        </w:rPr>
        <w:t>The leverage effect of 1.93 is considering only members of Hydrogen Europe Industry and Hydrogen Europe Research is already more than three times higher than a target leverage effect as defined in the FCH 2 JU founding regulation (0.57).</w:t>
      </w:r>
    </w:p>
    <w:p w14:paraId="33E16D0E" w14:textId="77777777" w:rsidR="0088624C" w:rsidRPr="00F05339" w:rsidRDefault="0088624C" w:rsidP="0088624C">
      <w:pPr>
        <w:pStyle w:val="ListParagraph"/>
        <w:numPr>
          <w:ilvl w:val="0"/>
          <w:numId w:val="10"/>
        </w:numPr>
        <w:spacing w:after="214" w:line="265" w:lineRule="auto"/>
        <w:jc w:val="both"/>
        <w:rPr>
          <w:rFonts w:ascii="Arial" w:hAnsi="Arial" w:cs="Arial"/>
          <w:b/>
        </w:rPr>
      </w:pPr>
      <w:r w:rsidRPr="00F05339">
        <w:rPr>
          <w:rFonts w:ascii="Arial" w:hAnsi="Arial" w:cs="Arial"/>
          <w:b/>
        </w:rPr>
        <w:t xml:space="preserve">Leverage effect – all private partners as </w:t>
      </w:r>
      <w:proofErr w:type="gramStart"/>
      <w:r w:rsidRPr="00F05339">
        <w:rPr>
          <w:rFonts w:ascii="Arial" w:hAnsi="Arial" w:cs="Arial"/>
          <w:b/>
        </w:rPr>
        <w:t>at</w:t>
      </w:r>
      <w:proofErr w:type="gramEnd"/>
      <w:r w:rsidRPr="00F05339">
        <w:rPr>
          <w:rFonts w:ascii="Arial" w:hAnsi="Arial" w:cs="Arial"/>
          <w:b/>
        </w:rPr>
        <w:t xml:space="preserve"> 31 December 2021 = (</w:t>
      </w:r>
      <w:r w:rsidRPr="00F05339">
        <w:rPr>
          <w:rFonts w:ascii="Arial" w:hAnsi="Arial" w:cs="Arial"/>
          <w:b/>
          <w:color w:val="C0504D" w:themeColor="accent2"/>
        </w:rPr>
        <w:t xml:space="preserve">11.36 </w:t>
      </w:r>
      <w:r w:rsidRPr="00F05339">
        <w:rPr>
          <w:rFonts w:ascii="Arial" w:hAnsi="Arial" w:cs="Arial"/>
          <w:b/>
        </w:rPr>
        <w:t xml:space="preserve">+ </w:t>
      </w:r>
      <w:r w:rsidRPr="00F05339">
        <w:rPr>
          <w:rFonts w:ascii="Arial" w:hAnsi="Arial" w:cs="Arial"/>
          <w:b/>
          <w:color w:val="0070C0"/>
        </w:rPr>
        <w:t xml:space="preserve">553.25 </w:t>
      </w:r>
      <w:r w:rsidRPr="00F05339">
        <w:rPr>
          <w:rFonts w:ascii="Arial" w:hAnsi="Arial" w:cs="Arial"/>
          <w:b/>
        </w:rPr>
        <w:t xml:space="preserve">+ </w:t>
      </w:r>
      <w:r w:rsidRPr="00F05339">
        <w:rPr>
          <w:rFonts w:ascii="Arial" w:hAnsi="Arial" w:cs="Arial"/>
          <w:b/>
          <w:color w:val="00B050"/>
        </w:rPr>
        <w:t xml:space="preserve">1 039 </w:t>
      </w:r>
      <w:r w:rsidRPr="00F05339">
        <w:rPr>
          <w:rFonts w:ascii="Arial" w:hAnsi="Arial" w:cs="Arial"/>
          <w:b/>
        </w:rPr>
        <w:t xml:space="preserve">/ </w:t>
      </w:r>
      <w:r w:rsidRPr="00F05339">
        <w:rPr>
          <w:rFonts w:ascii="Arial" w:hAnsi="Arial" w:cs="Arial"/>
          <w:b/>
          <w:color w:val="E36C0A" w:themeColor="accent6" w:themeShade="BF"/>
        </w:rPr>
        <w:t>627.04</w:t>
      </w:r>
      <w:r w:rsidRPr="00F05339">
        <w:rPr>
          <w:rFonts w:ascii="Arial" w:hAnsi="Arial" w:cs="Arial"/>
          <w:b/>
        </w:rPr>
        <w:t xml:space="preserve">) </w:t>
      </w:r>
      <w:r w:rsidRPr="00F05339">
        <w:rPr>
          <w:rFonts w:ascii="Arial" w:hAnsi="Arial" w:cs="Arial"/>
        </w:rPr>
        <w:t>= 1 604 / 627 = 2.56</w:t>
      </w:r>
    </w:p>
    <w:p w14:paraId="6A216F26" w14:textId="77777777" w:rsidR="0088624C" w:rsidRPr="00F05339" w:rsidRDefault="0088624C" w:rsidP="0088624C">
      <w:pPr>
        <w:spacing w:after="0"/>
        <w:ind w:left="11" w:right="17"/>
        <w:contextualSpacing/>
        <w:jc w:val="both"/>
        <w:rPr>
          <w:rFonts w:ascii="Arial" w:hAnsi="Arial" w:cs="Arial"/>
          <w:b/>
        </w:rPr>
      </w:pPr>
      <w:r w:rsidRPr="00F05339">
        <w:rPr>
          <w:rFonts w:ascii="Arial" w:hAnsi="Arial" w:cs="Arial"/>
          <w:b/>
        </w:rPr>
        <w:t>This formula is fully aligned with the method used in the S</w:t>
      </w:r>
      <w:r>
        <w:rPr>
          <w:rFonts w:ascii="Arial" w:hAnsi="Arial" w:cs="Arial"/>
          <w:b/>
        </w:rPr>
        <w:t>taff Working Document (SWD)</w:t>
      </w:r>
      <w:r w:rsidRPr="00F05339">
        <w:rPr>
          <w:rFonts w:ascii="Arial" w:hAnsi="Arial" w:cs="Arial"/>
          <w:b/>
        </w:rPr>
        <w:t xml:space="preserve"> accompanying the Interim Evaluation of the PPPs</w:t>
      </w:r>
      <w:r w:rsidRPr="00F05339">
        <w:rPr>
          <w:rFonts w:ascii="Arial" w:hAnsi="Arial" w:cs="Arial"/>
          <w:b/>
          <w:vertAlign w:val="superscript"/>
        </w:rPr>
        <w:footnoteReference w:id="89"/>
      </w:r>
      <w:r w:rsidRPr="00F05339">
        <w:rPr>
          <w:rFonts w:ascii="Arial" w:hAnsi="Arial" w:cs="Arial"/>
          <w:b/>
        </w:rPr>
        <w:t xml:space="preserve">. </w:t>
      </w:r>
    </w:p>
    <w:p w14:paraId="1FB2066F" w14:textId="77777777" w:rsidR="0088624C" w:rsidRPr="00F05339" w:rsidRDefault="0088624C" w:rsidP="0088624C">
      <w:pPr>
        <w:spacing w:after="0"/>
        <w:ind w:left="11" w:right="17"/>
        <w:contextualSpacing/>
        <w:jc w:val="both"/>
        <w:rPr>
          <w:rFonts w:ascii="Arial" w:hAnsi="Arial" w:cs="Arial"/>
        </w:rPr>
      </w:pPr>
    </w:p>
    <w:p w14:paraId="0BAD8CF2" w14:textId="77777777" w:rsidR="0088624C" w:rsidRPr="00F05339" w:rsidRDefault="0088624C" w:rsidP="0088624C">
      <w:pPr>
        <w:spacing w:after="0"/>
        <w:ind w:left="11" w:right="17"/>
        <w:jc w:val="both"/>
        <w:rPr>
          <w:rFonts w:ascii="Arial" w:hAnsi="Arial" w:cs="Arial"/>
        </w:rPr>
      </w:pPr>
      <w:r w:rsidRPr="00F05339">
        <w:rPr>
          <w:rFonts w:ascii="Arial" w:hAnsi="Arial" w:cs="Arial"/>
        </w:rPr>
        <w:t xml:space="preserve">Compared to the previous formula (A), in this formula (B), </w:t>
      </w:r>
      <w:r w:rsidRPr="00F05339">
        <w:rPr>
          <w:rFonts w:ascii="Arial" w:hAnsi="Arial" w:cs="Arial"/>
          <w:b/>
          <w:bCs/>
        </w:rPr>
        <w:t>the leverage effect of 2,56 is taking into consideration all private partners contributions to FCH 2 JU actions</w:t>
      </w:r>
      <w:r w:rsidRPr="00F05339">
        <w:rPr>
          <w:rFonts w:ascii="Arial" w:hAnsi="Arial" w:cs="Arial"/>
        </w:rPr>
        <w:t>.</w:t>
      </w:r>
    </w:p>
    <w:p w14:paraId="1C04D15F" w14:textId="77777777" w:rsidR="0088624C" w:rsidRPr="00F05339" w:rsidRDefault="0088624C" w:rsidP="0088624C">
      <w:pPr>
        <w:spacing w:after="0"/>
        <w:ind w:left="11" w:right="17"/>
        <w:jc w:val="both"/>
        <w:rPr>
          <w:rFonts w:ascii="Arial" w:hAnsi="Arial" w:cs="Arial"/>
        </w:rPr>
      </w:pPr>
    </w:p>
    <w:p w14:paraId="7FE0D87D" w14:textId="477D5983" w:rsidR="0088624C" w:rsidRDefault="0088624C" w:rsidP="0088624C">
      <w:pPr>
        <w:spacing w:after="0"/>
        <w:ind w:left="11" w:right="17"/>
        <w:jc w:val="both"/>
        <w:rPr>
          <w:rFonts w:ascii="Arial" w:hAnsi="Arial" w:cs="Arial"/>
        </w:rPr>
      </w:pPr>
      <w:r w:rsidRPr="00F05339">
        <w:rPr>
          <w:rFonts w:ascii="Arial" w:hAnsi="Arial" w:cs="Arial"/>
        </w:rPr>
        <w:t xml:space="preserve">In other words, for 1 EUR of EU contribution for all </w:t>
      </w:r>
      <w:r w:rsidR="001731C4">
        <w:rPr>
          <w:rFonts w:ascii="Arial" w:hAnsi="Arial" w:cs="Arial"/>
        </w:rPr>
        <w:t xml:space="preserve">JU </w:t>
      </w:r>
      <w:r w:rsidRPr="00F05339">
        <w:rPr>
          <w:rFonts w:ascii="Arial" w:hAnsi="Arial" w:cs="Arial"/>
        </w:rPr>
        <w:t>signed H2020 grant agreements until 31 December 2021, the private partners committed to spend EUR 2.56 either on JU projects or in certified additional activities – which is more than 4 times the amount of leverage effect (0.57) expected in the beginning of the H2020 programme.</w:t>
      </w:r>
    </w:p>
    <w:p w14:paraId="5A15A763" w14:textId="0BC35BEF" w:rsidR="0088624C" w:rsidRDefault="0088624C" w:rsidP="0088624C">
      <w:pPr>
        <w:spacing w:after="0"/>
        <w:ind w:left="11" w:right="17"/>
        <w:jc w:val="both"/>
        <w:rPr>
          <w:rFonts w:ascii="Arial" w:hAnsi="Arial" w:cs="Arial"/>
        </w:rPr>
      </w:pPr>
    </w:p>
    <w:p w14:paraId="4122E070" w14:textId="77777777" w:rsidR="0088624C" w:rsidRPr="00F05339" w:rsidRDefault="0088624C" w:rsidP="0088624C">
      <w:pPr>
        <w:ind w:left="10" w:right="18"/>
        <w:jc w:val="both"/>
        <w:rPr>
          <w:rFonts w:ascii="Arial" w:hAnsi="Arial" w:cs="Arial"/>
        </w:rPr>
      </w:pPr>
      <w:r w:rsidRPr="00F05339">
        <w:rPr>
          <w:rFonts w:ascii="Arial" w:hAnsi="Arial" w:cs="Arial"/>
        </w:rPr>
        <w:t xml:space="preserve">On the one hand, calculation of the </w:t>
      </w:r>
      <w:r w:rsidRPr="00F05339">
        <w:rPr>
          <w:rFonts w:ascii="Arial" w:hAnsi="Arial" w:cs="Arial"/>
          <w:i/>
        </w:rPr>
        <w:t>leverage effect</w:t>
      </w:r>
      <w:r w:rsidRPr="00F05339">
        <w:rPr>
          <w:rFonts w:ascii="Arial" w:hAnsi="Arial" w:cs="Arial"/>
        </w:rPr>
        <w:t xml:space="preserve"> </w:t>
      </w:r>
      <w:proofErr w:type="gramStart"/>
      <w:r w:rsidRPr="00F05339">
        <w:rPr>
          <w:rFonts w:ascii="Arial" w:hAnsi="Arial" w:cs="Arial"/>
        </w:rPr>
        <w:t>takes into account</w:t>
      </w:r>
      <w:proofErr w:type="gramEnd"/>
      <w:r w:rsidRPr="00F05339">
        <w:rPr>
          <w:rFonts w:ascii="Arial" w:hAnsi="Arial" w:cs="Arial"/>
        </w:rPr>
        <w:t xml:space="preserve"> the operational component (private financial and in-kind contributions to projects for each euro committed by the European Commission) and, on the other hand, any additional leverage (private </w:t>
      </w:r>
      <w:r w:rsidRPr="00F05339">
        <w:rPr>
          <w:rFonts w:ascii="Arial" w:hAnsi="Arial" w:cs="Arial"/>
        </w:rPr>
        <w:lastRenderedPageBreak/>
        <w:t>contributions to additional activities not directly linked to the project portfolio but contributing to the JUs’ overall objectives).</w:t>
      </w:r>
    </w:p>
    <w:p w14:paraId="7208F0C4" w14:textId="2EDFE3D6" w:rsidR="0088624C" w:rsidRPr="00F05339" w:rsidRDefault="0088624C" w:rsidP="0088624C">
      <w:pPr>
        <w:ind w:left="10" w:right="18"/>
        <w:jc w:val="both"/>
        <w:rPr>
          <w:rFonts w:ascii="Arial" w:hAnsi="Arial" w:cs="Arial"/>
        </w:rPr>
      </w:pPr>
      <w:r w:rsidRPr="00F05339">
        <w:rPr>
          <w:rFonts w:ascii="Arial" w:hAnsi="Arial" w:cs="Arial"/>
        </w:rPr>
        <w:t>In 2021, the JU further confirmed and demonstrated to the Council and European Parliament that the overall commitment of the industry and research has significantly surpassed the minimum requirement of EUR 380 million for H2020.</w:t>
      </w:r>
    </w:p>
    <w:p w14:paraId="60AA8C08" w14:textId="64416243" w:rsidR="0088624C" w:rsidRPr="000A1D52" w:rsidRDefault="0088624C" w:rsidP="0088624C">
      <w:pPr>
        <w:spacing w:after="0"/>
        <w:ind w:left="11" w:right="17"/>
        <w:jc w:val="both"/>
        <w:rPr>
          <w:rFonts w:ascii="Arial" w:hAnsi="Arial" w:cs="Arial"/>
          <w:highlight w:val="yellow"/>
        </w:rPr>
      </w:pPr>
      <w:r w:rsidRPr="000A1D52">
        <w:rPr>
          <w:rFonts w:ascii="Arial" w:hAnsi="Arial" w:cs="Arial"/>
          <w:highlight w:val="yellow"/>
        </w:rPr>
        <w:t xml:space="preserve">The EUR 380 million threshold was set to be demonstrated by validated or certified values </w:t>
      </w:r>
      <w:r w:rsidR="0066565E" w:rsidRPr="000A1D52">
        <w:rPr>
          <w:rFonts w:ascii="Arial" w:hAnsi="Arial" w:cs="Arial"/>
          <w:highlight w:val="yellow"/>
        </w:rPr>
        <w:t xml:space="preserve">delivered by private partners </w:t>
      </w:r>
      <w:r w:rsidRPr="000A1D52">
        <w:rPr>
          <w:rFonts w:ascii="Arial" w:hAnsi="Arial" w:cs="Arial"/>
          <w:highlight w:val="yellow"/>
        </w:rPr>
        <w:t>only. In H2020,</w:t>
      </w:r>
      <w:r w:rsidR="0066565E" w:rsidRPr="000A1D52">
        <w:rPr>
          <w:rFonts w:ascii="Arial" w:hAnsi="Arial" w:cs="Arial"/>
          <w:highlight w:val="yellow"/>
        </w:rPr>
        <w:t xml:space="preserve"> majority of the IKOP amounts are certified and subsequently validated after JU receives an external CFS certificate. According to H2020 rules, CFS certificates are only compulsory to be provided after the end of action. Since 2021, vast majority of the JU actions were still ongoing and only few CFS certificates were received, validated amount of IKOP </w:t>
      </w:r>
      <w:r w:rsidR="001122E3">
        <w:rPr>
          <w:rFonts w:ascii="Arial" w:hAnsi="Arial" w:cs="Arial"/>
          <w:highlight w:val="yellow"/>
        </w:rPr>
        <w:t>was</w:t>
      </w:r>
      <w:r w:rsidR="0066565E" w:rsidRPr="000A1D52">
        <w:rPr>
          <w:rFonts w:ascii="Arial" w:hAnsi="Arial" w:cs="Arial"/>
          <w:highlight w:val="yellow"/>
        </w:rPr>
        <w:t xml:space="preserve"> EUR 38 million by end of 2021. Another reason </w:t>
      </w:r>
      <w:r w:rsidR="001122E3">
        <w:rPr>
          <w:rFonts w:ascii="Arial" w:hAnsi="Arial" w:cs="Arial"/>
          <w:highlight w:val="yellow"/>
        </w:rPr>
        <w:t xml:space="preserve">for </w:t>
      </w:r>
      <w:r w:rsidR="0066565E" w:rsidRPr="000A1D52">
        <w:rPr>
          <w:rFonts w:ascii="Arial" w:hAnsi="Arial" w:cs="Arial"/>
          <w:highlight w:val="yellow"/>
        </w:rPr>
        <w:t xml:space="preserve">a huge difference between EUR 553 million (committed private contribution) and certified IKOP </w:t>
      </w:r>
      <w:r w:rsidR="001122E3" w:rsidRPr="000A1D52">
        <w:rPr>
          <w:rFonts w:ascii="Arial" w:hAnsi="Arial" w:cs="Arial"/>
          <w:highlight w:val="yellow"/>
        </w:rPr>
        <w:t>(showed in the JU accounts) is that for the accounts, only contributions coming from the members of the Hydrogen Europe and Hydrogen Europe Research can be recognized.</w:t>
      </w:r>
    </w:p>
    <w:p w14:paraId="46ACBBAE" w14:textId="56BB0222" w:rsidR="0088624C" w:rsidRDefault="001122E3" w:rsidP="001122E3">
      <w:pPr>
        <w:spacing w:after="0"/>
        <w:ind w:left="11" w:right="17"/>
        <w:jc w:val="both"/>
        <w:rPr>
          <w:rFonts w:ascii="Arial" w:hAnsi="Arial" w:cs="Arial"/>
        </w:rPr>
      </w:pPr>
      <w:r w:rsidRPr="000A1D52">
        <w:rPr>
          <w:rFonts w:ascii="Arial" w:hAnsi="Arial" w:cs="Arial"/>
          <w:highlight w:val="yellow"/>
        </w:rPr>
        <w:t xml:space="preserve">Contributions from non-members, even if they are realised, </w:t>
      </w:r>
      <w:proofErr w:type="gramStart"/>
      <w:r w:rsidRPr="000A1D52">
        <w:rPr>
          <w:rFonts w:ascii="Arial" w:hAnsi="Arial" w:cs="Arial"/>
          <w:highlight w:val="yellow"/>
        </w:rPr>
        <w:t>validated</w:t>
      </w:r>
      <w:proofErr w:type="gramEnd"/>
      <w:r w:rsidRPr="000A1D52">
        <w:rPr>
          <w:rFonts w:ascii="Arial" w:hAnsi="Arial" w:cs="Arial"/>
          <w:highlight w:val="yellow"/>
        </w:rPr>
        <w:t xml:space="preserve"> and certified, are not shown.</w:t>
      </w:r>
      <w:r>
        <w:rPr>
          <w:rFonts w:ascii="Arial" w:hAnsi="Arial" w:cs="Arial"/>
        </w:rPr>
        <w:t xml:space="preserve"> We believe that such picture may not necessarily give a true and fair view on the overall investments, therefore the readers may wish to complement this information with committed figures as well.</w:t>
      </w:r>
    </w:p>
    <w:p w14:paraId="09E46783" w14:textId="77777777" w:rsidR="001122E3" w:rsidRPr="00F05339" w:rsidRDefault="001122E3" w:rsidP="00792B39">
      <w:pPr>
        <w:spacing w:after="0"/>
        <w:ind w:left="11" w:right="17"/>
        <w:jc w:val="both"/>
        <w:rPr>
          <w:rFonts w:ascii="Arial" w:hAnsi="Arial" w:cs="Arial"/>
        </w:rPr>
      </w:pPr>
    </w:p>
    <w:p w14:paraId="3ED77890" w14:textId="77777777" w:rsidR="00B37CC0" w:rsidRPr="00F05339" w:rsidRDefault="00B37CC0" w:rsidP="00B37CC0">
      <w:pPr>
        <w:ind w:left="10" w:right="18"/>
        <w:jc w:val="both"/>
        <w:rPr>
          <w:rFonts w:ascii="Arial" w:hAnsi="Arial" w:cs="Arial"/>
        </w:rPr>
      </w:pPr>
      <w:r w:rsidRPr="00F05339">
        <w:rPr>
          <w:rFonts w:ascii="Arial" w:hAnsi="Arial" w:cs="Arial"/>
        </w:rPr>
        <w:t xml:space="preserve">The table and graph below provide an overview of members’ contributions under FCH 2 JU: </w:t>
      </w:r>
    </w:p>
    <w:p w14:paraId="6B3904BA" w14:textId="77777777" w:rsidR="00B37CC0" w:rsidRPr="00F05339" w:rsidRDefault="00B37CC0" w:rsidP="00B37CC0">
      <w:pPr>
        <w:ind w:left="10" w:right="18"/>
        <w:jc w:val="both"/>
        <w:rPr>
          <w:rFonts w:ascii="Arial" w:hAnsi="Arial" w:cs="Arial"/>
        </w:rPr>
      </w:pPr>
      <w:r w:rsidRPr="00F05339">
        <w:rPr>
          <w:rFonts w:ascii="Arial" w:hAnsi="Arial" w:cs="Arial"/>
        </w:rPr>
        <w:t>TABLE 1.7.1: FINANCIAL AND CERTIFIED IN-KIND CONTRIBUTIONS FROM PRIVATE MEMBERS AS AT 31 DECEMBER 2021</w:t>
      </w:r>
    </w:p>
    <w:tbl>
      <w:tblPr>
        <w:tblW w:w="7680" w:type="dxa"/>
        <w:tblLook w:val="04A0" w:firstRow="1" w:lastRow="0" w:firstColumn="1" w:lastColumn="0" w:noHBand="0" w:noVBand="1"/>
      </w:tblPr>
      <w:tblGrid>
        <w:gridCol w:w="5700"/>
        <w:gridCol w:w="1980"/>
      </w:tblGrid>
      <w:tr w:rsidR="00B37CC0" w:rsidRPr="00F05339" w14:paraId="2296BE62" w14:textId="77777777" w:rsidTr="00DF2591">
        <w:trPr>
          <w:trHeight w:val="290"/>
        </w:trPr>
        <w:tc>
          <w:tcPr>
            <w:tcW w:w="5700" w:type="dxa"/>
            <w:tcBorders>
              <w:top w:val="single" w:sz="4" w:space="0" w:color="auto"/>
              <w:left w:val="single" w:sz="4" w:space="0" w:color="auto"/>
              <w:bottom w:val="single" w:sz="4" w:space="0" w:color="auto"/>
              <w:right w:val="single" w:sz="4" w:space="0" w:color="auto"/>
            </w:tcBorders>
            <w:shd w:val="clear" w:color="000000" w:fill="60B0AF"/>
            <w:vAlign w:val="center"/>
            <w:hideMark/>
          </w:tcPr>
          <w:p w14:paraId="05773A4D" w14:textId="77777777" w:rsidR="00B37CC0" w:rsidRPr="00F05339" w:rsidRDefault="00B37CC0" w:rsidP="00DF2591">
            <w:pPr>
              <w:spacing w:after="0" w:line="240" w:lineRule="auto"/>
              <w:rPr>
                <w:rFonts w:ascii="Arial" w:eastAsia="Times New Roman" w:hAnsi="Arial" w:cs="Arial"/>
                <w:b/>
                <w:bCs/>
                <w:color w:val="FFFFFF"/>
                <w:lang w:eastAsia="en-GB"/>
              </w:rPr>
            </w:pPr>
            <w:r w:rsidRPr="00F05339">
              <w:rPr>
                <w:rFonts w:ascii="Arial" w:eastAsia="Times New Roman" w:hAnsi="Arial" w:cs="Arial"/>
                <w:b/>
                <w:bCs/>
                <w:color w:val="FFFFFF"/>
                <w:lang w:eastAsia="en-GB"/>
              </w:rPr>
              <w:t>Cash and certified in-kind contributions</w:t>
            </w:r>
          </w:p>
        </w:tc>
        <w:tc>
          <w:tcPr>
            <w:tcW w:w="1980" w:type="dxa"/>
            <w:tcBorders>
              <w:top w:val="single" w:sz="4" w:space="0" w:color="auto"/>
              <w:left w:val="nil"/>
              <w:bottom w:val="single" w:sz="4" w:space="0" w:color="auto"/>
              <w:right w:val="single" w:sz="4" w:space="0" w:color="auto"/>
            </w:tcBorders>
            <w:shd w:val="clear" w:color="000000" w:fill="60B0AF"/>
            <w:vAlign w:val="center"/>
            <w:hideMark/>
          </w:tcPr>
          <w:p w14:paraId="4A0450A6" w14:textId="77777777" w:rsidR="00B37CC0" w:rsidRPr="00F05339" w:rsidRDefault="00B37CC0" w:rsidP="00DF2591">
            <w:pPr>
              <w:spacing w:after="0" w:line="240" w:lineRule="auto"/>
              <w:jc w:val="center"/>
              <w:rPr>
                <w:rFonts w:ascii="Arial" w:eastAsia="Times New Roman" w:hAnsi="Arial" w:cs="Arial"/>
                <w:b/>
                <w:bCs/>
                <w:color w:val="FFFFFF"/>
                <w:lang w:eastAsia="en-GB"/>
              </w:rPr>
            </w:pPr>
            <w:r w:rsidRPr="00F05339">
              <w:rPr>
                <w:rFonts w:ascii="Arial" w:eastAsia="Times New Roman" w:hAnsi="Arial" w:cs="Arial"/>
                <w:b/>
                <w:bCs/>
                <w:color w:val="FFFFFF"/>
                <w:lang w:eastAsia="en-GB"/>
              </w:rPr>
              <w:t>in EUR million</w:t>
            </w:r>
          </w:p>
        </w:tc>
      </w:tr>
      <w:tr w:rsidR="00B37CC0" w:rsidRPr="00F05339" w14:paraId="23BDE67E" w14:textId="77777777" w:rsidTr="00DF2591">
        <w:trPr>
          <w:trHeight w:val="290"/>
        </w:trPr>
        <w:tc>
          <w:tcPr>
            <w:tcW w:w="5700" w:type="dxa"/>
            <w:tcBorders>
              <w:top w:val="nil"/>
              <w:left w:val="single" w:sz="4" w:space="0" w:color="auto"/>
              <w:bottom w:val="single" w:sz="4" w:space="0" w:color="auto"/>
              <w:right w:val="single" w:sz="4" w:space="0" w:color="auto"/>
            </w:tcBorders>
            <w:shd w:val="clear" w:color="auto" w:fill="auto"/>
            <w:noWrap/>
            <w:vAlign w:val="center"/>
            <w:hideMark/>
          </w:tcPr>
          <w:p w14:paraId="0C12736C" w14:textId="77777777" w:rsidR="00B37CC0" w:rsidRPr="00F05339" w:rsidRDefault="00B37CC0" w:rsidP="00DF2591">
            <w:pPr>
              <w:spacing w:after="0" w:line="240" w:lineRule="auto"/>
              <w:jc w:val="both"/>
              <w:rPr>
                <w:rFonts w:ascii="Arial" w:eastAsia="Times New Roman" w:hAnsi="Arial" w:cs="Arial"/>
                <w:b/>
                <w:bCs/>
                <w:color w:val="000000"/>
                <w:lang w:eastAsia="en-GB"/>
              </w:rPr>
            </w:pPr>
            <w:r w:rsidRPr="00F05339">
              <w:rPr>
                <w:rFonts w:ascii="Arial" w:eastAsia="Times New Roman" w:hAnsi="Arial" w:cs="Arial"/>
                <w:b/>
                <w:bCs/>
                <w:color w:val="000000"/>
                <w:lang w:eastAsia="en-GB"/>
              </w:rPr>
              <w:t>Cash contributions to FCH 2 JU administrative costs</w:t>
            </w:r>
          </w:p>
        </w:tc>
        <w:tc>
          <w:tcPr>
            <w:tcW w:w="1980" w:type="dxa"/>
            <w:tcBorders>
              <w:top w:val="nil"/>
              <w:left w:val="nil"/>
              <w:bottom w:val="single" w:sz="4" w:space="0" w:color="auto"/>
              <w:right w:val="single" w:sz="4" w:space="0" w:color="auto"/>
            </w:tcBorders>
            <w:shd w:val="clear" w:color="auto" w:fill="auto"/>
            <w:noWrap/>
            <w:vAlign w:val="center"/>
            <w:hideMark/>
          </w:tcPr>
          <w:p w14:paraId="3AE2A417" w14:textId="77777777" w:rsidR="00B37CC0" w:rsidRPr="00F05339" w:rsidRDefault="00B37CC0" w:rsidP="00DF2591">
            <w:pPr>
              <w:spacing w:after="0" w:line="240" w:lineRule="auto"/>
              <w:jc w:val="both"/>
              <w:rPr>
                <w:rFonts w:ascii="Arial" w:eastAsia="Times New Roman" w:hAnsi="Arial" w:cs="Arial"/>
                <w:b/>
                <w:bCs/>
                <w:color w:val="000000"/>
                <w:lang w:eastAsia="en-GB"/>
              </w:rPr>
            </w:pPr>
            <w:r w:rsidRPr="00F05339">
              <w:rPr>
                <w:rFonts w:ascii="Arial" w:eastAsia="Times New Roman" w:hAnsi="Arial" w:cs="Arial"/>
                <w:b/>
                <w:bCs/>
                <w:color w:val="000000"/>
                <w:lang w:eastAsia="en-GB"/>
              </w:rPr>
              <w:t> </w:t>
            </w:r>
          </w:p>
        </w:tc>
      </w:tr>
      <w:tr w:rsidR="00B37CC0" w:rsidRPr="00F05339" w14:paraId="1649FD9D" w14:textId="77777777" w:rsidTr="00DF2591">
        <w:trPr>
          <w:trHeight w:val="290"/>
        </w:trPr>
        <w:tc>
          <w:tcPr>
            <w:tcW w:w="5700" w:type="dxa"/>
            <w:tcBorders>
              <w:top w:val="nil"/>
              <w:left w:val="single" w:sz="4" w:space="0" w:color="auto"/>
              <w:bottom w:val="single" w:sz="4" w:space="0" w:color="auto"/>
              <w:right w:val="single" w:sz="4" w:space="0" w:color="auto"/>
            </w:tcBorders>
            <w:shd w:val="clear" w:color="auto" w:fill="auto"/>
            <w:noWrap/>
            <w:vAlign w:val="center"/>
            <w:hideMark/>
          </w:tcPr>
          <w:p w14:paraId="474024F9" w14:textId="77777777" w:rsidR="00B37CC0" w:rsidRPr="00F05339" w:rsidRDefault="00B37CC0" w:rsidP="00DF2591">
            <w:pPr>
              <w:spacing w:after="0" w:line="240" w:lineRule="auto"/>
              <w:jc w:val="both"/>
              <w:rPr>
                <w:rFonts w:ascii="Arial" w:eastAsia="Times New Roman" w:hAnsi="Arial" w:cs="Arial"/>
                <w:color w:val="000000"/>
                <w:lang w:eastAsia="en-GB"/>
              </w:rPr>
            </w:pPr>
            <w:r w:rsidRPr="00F05339">
              <w:rPr>
                <w:rFonts w:ascii="Arial" w:eastAsia="Times New Roman" w:hAnsi="Arial" w:cs="Arial"/>
                <w:color w:val="000000"/>
                <w:lang w:eastAsia="en-GB"/>
              </w:rPr>
              <w:t>Industry</w:t>
            </w:r>
          </w:p>
        </w:tc>
        <w:tc>
          <w:tcPr>
            <w:tcW w:w="1980" w:type="dxa"/>
            <w:tcBorders>
              <w:top w:val="nil"/>
              <w:left w:val="nil"/>
              <w:bottom w:val="single" w:sz="4" w:space="0" w:color="auto"/>
              <w:right w:val="single" w:sz="4" w:space="0" w:color="auto"/>
            </w:tcBorders>
            <w:shd w:val="clear" w:color="auto" w:fill="auto"/>
            <w:noWrap/>
            <w:vAlign w:val="center"/>
            <w:hideMark/>
          </w:tcPr>
          <w:p w14:paraId="02D73CF4" w14:textId="77777777" w:rsidR="00B37CC0" w:rsidRPr="00F05339" w:rsidRDefault="00B37CC0" w:rsidP="00DF2591">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9.77</w:t>
            </w:r>
          </w:p>
        </w:tc>
      </w:tr>
      <w:tr w:rsidR="00B37CC0" w:rsidRPr="00F05339" w14:paraId="27C21267" w14:textId="77777777" w:rsidTr="00DF2591">
        <w:trPr>
          <w:trHeight w:val="290"/>
        </w:trPr>
        <w:tc>
          <w:tcPr>
            <w:tcW w:w="5700" w:type="dxa"/>
            <w:tcBorders>
              <w:top w:val="nil"/>
              <w:left w:val="single" w:sz="4" w:space="0" w:color="auto"/>
              <w:bottom w:val="single" w:sz="4" w:space="0" w:color="auto"/>
              <w:right w:val="single" w:sz="4" w:space="0" w:color="auto"/>
            </w:tcBorders>
            <w:shd w:val="clear" w:color="auto" w:fill="auto"/>
            <w:noWrap/>
            <w:vAlign w:val="center"/>
            <w:hideMark/>
          </w:tcPr>
          <w:p w14:paraId="2F932084" w14:textId="77777777" w:rsidR="00B37CC0" w:rsidRPr="00F05339" w:rsidRDefault="00B37CC0" w:rsidP="00DF2591">
            <w:pPr>
              <w:spacing w:after="0" w:line="240" w:lineRule="auto"/>
              <w:jc w:val="both"/>
              <w:rPr>
                <w:rFonts w:ascii="Arial" w:eastAsia="Times New Roman" w:hAnsi="Arial" w:cs="Arial"/>
                <w:color w:val="000000"/>
                <w:lang w:eastAsia="en-GB"/>
              </w:rPr>
            </w:pPr>
            <w:r w:rsidRPr="00F05339">
              <w:rPr>
                <w:rFonts w:ascii="Arial" w:eastAsia="Times New Roman" w:hAnsi="Arial" w:cs="Arial"/>
                <w:color w:val="000000"/>
                <w:lang w:eastAsia="en-GB"/>
              </w:rPr>
              <w:t>Research</w:t>
            </w:r>
          </w:p>
        </w:tc>
        <w:tc>
          <w:tcPr>
            <w:tcW w:w="1980" w:type="dxa"/>
            <w:tcBorders>
              <w:top w:val="nil"/>
              <w:left w:val="nil"/>
              <w:bottom w:val="single" w:sz="4" w:space="0" w:color="auto"/>
              <w:right w:val="single" w:sz="4" w:space="0" w:color="auto"/>
            </w:tcBorders>
            <w:shd w:val="clear" w:color="auto" w:fill="auto"/>
            <w:noWrap/>
            <w:vAlign w:val="center"/>
            <w:hideMark/>
          </w:tcPr>
          <w:p w14:paraId="3A534670" w14:textId="77777777" w:rsidR="00B37CC0" w:rsidRPr="00F05339" w:rsidRDefault="00B37CC0" w:rsidP="00DF2591">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1.59</w:t>
            </w:r>
          </w:p>
        </w:tc>
      </w:tr>
      <w:tr w:rsidR="00B37CC0" w:rsidRPr="00F05339" w14:paraId="7F99DB4D" w14:textId="77777777" w:rsidTr="00DF2591">
        <w:trPr>
          <w:trHeight w:val="290"/>
        </w:trPr>
        <w:tc>
          <w:tcPr>
            <w:tcW w:w="5700" w:type="dxa"/>
            <w:tcBorders>
              <w:top w:val="nil"/>
              <w:left w:val="single" w:sz="4" w:space="0" w:color="auto"/>
              <w:bottom w:val="single" w:sz="4" w:space="0" w:color="auto"/>
              <w:right w:val="single" w:sz="4" w:space="0" w:color="auto"/>
            </w:tcBorders>
            <w:shd w:val="clear" w:color="auto" w:fill="auto"/>
            <w:noWrap/>
            <w:vAlign w:val="center"/>
            <w:hideMark/>
          </w:tcPr>
          <w:p w14:paraId="5B48B97B" w14:textId="77777777" w:rsidR="00B37CC0" w:rsidRPr="00F05339" w:rsidRDefault="00B37CC0" w:rsidP="00DF2591">
            <w:pPr>
              <w:spacing w:after="0" w:line="240" w:lineRule="auto"/>
              <w:jc w:val="right"/>
              <w:rPr>
                <w:rFonts w:ascii="Arial" w:eastAsia="Times New Roman" w:hAnsi="Arial" w:cs="Arial"/>
                <w:b/>
                <w:bCs/>
                <w:color w:val="000000"/>
                <w:lang w:eastAsia="en-GB"/>
              </w:rPr>
            </w:pPr>
            <w:r w:rsidRPr="00F05339">
              <w:rPr>
                <w:rFonts w:ascii="Arial" w:eastAsia="Times New Roman" w:hAnsi="Arial" w:cs="Arial"/>
                <w:b/>
                <w:bCs/>
                <w:color w:val="000000"/>
                <w:lang w:eastAsia="en-GB"/>
              </w:rPr>
              <w:t>TOTAL cash contribution</w:t>
            </w:r>
          </w:p>
        </w:tc>
        <w:tc>
          <w:tcPr>
            <w:tcW w:w="1980" w:type="dxa"/>
            <w:tcBorders>
              <w:top w:val="nil"/>
              <w:left w:val="nil"/>
              <w:bottom w:val="single" w:sz="4" w:space="0" w:color="auto"/>
              <w:right w:val="single" w:sz="4" w:space="0" w:color="auto"/>
            </w:tcBorders>
            <w:shd w:val="clear" w:color="auto" w:fill="auto"/>
            <w:noWrap/>
            <w:vAlign w:val="center"/>
            <w:hideMark/>
          </w:tcPr>
          <w:p w14:paraId="10008924" w14:textId="77777777" w:rsidR="00B37CC0" w:rsidRPr="00F05339" w:rsidRDefault="00B37CC0" w:rsidP="00DF2591">
            <w:pPr>
              <w:spacing w:after="0" w:line="240" w:lineRule="auto"/>
              <w:jc w:val="right"/>
              <w:rPr>
                <w:rFonts w:ascii="Arial" w:eastAsia="Times New Roman" w:hAnsi="Arial" w:cs="Arial"/>
                <w:b/>
                <w:bCs/>
                <w:color w:val="000000"/>
                <w:lang w:eastAsia="en-GB"/>
              </w:rPr>
            </w:pPr>
            <w:r w:rsidRPr="00F05339">
              <w:rPr>
                <w:rFonts w:ascii="Arial" w:eastAsia="Times New Roman" w:hAnsi="Arial" w:cs="Arial"/>
                <w:b/>
                <w:bCs/>
                <w:color w:val="000000"/>
                <w:lang w:eastAsia="en-GB"/>
              </w:rPr>
              <w:t>11.36</w:t>
            </w:r>
          </w:p>
        </w:tc>
      </w:tr>
      <w:tr w:rsidR="00B37CC0" w:rsidRPr="00F05339" w14:paraId="6A5E194A" w14:textId="77777777" w:rsidTr="00DF2591">
        <w:trPr>
          <w:trHeight w:val="290"/>
        </w:trPr>
        <w:tc>
          <w:tcPr>
            <w:tcW w:w="5700" w:type="dxa"/>
            <w:tcBorders>
              <w:top w:val="nil"/>
              <w:left w:val="single" w:sz="4" w:space="0" w:color="auto"/>
              <w:bottom w:val="single" w:sz="4" w:space="0" w:color="auto"/>
              <w:right w:val="single" w:sz="4" w:space="0" w:color="auto"/>
            </w:tcBorders>
            <w:shd w:val="clear" w:color="auto" w:fill="auto"/>
            <w:noWrap/>
            <w:vAlign w:val="center"/>
            <w:hideMark/>
          </w:tcPr>
          <w:p w14:paraId="4C7F2623" w14:textId="77777777" w:rsidR="00B37CC0" w:rsidRPr="00F05339" w:rsidRDefault="00B37CC0" w:rsidP="00DF2591">
            <w:pPr>
              <w:spacing w:after="0" w:line="240" w:lineRule="auto"/>
              <w:jc w:val="right"/>
              <w:rPr>
                <w:rFonts w:ascii="Arial" w:eastAsia="Times New Roman" w:hAnsi="Arial" w:cs="Arial"/>
                <w:b/>
                <w:bCs/>
                <w:color w:val="000000"/>
                <w:lang w:eastAsia="en-GB"/>
              </w:rPr>
            </w:pPr>
            <w:r w:rsidRPr="00F05339">
              <w:rPr>
                <w:rFonts w:ascii="Arial" w:eastAsia="Times New Roman" w:hAnsi="Arial" w:cs="Arial"/>
                <w:b/>
                <w:bCs/>
                <w:color w:val="000000"/>
                <w:lang w:eastAsia="en-GB"/>
              </w:rPr>
              <w:t> </w:t>
            </w:r>
          </w:p>
        </w:tc>
        <w:tc>
          <w:tcPr>
            <w:tcW w:w="1980" w:type="dxa"/>
            <w:tcBorders>
              <w:top w:val="nil"/>
              <w:left w:val="nil"/>
              <w:bottom w:val="single" w:sz="4" w:space="0" w:color="auto"/>
              <w:right w:val="single" w:sz="4" w:space="0" w:color="auto"/>
            </w:tcBorders>
            <w:shd w:val="clear" w:color="auto" w:fill="auto"/>
            <w:noWrap/>
            <w:vAlign w:val="center"/>
            <w:hideMark/>
          </w:tcPr>
          <w:p w14:paraId="44E6EEA5" w14:textId="77777777" w:rsidR="00B37CC0" w:rsidRPr="00F05339" w:rsidRDefault="00B37CC0" w:rsidP="00DF2591">
            <w:pPr>
              <w:spacing w:after="0" w:line="240" w:lineRule="auto"/>
              <w:jc w:val="right"/>
              <w:rPr>
                <w:rFonts w:ascii="Arial" w:eastAsia="Times New Roman" w:hAnsi="Arial" w:cs="Arial"/>
                <w:b/>
                <w:bCs/>
                <w:color w:val="000000"/>
                <w:lang w:eastAsia="en-GB"/>
              </w:rPr>
            </w:pPr>
            <w:r w:rsidRPr="00F05339">
              <w:rPr>
                <w:rFonts w:ascii="Arial" w:eastAsia="Times New Roman" w:hAnsi="Arial" w:cs="Arial"/>
                <w:b/>
                <w:bCs/>
                <w:color w:val="000000"/>
                <w:lang w:eastAsia="en-GB"/>
              </w:rPr>
              <w:t> </w:t>
            </w:r>
          </w:p>
        </w:tc>
      </w:tr>
      <w:tr w:rsidR="00B37CC0" w:rsidRPr="00F05339" w14:paraId="7C34867A" w14:textId="77777777" w:rsidTr="00DF2591">
        <w:trPr>
          <w:trHeight w:val="290"/>
        </w:trPr>
        <w:tc>
          <w:tcPr>
            <w:tcW w:w="5700" w:type="dxa"/>
            <w:tcBorders>
              <w:top w:val="nil"/>
              <w:left w:val="single" w:sz="4" w:space="0" w:color="auto"/>
              <w:bottom w:val="single" w:sz="4" w:space="0" w:color="auto"/>
              <w:right w:val="single" w:sz="4" w:space="0" w:color="auto"/>
            </w:tcBorders>
            <w:shd w:val="clear" w:color="auto" w:fill="auto"/>
            <w:noWrap/>
            <w:vAlign w:val="center"/>
            <w:hideMark/>
          </w:tcPr>
          <w:p w14:paraId="36FD148F" w14:textId="77777777" w:rsidR="00B37CC0" w:rsidRPr="00F05339" w:rsidRDefault="00B37CC0" w:rsidP="00DF2591">
            <w:pPr>
              <w:spacing w:after="0" w:line="240" w:lineRule="auto"/>
              <w:rPr>
                <w:rFonts w:ascii="Arial" w:eastAsia="Times New Roman" w:hAnsi="Arial" w:cs="Arial"/>
                <w:b/>
                <w:bCs/>
                <w:color w:val="000000"/>
                <w:lang w:eastAsia="en-GB"/>
              </w:rPr>
            </w:pPr>
            <w:r w:rsidRPr="00F05339">
              <w:rPr>
                <w:rFonts w:ascii="Arial" w:eastAsia="Times New Roman" w:hAnsi="Arial" w:cs="Arial"/>
                <w:b/>
                <w:bCs/>
                <w:color w:val="000000"/>
                <w:lang w:eastAsia="en-GB"/>
              </w:rPr>
              <w:t>Indirect actions – in-kind contributions ‘IKOP’</w:t>
            </w:r>
          </w:p>
        </w:tc>
        <w:tc>
          <w:tcPr>
            <w:tcW w:w="1980" w:type="dxa"/>
            <w:tcBorders>
              <w:top w:val="nil"/>
              <w:left w:val="nil"/>
              <w:bottom w:val="single" w:sz="4" w:space="0" w:color="auto"/>
              <w:right w:val="single" w:sz="4" w:space="0" w:color="auto"/>
            </w:tcBorders>
            <w:shd w:val="clear" w:color="auto" w:fill="auto"/>
            <w:noWrap/>
            <w:vAlign w:val="center"/>
            <w:hideMark/>
          </w:tcPr>
          <w:p w14:paraId="260A8246" w14:textId="77777777" w:rsidR="00B37CC0" w:rsidRPr="00F05339" w:rsidRDefault="00B37CC0" w:rsidP="00DF2591">
            <w:pPr>
              <w:spacing w:after="0" w:line="240" w:lineRule="auto"/>
              <w:jc w:val="both"/>
              <w:rPr>
                <w:rFonts w:ascii="Arial" w:eastAsia="Times New Roman" w:hAnsi="Arial" w:cs="Arial"/>
                <w:b/>
                <w:bCs/>
                <w:color w:val="000000"/>
                <w:lang w:eastAsia="en-GB"/>
              </w:rPr>
            </w:pPr>
            <w:r w:rsidRPr="00F05339">
              <w:rPr>
                <w:rFonts w:ascii="Arial" w:eastAsia="Times New Roman" w:hAnsi="Arial" w:cs="Arial"/>
                <w:b/>
                <w:bCs/>
                <w:color w:val="000000"/>
                <w:lang w:eastAsia="en-GB"/>
              </w:rPr>
              <w:t> </w:t>
            </w:r>
          </w:p>
        </w:tc>
      </w:tr>
      <w:tr w:rsidR="00B37CC0" w:rsidRPr="00F05339" w14:paraId="71A99C7D" w14:textId="77777777" w:rsidTr="00DF2591">
        <w:trPr>
          <w:trHeight w:val="290"/>
        </w:trPr>
        <w:tc>
          <w:tcPr>
            <w:tcW w:w="5700" w:type="dxa"/>
            <w:tcBorders>
              <w:top w:val="nil"/>
              <w:left w:val="single" w:sz="4" w:space="0" w:color="auto"/>
              <w:bottom w:val="single" w:sz="4" w:space="0" w:color="auto"/>
              <w:right w:val="single" w:sz="4" w:space="0" w:color="auto"/>
            </w:tcBorders>
            <w:shd w:val="clear" w:color="auto" w:fill="auto"/>
            <w:noWrap/>
            <w:vAlign w:val="bottom"/>
            <w:hideMark/>
          </w:tcPr>
          <w:p w14:paraId="0617E85D" w14:textId="77777777" w:rsidR="00B37CC0" w:rsidRPr="00F05339" w:rsidRDefault="00B37CC0" w:rsidP="00DF2591">
            <w:pPr>
              <w:spacing w:after="0" w:line="240" w:lineRule="auto"/>
              <w:rPr>
                <w:rFonts w:ascii="Arial" w:eastAsia="Times New Roman" w:hAnsi="Arial" w:cs="Arial"/>
                <w:color w:val="000000"/>
                <w:lang w:eastAsia="en-GB"/>
              </w:rPr>
            </w:pPr>
            <w:r w:rsidRPr="00F05339">
              <w:rPr>
                <w:rFonts w:ascii="Arial" w:eastAsia="Times New Roman" w:hAnsi="Arial" w:cs="Arial"/>
                <w:color w:val="000000"/>
                <w:lang w:eastAsia="en-GB"/>
              </w:rPr>
              <w:t>Certified IKOP as of 31 December 2020</w:t>
            </w:r>
          </w:p>
        </w:tc>
        <w:tc>
          <w:tcPr>
            <w:tcW w:w="1980" w:type="dxa"/>
            <w:tcBorders>
              <w:top w:val="nil"/>
              <w:left w:val="nil"/>
              <w:bottom w:val="single" w:sz="4" w:space="0" w:color="auto"/>
              <w:right w:val="single" w:sz="4" w:space="0" w:color="auto"/>
            </w:tcBorders>
            <w:shd w:val="clear" w:color="auto" w:fill="auto"/>
            <w:noWrap/>
            <w:vAlign w:val="center"/>
            <w:hideMark/>
          </w:tcPr>
          <w:p w14:paraId="5E39FCF1" w14:textId="77777777" w:rsidR="00B37CC0" w:rsidRPr="00F05339" w:rsidRDefault="00B37CC0" w:rsidP="00DF2591">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11.92</w:t>
            </w:r>
          </w:p>
        </w:tc>
      </w:tr>
      <w:tr w:rsidR="00B37CC0" w:rsidRPr="00F05339" w14:paraId="496EC05A" w14:textId="77777777" w:rsidTr="00DF2591">
        <w:trPr>
          <w:trHeight w:val="290"/>
        </w:trPr>
        <w:tc>
          <w:tcPr>
            <w:tcW w:w="5700" w:type="dxa"/>
            <w:tcBorders>
              <w:top w:val="nil"/>
              <w:left w:val="single" w:sz="4" w:space="0" w:color="auto"/>
              <w:bottom w:val="single" w:sz="4" w:space="0" w:color="auto"/>
              <w:right w:val="single" w:sz="4" w:space="0" w:color="auto"/>
            </w:tcBorders>
            <w:shd w:val="clear" w:color="auto" w:fill="auto"/>
            <w:noWrap/>
            <w:vAlign w:val="center"/>
            <w:hideMark/>
          </w:tcPr>
          <w:p w14:paraId="12E559AE" w14:textId="77777777" w:rsidR="00B37CC0" w:rsidRPr="00F05339" w:rsidRDefault="00B37CC0" w:rsidP="00DF2591">
            <w:pPr>
              <w:spacing w:after="0" w:line="240" w:lineRule="auto"/>
              <w:jc w:val="both"/>
              <w:rPr>
                <w:rFonts w:ascii="Arial" w:eastAsia="Times New Roman" w:hAnsi="Arial" w:cs="Arial"/>
                <w:color w:val="000000"/>
                <w:lang w:eastAsia="en-GB"/>
              </w:rPr>
            </w:pPr>
            <w:r w:rsidRPr="00F05339">
              <w:rPr>
                <w:rFonts w:ascii="Arial" w:eastAsia="Times New Roman" w:hAnsi="Arial" w:cs="Arial"/>
                <w:color w:val="000000"/>
                <w:lang w:eastAsia="en-GB"/>
              </w:rPr>
              <w:t>Newly certified IKOP in 2021</w:t>
            </w:r>
          </w:p>
        </w:tc>
        <w:tc>
          <w:tcPr>
            <w:tcW w:w="1980" w:type="dxa"/>
            <w:tcBorders>
              <w:top w:val="nil"/>
              <w:left w:val="nil"/>
              <w:bottom w:val="single" w:sz="4" w:space="0" w:color="auto"/>
              <w:right w:val="single" w:sz="4" w:space="0" w:color="auto"/>
            </w:tcBorders>
            <w:shd w:val="clear" w:color="auto" w:fill="auto"/>
            <w:noWrap/>
            <w:vAlign w:val="center"/>
            <w:hideMark/>
          </w:tcPr>
          <w:p w14:paraId="03AE1BD7" w14:textId="77777777" w:rsidR="00B37CC0" w:rsidRPr="00F05339" w:rsidRDefault="00B37CC0" w:rsidP="00DF2591">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26.72</w:t>
            </w:r>
          </w:p>
        </w:tc>
      </w:tr>
      <w:tr w:rsidR="00B37CC0" w:rsidRPr="00F05339" w14:paraId="09DE6820" w14:textId="77777777" w:rsidTr="00DF2591">
        <w:trPr>
          <w:trHeight w:val="330"/>
        </w:trPr>
        <w:tc>
          <w:tcPr>
            <w:tcW w:w="5700" w:type="dxa"/>
            <w:tcBorders>
              <w:top w:val="nil"/>
              <w:left w:val="single" w:sz="4" w:space="0" w:color="auto"/>
              <w:bottom w:val="single" w:sz="4" w:space="0" w:color="auto"/>
              <w:right w:val="single" w:sz="4" w:space="0" w:color="auto"/>
            </w:tcBorders>
            <w:shd w:val="clear" w:color="auto" w:fill="auto"/>
            <w:noWrap/>
            <w:vAlign w:val="center"/>
            <w:hideMark/>
          </w:tcPr>
          <w:p w14:paraId="38D60DD8" w14:textId="77777777" w:rsidR="00B37CC0" w:rsidRPr="00F05339" w:rsidRDefault="00B37CC0" w:rsidP="00DF2591">
            <w:pPr>
              <w:spacing w:after="0" w:line="240" w:lineRule="auto"/>
              <w:jc w:val="right"/>
              <w:rPr>
                <w:rFonts w:ascii="Arial" w:eastAsia="Times New Roman" w:hAnsi="Arial" w:cs="Arial"/>
                <w:b/>
                <w:bCs/>
                <w:color w:val="000000"/>
                <w:lang w:eastAsia="en-GB"/>
              </w:rPr>
            </w:pPr>
            <w:r w:rsidRPr="00F05339">
              <w:rPr>
                <w:rFonts w:ascii="Arial" w:eastAsia="Times New Roman" w:hAnsi="Arial" w:cs="Arial"/>
                <w:b/>
                <w:bCs/>
                <w:color w:val="000000"/>
                <w:lang w:eastAsia="en-GB"/>
              </w:rPr>
              <w:t xml:space="preserve">Total certified IKOP as </w:t>
            </w:r>
            <w:proofErr w:type="gramStart"/>
            <w:r w:rsidRPr="00F05339">
              <w:rPr>
                <w:rFonts w:ascii="Arial" w:eastAsia="Times New Roman" w:hAnsi="Arial" w:cs="Arial"/>
                <w:b/>
                <w:bCs/>
                <w:color w:val="000000"/>
                <w:lang w:eastAsia="en-GB"/>
              </w:rPr>
              <w:t>at</w:t>
            </w:r>
            <w:proofErr w:type="gramEnd"/>
            <w:r w:rsidRPr="00F05339">
              <w:rPr>
                <w:rFonts w:ascii="Arial" w:eastAsia="Times New Roman" w:hAnsi="Arial" w:cs="Arial"/>
                <w:b/>
                <w:bCs/>
                <w:color w:val="000000"/>
                <w:lang w:eastAsia="en-GB"/>
              </w:rPr>
              <w:t xml:space="preserve"> 31 December 2021</w:t>
            </w:r>
            <w:r w:rsidRPr="00F05339">
              <w:rPr>
                <w:rFonts w:ascii="Arial" w:eastAsia="Times New Roman" w:hAnsi="Arial" w:cs="Arial"/>
                <w:b/>
                <w:bCs/>
                <w:color w:val="000000"/>
                <w:vertAlign w:val="superscript"/>
                <w:lang w:eastAsia="en-GB"/>
              </w:rPr>
              <w:t>2</w:t>
            </w:r>
          </w:p>
        </w:tc>
        <w:tc>
          <w:tcPr>
            <w:tcW w:w="1980" w:type="dxa"/>
            <w:tcBorders>
              <w:top w:val="nil"/>
              <w:left w:val="nil"/>
              <w:bottom w:val="single" w:sz="4" w:space="0" w:color="auto"/>
              <w:right w:val="single" w:sz="4" w:space="0" w:color="auto"/>
            </w:tcBorders>
            <w:shd w:val="clear" w:color="auto" w:fill="auto"/>
            <w:noWrap/>
            <w:vAlign w:val="center"/>
            <w:hideMark/>
          </w:tcPr>
          <w:p w14:paraId="06DDE672" w14:textId="77777777" w:rsidR="00B37CC0" w:rsidRPr="00F05339" w:rsidRDefault="00B37CC0" w:rsidP="00DF2591">
            <w:pPr>
              <w:spacing w:after="0" w:line="240" w:lineRule="auto"/>
              <w:jc w:val="right"/>
              <w:rPr>
                <w:rFonts w:ascii="Arial" w:eastAsia="Times New Roman" w:hAnsi="Arial" w:cs="Arial"/>
                <w:b/>
                <w:bCs/>
                <w:color w:val="000000"/>
                <w:lang w:eastAsia="en-GB"/>
              </w:rPr>
            </w:pPr>
            <w:r w:rsidRPr="00F05339">
              <w:rPr>
                <w:rFonts w:ascii="Arial" w:eastAsia="Times New Roman" w:hAnsi="Arial" w:cs="Arial"/>
                <w:b/>
                <w:bCs/>
                <w:color w:val="000000"/>
                <w:lang w:eastAsia="en-GB"/>
              </w:rPr>
              <w:t>38.63</w:t>
            </w:r>
          </w:p>
        </w:tc>
      </w:tr>
      <w:tr w:rsidR="00B37CC0" w:rsidRPr="00F05339" w14:paraId="7FE31CB0" w14:textId="77777777" w:rsidTr="00DF2591">
        <w:trPr>
          <w:trHeight w:val="290"/>
        </w:trPr>
        <w:tc>
          <w:tcPr>
            <w:tcW w:w="5700" w:type="dxa"/>
            <w:tcBorders>
              <w:top w:val="nil"/>
              <w:left w:val="single" w:sz="4" w:space="0" w:color="auto"/>
              <w:bottom w:val="single" w:sz="4" w:space="0" w:color="auto"/>
              <w:right w:val="single" w:sz="4" w:space="0" w:color="auto"/>
            </w:tcBorders>
            <w:shd w:val="clear" w:color="auto" w:fill="auto"/>
            <w:noWrap/>
            <w:vAlign w:val="bottom"/>
            <w:hideMark/>
          </w:tcPr>
          <w:p w14:paraId="344D5CC2" w14:textId="77777777" w:rsidR="00B37CC0" w:rsidRPr="00F05339" w:rsidRDefault="00B37CC0" w:rsidP="00DF2591">
            <w:pPr>
              <w:spacing w:after="0" w:line="240" w:lineRule="auto"/>
              <w:rPr>
                <w:rFonts w:ascii="Arial" w:eastAsia="Times New Roman" w:hAnsi="Arial" w:cs="Arial"/>
                <w:color w:val="000000"/>
                <w:lang w:eastAsia="en-GB"/>
              </w:rPr>
            </w:pPr>
            <w:r w:rsidRPr="00F05339">
              <w:rPr>
                <w:rFonts w:ascii="Arial" w:eastAsia="Times New Roman" w:hAnsi="Arial" w:cs="Arial"/>
                <w:color w:val="000000"/>
                <w:lang w:eastAsia="en-GB"/>
              </w:rPr>
              <w:t> </w:t>
            </w:r>
          </w:p>
        </w:tc>
        <w:tc>
          <w:tcPr>
            <w:tcW w:w="1980" w:type="dxa"/>
            <w:tcBorders>
              <w:top w:val="nil"/>
              <w:left w:val="nil"/>
              <w:bottom w:val="single" w:sz="4" w:space="0" w:color="auto"/>
              <w:right w:val="single" w:sz="4" w:space="0" w:color="auto"/>
            </w:tcBorders>
            <w:shd w:val="clear" w:color="auto" w:fill="auto"/>
            <w:noWrap/>
            <w:vAlign w:val="center"/>
            <w:hideMark/>
          </w:tcPr>
          <w:p w14:paraId="16EC3CBF" w14:textId="77777777" w:rsidR="00B37CC0" w:rsidRPr="00F05339" w:rsidRDefault="00B37CC0" w:rsidP="00DF2591">
            <w:pPr>
              <w:spacing w:after="0" w:line="240" w:lineRule="auto"/>
              <w:jc w:val="right"/>
              <w:rPr>
                <w:rFonts w:ascii="Arial" w:eastAsia="Times New Roman" w:hAnsi="Arial" w:cs="Arial"/>
                <w:b/>
                <w:bCs/>
                <w:color w:val="000000"/>
                <w:lang w:eastAsia="en-GB"/>
              </w:rPr>
            </w:pPr>
            <w:r w:rsidRPr="00F05339">
              <w:rPr>
                <w:rFonts w:ascii="Arial" w:eastAsia="Times New Roman" w:hAnsi="Arial" w:cs="Arial"/>
                <w:b/>
                <w:bCs/>
                <w:color w:val="000000"/>
                <w:lang w:eastAsia="en-GB"/>
              </w:rPr>
              <w:t> </w:t>
            </w:r>
          </w:p>
        </w:tc>
      </w:tr>
      <w:tr w:rsidR="00B37CC0" w:rsidRPr="00F05339" w14:paraId="323E47E8" w14:textId="77777777" w:rsidTr="00DF2591">
        <w:trPr>
          <w:trHeight w:val="290"/>
        </w:trPr>
        <w:tc>
          <w:tcPr>
            <w:tcW w:w="5700" w:type="dxa"/>
            <w:tcBorders>
              <w:top w:val="nil"/>
              <w:left w:val="single" w:sz="4" w:space="0" w:color="auto"/>
              <w:bottom w:val="single" w:sz="4" w:space="0" w:color="auto"/>
              <w:right w:val="single" w:sz="4" w:space="0" w:color="auto"/>
            </w:tcBorders>
            <w:shd w:val="clear" w:color="auto" w:fill="auto"/>
            <w:noWrap/>
            <w:vAlign w:val="center"/>
            <w:hideMark/>
          </w:tcPr>
          <w:p w14:paraId="46D079B5" w14:textId="77777777" w:rsidR="00B37CC0" w:rsidRPr="00F05339" w:rsidRDefault="00B37CC0" w:rsidP="00DF2591">
            <w:pPr>
              <w:spacing w:after="0" w:line="240" w:lineRule="auto"/>
              <w:jc w:val="both"/>
              <w:rPr>
                <w:rFonts w:ascii="Arial" w:eastAsia="Times New Roman" w:hAnsi="Arial" w:cs="Arial"/>
                <w:b/>
                <w:bCs/>
                <w:color w:val="000000"/>
                <w:lang w:eastAsia="en-GB"/>
              </w:rPr>
            </w:pPr>
            <w:r w:rsidRPr="00F05339">
              <w:rPr>
                <w:rFonts w:ascii="Arial" w:eastAsia="Times New Roman" w:hAnsi="Arial" w:cs="Arial"/>
                <w:b/>
                <w:bCs/>
                <w:color w:val="000000"/>
                <w:lang w:eastAsia="en-GB"/>
              </w:rPr>
              <w:t>Additional activities – certified ‘IKAA’</w:t>
            </w:r>
          </w:p>
        </w:tc>
        <w:tc>
          <w:tcPr>
            <w:tcW w:w="1980" w:type="dxa"/>
            <w:tcBorders>
              <w:top w:val="nil"/>
              <w:left w:val="nil"/>
              <w:bottom w:val="single" w:sz="4" w:space="0" w:color="auto"/>
              <w:right w:val="single" w:sz="4" w:space="0" w:color="auto"/>
            </w:tcBorders>
            <w:shd w:val="clear" w:color="auto" w:fill="auto"/>
            <w:noWrap/>
            <w:vAlign w:val="center"/>
            <w:hideMark/>
          </w:tcPr>
          <w:p w14:paraId="46D9F2A4" w14:textId="77777777" w:rsidR="00B37CC0" w:rsidRPr="00F05339" w:rsidRDefault="00B37CC0" w:rsidP="00DF2591">
            <w:pPr>
              <w:spacing w:after="0" w:line="240" w:lineRule="auto"/>
              <w:jc w:val="both"/>
              <w:rPr>
                <w:rFonts w:ascii="Arial" w:eastAsia="Times New Roman" w:hAnsi="Arial" w:cs="Arial"/>
                <w:b/>
                <w:bCs/>
                <w:color w:val="000000"/>
                <w:lang w:eastAsia="en-GB"/>
              </w:rPr>
            </w:pPr>
            <w:r w:rsidRPr="00F05339">
              <w:rPr>
                <w:rFonts w:ascii="Arial" w:eastAsia="Times New Roman" w:hAnsi="Arial" w:cs="Arial"/>
                <w:b/>
                <w:bCs/>
                <w:color w:val="000000"/>
                <w:lang w:eastAsia="en-GB"/>
              </w:rPr>
              <w:t> </w:t>
            </w:r>
          </w:p>
        </w:tc>
      </w:tr>
      <w:tr w:rsidR="00B37CC0" w:rsidRPr="00F05339" w14:paraId="6C2CAEB7" w14:textId="77777777" w:rsidTr="00DF2591">
        <w:trPr>
          <w:trHeight w:val="290"/>
        </w:trPr>
        <w:tc>
          <w:tcPr>
            <w:tcW w:w="5700" w:type="dxa"/>
            <w:tcBorders>
              <w:top w:val="nil"/>
              <w:left w:val="single" w:sz="4" w:space="0" w:color="auto"/>
              <w:bottom w:val="single" w:sz="4" w:space="0" w:color="auto"/>
              <w:right w:val="single" w:sz="4" w:space="0" w:color="auto"/>
            </w:tcBorders>
            <w:shd w:val="clear" w:color="auto" w:fill="auto"/>
            <w:noWrap/>
            <w:vAlign w:val="center"/>
            <w:hideMark/>
          </w:tcPr>
          <w:p w14:paraId="1A597051" w14:textId="77777777" w:rsidR="00B37CC0" w:rsidRPr="00F05339" w:rsidRDefault="00B37CC0" w:rsidP="00DF2591">
            <w:pPr>
              <w:spacing w:after="0" w:line="240" w:lineRule="auto"/>
              <w:jc w:val="both"/>
              <w:rPr>
                <w:rFonts w:ascii="Arial" w:eastAsia="Times New Roman" w:hAnsi="Arial" w:cs="Arial"/>
                <w:color w:val="000000"/>
                <w:lang w:eastAsia="en-GB"/>
              </w:rPr>
            </w:pPr>
            <w:r w:rsidRPr="00F05339">
              <w:rPr>
                <w:rFonts w:ascii="Arial" w:eastAsia="Times New Roman" w:hAnsi="Arial" w:cs="Arial"/>
                <w:color w:val="000000"/>
                <w:lang w:eastAsia="en-GB"/>
              </w:rPr>
              <w:t xml:space="preserve">Certified IKAA as </w:t>
            </w:r>
            <w:proofErr w:type="gramStart"/>
            <w:r w:rsidRPr="00F05339">
              <w:rPr>
                <w:rFonts w:ascii="Arial" w:eastAsia="Times New Roman" w:hAnsi="Arial" w:cs="Arial"/>
                <w:color w:val="000000"/>
                <w:lang w:eastAsia="en-GB"/>
              </w:rPr>
              <w:t>at</w:t>
            </w:r>
            <w:proofErr w:type="gramEnd"/>
            <w:r w:rsidRPr="00F05339">
              <w:rPr>
                <w:rFonts w:ascii="Arial" w:eastAsia="Times New Roman" w:hAnsi="Arial" w:cs="Arial"/>
                <w:color w:val="000000"/>
                <w:lang w:eastAsia="en-GB"/>
              </w:rPr>
              <w:t xml:space="preserve"> 31 December 2020</w:t>
            </w:r>
          </w:p>
        </w:tc>
        <w:tc>
          <w:tcPr>
            <w:tcW w:w="1980" w:type="dxa"/>
            <w:tcBorders>
              <w:top w:val="nil"/>
              <w:left w:val="nil"/>
              <w:bottom w:val="single" w:sz="4" w:space="0" w:color="auto"/>
              <w:right w:val="single" w:sz="4" w:space="0" w:color="auto"/>
            </w:tcBorders>
            <w:shd w:val="clear" w:color="auto" w:fill="auto"/>
            <w:noWrap/>
            <w:vAlign w:val="center"/>
            <w:hideMark/>
          </w:tcPr>
          <w:p w14:paraId="74368F84" w14:textId="77777777" w:rsidR="00B37CC0" w:rsidRPr="00F05339" w:rsidRDefault="00B37CC0" w:rsidP="00DF2591">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876.55</w:t>
            </w:r>
          </w:p>
        </w:tc>
      </w:tr>
      <w:tr w:rsidR="00B37CC0" w:rsidRPr="00F05339" w14:paraId="52096B7C" w14:textId="77777777" w:rsidTr="00DF2591">
        <w:trPr>
          <w:trHeight w:val="290"/>
        </w:trPr>
        <w:tc>
          <w:tcPr>
            <w:tcW w:w="5700" w:type="dxa"/>
            <w:tcBorders>
              <w:top w:val="nil"/>
              <w:left w:val="single" w:sz="4" w:space="0" w:color="auto"/>
              <w:bottom w:val="single" w:sz="4" w:space="0" w:color="auto"/>
              <w:right w:val="single" w:sz="4" w:space="0" w:color="auto"/>
            </w:tcBorders>
            <w:shd w:val="clear" w:color="auto" w:fill="auto"/>
            <w:noWrap/>
            <w:vAlign w:val="center"/>
            <w:hideMark/>
          </w:tcPr>
          <w:p w14:paraId="093794C0" w14:textId="77777777" w:rsidR="00B37CC0" w:rsidRPr="00F05339" w:rsidRDefault="00B37CC0" w:rsidP="00DF2591">
            <w:pPr>
              <w:spacing w:after="0" w:line="240" w:lineRule="auto"/>
              <w:jc w:val="both"/>
              <w:rPr>
                <w:rFonts w:ascii="Arial" w:eastAsia="Times New Roman" w:hAnsi="Arial" w:cs="Arial"/>
                <w:color w:val="000000"/>
                <w:lang w:eastAsia="en-GB"/>
              </w:rPr>
            </w:pPr>
            <w:r w:rsidRPr="00F05339">
              <w:rPr>
                <w:rFonts w:ascii="Arial" w:eastAsia="Times New Roman" w:hAnsi="Arial" w:cs="Arial"/>
                <w:color w:val="000000"/>
                <w:lang w:eastAsia="en-GB"/>
              </w:rPr>
              <w:t>Newly certified IKAA in 2021</w:t>
            </w:r>
          </w:p>
        </w:tc>
        <w:tc>
          <w:tcPr>
            <w:tcW w:w="1980" w:type="dxa"/>
            <w:tcBorders>
              <w:top w:val="nil"/>
              <w:left w:val="nil"/>
              <w:bottom w:val="single" w:sz="4" w:space="0" w:color="auto"/>
              <w:right w:val="single" w:sz="4" w:space="0" w:color="auto"/>
            </w:tcBorders>
            <w:shd w:val="clear" w:color="auto" w:fill="auto"/>
            <w:noWrap/>
            <w:vAlign w:val="center"/>
            <w:hideMark/>
          </w:tcPr>
          <w:p w14:paraId="34523D60" w14:textId="77777777" w:rsidR="00B37CC0" w:rsidRPr="00F05339" w:rsidRDefault="00B37CC0" w:rsidP="00DF2591">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162.45</w:t>
            </w:r>
          </w:p>
        </w:tc>
      </w:tr>
      <w:tr w:rsidR="00B37CC0" w:rsidRPr="00F05339" w14:paraId="2F9C4FCA" w14:textId="77777777" w:rsidTr="00DF2591">
        <w:trPr>
          <w:trHeight w:val="290"/>
        </w:trPr>
        <w:tc>
          <w:tcPr>
            <w:tcW w:w="5700" w:type="dxa"/>
            <w:tcBorders>
              <w:top w:val="nil"/>
              <w:left w:val="single" w:sz="4" w:space="0" w:color="auto"/>
              <w:bottom w:val="single" w:sz="4" w:space="0" w:color="auto"/>
              <w:right w:val="single" w:sz="4" w:space="0" w:color="auto"/>
            </w:tcBorders>
            <w:shd w:val="clear" w:color="auto" w:fill="auto"/>
            <w:noWrap/>
            <w:vAlign w:val="center"/>
            <w:hideMark/>
          </w:tcPr>
          <w:p w14:paraId="4E6D4532" w14:textId="77777777" w:rsidR="00B37CC0" w:rsidRPr="00F05339" w:rsidRDefault="00B37CC0" w:rsidP="00DF2591">
            <w:pPr>
              <w:spacing w:after="0" w:line="240" w:lineRule="auto"/>
              <w:jc w:val="right"/>
              <w:rPr>
                <w:rFonts w:ascii="Arial" w:eastAsia="Times New Roman" w:hAnsi="Arial" w:cs="Arial"/>
                <w:b/>
                <w:bCs/>
                <w:color w:val="000000"/>
                <w:lang w:eastAsia="en-GB"/>
              </w:rPr>
            </w:pPr>
            <w:r w:rsidRPr="00F05339">
              <w:rPr>
                <w:rFonts w:ascii="Arial" w:eastAsia="Times New Roman" w:hAnsi="Arial" w:cs="Arial"/>
                <w:b/>
                <w:bCs/>
                <w:color w:val="000000"/>
                <w:lang w:eastAsia="en-GB"/>
              </w:rPr>
              <w:t xml:space="preserve">Total certified IKAA as </w:t>
            </w:r>
            <w:proofErr w:type="gramStart"/>
            <w:r w:rsidRPr="00F05339">
              <w:rPr>
                <w:rFonts w:ascii="Arial" w:eastAsia="Times New Roman" w:hAnsi="Arial" w:cs="Arial"/>
                <w:b/>
                <w:bCs/>
                <w:color w:val="000000"/>
                <w:lang w:eastAsia="en-GB"/>
              </w:rPr>
              <w:t>at</w:t>
            </w:r>
            <w:proofErr w:type="gramEnd"/>
            <w:r w:rsidRPr="00F05339">
              <w:rPr>
                <w:rFonts w:ascii="Arial" w:eastAsia="Times New Roman" w:hAnsi="Arial" w:cs="Arial"/>
                <w:b/>
                <w:bCs/>
                <w:color w:val="000000"/>
                <w:lang w:eastAsia="en-GB"/>
              </w:rPr>
              <w:t xml:space="preserve"> 31 December 2021</w:t>
            </w:r>
          </w:p>
        </w:tc>
        <w:tc>
          <w:tcPr>
            <w:tcW w:w="1980" w:type="dxa"/>
            <w:tcBorders>
              <w:top w:val="nil"/>
              <w:left w:val="nil"/>
              <w:bottom w:val="single" w:sz="4" w:space="0" w:color="auto"/>
              <w:right w:val="single" w:sz="4" w:space="0" w:color="auto"/>
            </w:tcBorders>
            <w:shd w:val="clear" w:color="auto" w:fill="auto"/>
            <w:noWrap/>
            <w:vAlign w:val="center"/>
            <w:hideMark/>
          </w:tcPr>
          <w:p w14:paraId="51045E23" w14:textId="77777777" w:rsidR="00B37CC0" w:rsidRPr="00F05339" w:rsidRDefault="00B37CC0" w:rsidP="00DF2591">
            <w:pPr>
              <w:spacing w:after="0" w:line="240" w:lineRule="auto"/>
              <w:jc w:val="right"/>
              <w:rPr>
                <w:rFonts w:ascii="Arial" w:eastAsia="Times New Roman" w:hAnsi="Arial" w:cs="Arial"/>
                <w:b/>
                <w:bCs/>
                <w:color w:val="000000"/>
                <w:lang w:eastAsia="en-GB"/>
              </w:rPr>
            </w:pPr>
            <w:r w:rsidRPr="00F05339">
              <w:rPr>
                <w:rFonts w:ascii="Arial" w:eastAsia="Times New Roman" w:hAnsi="Arial" w:cs="Arial"/>
                <w:b/>
                <w:bCs/>
                <w:color w:val="000000"/>
                <w:lang w:eastAsia="en-GB"/>
              </w:rPr>
              <w:t>1,039.00</w:t>
            </w:r>
          </w:p>
        </w:tc>
      </w:tr>
      <w:tr w:rsidR="00B37CC0" w:rsidRPr="00F05339" w14:paraId="02B37304" w14:textId="77777777" w:rsidTr="00DF2591">
        <w:trPr>
          <w:trHeight w:val="290"/>
        </w:trPr>
        <w:tc>
          <w:tcPr>
            <w:tcW w:w="5700" w:type="dxa"/>
            <w:tcBorders>
              <w:top w:val="nil"/>
              <w:left w:val="single" w:sz="4" w:space="0" w:color="auto"/>
              <w:bottom w:val="single" w:sz="4" w:space="0" w:color="auto"/>
              <w:right w:val="single" w:sz="4" w:space="0" w:color="auto"/>
            </w:tcBorders>
            <w:shd w:val="clear" w:color="auto" w:fill="auto"/>
            <w:noWrap/>
            <w:vAlign w:val="center"/>
            <w:hideMark/>
          </w:tcPr>
          <w:p w14:paraId="1AADC184" w14:textId="77777777" w:rsidR="00B37CC0" w:rsidRPr="00F05339" w:rsidRDefault="00B37CC0" w:rsidP="00DF2591">
            <w:pPr>
              <w:spacing w:after="0" w:line="240" w:lineRule="auto"/>
              <w:jc w:val="right"/>
              <w:rPr>
                <w:rFonts w:ascii="Arial" w:eastAsia="Times New Roman" w:hAnsi="Arial" w:cs="Arial"/>
                <w:b/>
                <w:bCs/>
                <w:color w:val="000000"/>
                <w:lang w:eastAsia="en-GB"/>
              </w:rPr>
            </w:pPr>
            <w:r w:rsidRPr="00F05339">
              <w:rPr>
                <w:rFonts w:ascii="Arial" w:eastAsia="Times New Roman" w:hAnsi="Arial" w:cs="Arial"/>
                <w:b/>
                <w:bCs/>
                <w:color w:val="000000"/>
                <w:lang w:eastAsia="en-GB"/>
              </w:rPr>
              <w:t> </w:t>
            </w:r>
          </w:p>
        </w:tc>
        <w:tc>
          <w:tcPr>
            <w:tcW w:w="1980" w:type="dxa"/>
            <w:tcBorders>
              <w:top w:val="nil"/>
              <w:left w:val="nil"/>
              <w:bottom w:val="single" w:sz="4" w:space="0" w:color="auto"/>
              <w:right w:val="single" w:sz="4" w:space="0" w:color="auto"/>
            </w:tcBorders>
            <w:shd w:val="clear" w:color="auto" w:fill="auto"/>
            <w:noWrap/>
            <w:vAlign w:val="center"/>
            <w:hideMark/>
          </w:tcPr>
          <w:p w14:paraId="16E5A339" w14:textId="77777777" w:rsidR="00B37CC0" w:rsidRPr="00F05339" w:rsidRDefault="00B37CC0" w:rsidP="00DF2591">
            <w:pPr>
              <w:spacing w:after="0" w:line="240" w:lineRule="auto"/>
              <w:jc w:val="right"/>
              <w:rPr>
                <w:rFonts w:ascii="Arial" w:eastAsia="Times New Roman" w:hAnsi="Arial" w:cs="Arial"/>
                <w:b/>
                <w:bCs/>
                <w:color w:val="000000"/>
                <w:lang w:eastAsia="en-GB"/>
              </w:rPr>
            </w:pPr>
            <w:r w:rsidRPr="00F05339">
              <w:rPr>
                <w:rFonts w:ascii="Arial" w:eastAsia="Times New Roman" w:hAnsi="Arial" w:cs="Arial"/>
                <w:b/>
                <w:bCs/>
                <w:color w:val="000000"/>
                <w:lang w:eastAsia="en-GB"/>
              </w:rPr>
              <w:t> </w:t>
            </w:r>
          </w:p>
        </w:tc>
      </w:tr>
      <w:tr w:rsidR="00B37CC0" w:rsidRPr="00F05339" w14:paraId="01533EA5" w14:textId="77777777" w:rsidTr="00DF2591">
        <w:trPr>
          <w:trHeight w:val="290"/>
        </w:trPr>
        <w:tc>
          <w:tcPr>
            <w:tcW w:w="5700" w:type="dxa"/>
            <w:tcBorders>
              <w:top w:val="nil"/>
              <w:left w:val="single" w:sz="4" w:space="0" w:color="auto"/>
              <w:bottom w:val="single" w:sz="4" w:space="0" w:color="auto"/>
              <w:right w:val="single" w:sz="4" w:space="0" w:color="auto"/>
            </w:tcBorders>
            <w:shd w:val="clear" w:color="auto" w:fill="auto"/>
            <w:noWrap/>
            <w:vAlign w:val="center"/>
            <w:hideMark/>
          </w:tcPr>
          <w:p w14:paraId="3950017F" w14:textId="77777777" w:rsidR="00B37CC0" w:rsidRPr="00F05339" w:rsidRDefault="00B37CC0" w:rsidP="00DF2591">
            <w:pPr>
              <w:spacing w:after="0" w:line="240" w:lineRule="auto"/>
              <w:rPr>
                <w:rFonts w:ascii="Arial" w:eastAsia="Times New Roman" w:hAnsi="Arial" w:cs="Arial"/>
                <w:b/>
                <w:bCs/>
                <w:color w:val="0070C0"/>
                <w:lang w:eastAsia="en-GB"/>
              </w:rPr>
            </w:pPr>
            <w:r w:rsidRPr="00F05339">
              <w:rPr>
                <w:rFonts w:ascii="Arial" w:eastAsia="Times New Roman" w:hAnsi="Arial" w:cs="Arial"/>
                <w:b/>
                <w:bCs/>
                <w:color w:val="0070C0"/>
                <w:lang w:eastAsia="en-GB"/>
              </w:rPr>
              <w:t xml:space="preserve">Total: as </w:t>
            </w:r>
            <w:proofErr w:type="gramStart"/>
            <w:r w:rsidRPr="00F05339">
              <w:rPr>
                <w:rFonts w:ascii="Arial" w:eastAsia="Times New Roman" w:hAnsi="Arial" w:cs="Arial"/>
                <w:b/>
                <w:bCs/>
                <w:color w:val="0070C0"/>
                <w:lang w:eastAsia="en-GB"/>
              </w:rPr>
              <w:t>at</w:t>
            </w:r>
            <w:proofErr w:type="gramEnd"/>
            <w:r w:rsidRPr="00F05339">
              <w:rPr>
                <w:rFonts w:ascii="Arial" w:eastAsia="Times New Roman" w:hAnsi="Arial" w:cs="Arial"/>
                <w:b/>
                <w:bCs/>
                <w:color w:val="0070C0"/>
                <w:lang w:eastAsia="en-GB"/>
              </w:rPr>
              <w:t xml:space="preserve"> 31 December 2021</w:t>
            </w:r>
          </w:p>
        </w:tc>
        <w:tc>
          <w:tcPr>
            <w:tcW w:w="1980" w:type="dxa"/>
            <w:tcBorders>
              <w:top w:val="nil"/>
              <w:left w:val="nil"/>
              <w:bottom w:val="single" w:sz="4" w:space="0" w:color="auto"/>
              <w:right w:val="single" w:sz="4" w:space="0" w:color="auto"/>
            </w:tcBorders>
            <w:shd w:val="clear" w:color="auto" w:fill="auto"/>
            <w:noWrap/>
            <w:vAlign w:val="center"/>
            <w:hideMark/>
          </w:tcPr>
          <w:p w14:paraId="4D5642F3" w14:textId="77777777" w:rsidR="00B37CC0" w:rsidRPr="00F05339" w:rsidRDefault="00B37CC0" w:rsidP="00DF2591">
            <w:pPr>
              <w:spacing w:after="0" w:line="240" w:lineRule="auto"/>
              <w:jc w:val="right"/>
              <w:rPr>
                <w:rFonts w:ascii="Arial" w:eastAsia="Times New Roman" w:hAnsi="Arial" w:cs="Arial"/>
                <w:b/>
                <w:bCs/>
                <w:color w:val="0070C0"/>
                <w:lang w:eastAsia="en-GB"/>
              </w:rPr>
            </w:pPr>
            <w:r w:rsidRPr="00F05339">
              <w:rPr>
                <w:rFonts w:ascii="Arial" w:eastAsia="Times New Roman" w:hAnsi="Arial" w:cs="Arial"/>
                <w:b/>
                <w:bCs/>
                <w:color w:val="0070C0"/>
                <w:lang w:eastAsia="en-GB"/>
              </w:rPr>
              <w:t>1,062.28</w:t>
            </w:r>
          </w:p>
        </w:tc>
      </w:tr>
    </w:tbl>
    <w:p w14:paraId="7196F5AA" w14:textId="77777777" w:rsidR="00B37CC0" w:rsidRPr="00F05339" w:rsidRDefault="00B37CC0" w:rsidP="00B37CC0">
      <w:pPr>
        <w:ind w:left="10" w:right="18"/>
        <w:jc w:val="both"/>
        <w:rPr>
          <w:rFonts w:ascii="Arial" w:hAnsi="Arial" w:cs="Arial"/>
        </w:rPr>
      </w:pPr>
    </w:p>
    <w:p w14:paraId="475B5DAA" w14:textId="77777777" w:rsidR="00B37CC0" w:rsidRPr="00F05339" w:rsidRDefault="00B37CC0" w:rsidP="00B37CC0">
      <w:pPr>
        <w:ind w:left="10" w:right="18"/>
        <w:jc w:val="both"/>
        <w:rPr>
          <w:rFonts w:ascii="Arial" w:hAnsi="Arial" w:cs="Arial"/>
        </w:rPr>
      </w:pPr>
    </w:p>
    <w:p w14:paraId="17251F26" w14:textId="77777777" w:rsidR="00B37CC0" w:rsidRPr="00F05339" w:rsidRDefault="00B37CC0" w:rsidP="00B37CC0">
      <w:pPr>
        <w:ind w:left="10" w:right="18"/>
        <w:jc w:val="both"/>
        <w:rPr>
          <w:rFonts w:ascii="Arial" w:hAnsi="Arial" w:cs="Arial"/>
        </w:rPr>
      </w:pPr>
      <w:r w:rsidRPr="00F05339">
        <w:rPr>
          <w:rFonts w:ascii="Arial" w:hAnsi="Arial" w:cs="Arial"/>
        </w:rPr>
        <w:t xml:space="preserve">Graph 1.7.1: EU and certified private contributions as </w:t>
      </w:r>
      <w:proofErr w:type="gramStart"/>
      <w:r w:rsidRPr="00F05339">
        <w:rPr>
          <w:rFonts w:ascii="Arial" w:hAnsi="Arial" w:cs="Arial"/>
        </w:rPr>
        <w:t>at</w:t>
      </w:r>
      <w:proofErr w:type="gramEnd"/>
      <w:r w:rsidRPr="00F05339">
        <w:rPr>
          <w:rFonts w:ascii="Arial" w:hAnsi="Arial" w:cs="Arial"/>
        </w:rPr>
        <w:t xml:space="preserve"> 31 December 2021 with outlook for 2022</w:t>
      </w:r>
    </w:p>
    <w:p w14:paraId="0628A6DC" w14:textId="77777777" w:rsidR="00B37CC0" w:rsidRPr="00F05339" w:rsidRDefault="00B37CC0" w:rsidP="00B37CC0">
      <w:pPr>
        <w:spacing w:after="215" w:line="259" w:lineRule="auto"/>
        <w:ind w:left="2" w:hanging="10"/>
        <w:rPr>
          <w:rFonts w:ascii="Arial" w:hAnsi="Arial" w:cs="Arial"/>
          <w:color w:val="3A5FAC"/>
        </w:rPr>
      </w:pPr>
      <w:r w:rsidRPr="00F05339">
        <w:rPr>
          <w:rFonts w:ascii="Arial" w:hAnsi="Arial" w:cs="Arial"/>
          <w:noProof/>
          <w:lang w:eastAsia="en-GB"/>
        </w:rPr>
        <w:lastRenderedPageBreak/>
        <w:drawing>
          <wp:inline distT="0" distB="0" distL="0" distR="0" wp14:anchorId="565381EA" wp14:editId="5CABDE06">
            <wp:extent cx="5760720" cy="3452495"/>
            <wp:effectExtent l="0" t="0" r="11430" b="14605"/>
            <wp:docPr id="11" name="Chart 11">
              <a:extLst xmlns:a="http://schemas.openxmlformats.org/drawingml/2006/main">
                <a:ext uri="{FF2B5EF4-FFF2-40B4-BE49-F238E27FC236}">
                  <a16:creationId xmlns:a16="http://schemas.microsoft.com/office/drawing/2014/main"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60960649" w14:textId="77777777" w:rsidR="00B37CC0" w:rsidRPr="00F05339" w:rsidRDefault="00B37CC0" w:rsidP="00B37CC0">
      <w:pPr>
        <w:ind w:left="730" w:right="18"/>
        <w:contextualSpacing/>
        <w:jc w:val="both"/>
        <w:rPr>
          <w:rFonts w:ascii="Arial" w:hAnsi="Arial" w:cs="Arial"/>
        </w:rPr>
      </w:pPr>
    </w:p>
    <w:p w14:paraId="767BF97B" w14:textId="77777777" w:rsidR="00B37CC0" w:rsidRPr="00F05339" w:rsidRDefault="00B37CC0" w:rsidP="00B37CC0">
      <w:pPr>
        <w:spacing w:after="215" w:line="259" w:lineRule="auto"/>
        <w:ind w:left="2" w:hanging="10"/>
        <w:rPr>
          <w:rFonts w:ascii="Arial" w:hAnsi="Arial" w:cs="Arial"/>
        </w:rPr>
      </w:pPr>
      <w:r w:rsidRPr="00F05339">
        <w:rPr>
          <w:rFonts w:ascii="Arial" w:hAnsi="Arial" w:cs="Arial"/>
          <w:color w:val="3A5FAC"/>
        </w:rPr>
        <w:t>In-kind contributions in operational activities (IKOP)</w:t>
      </w:r>
    </w:p>
    <w:p w14:paraId="0D1ED128" w14:textId="3B639F13" w:rsidR="00B37CC0" w:rsidRPr="00F05339" w:rsidRDefault="00B37CC0" w:rsidP="00B37CC0">
      <w:pPr>
        <w:ind w:left="10" w:right="18"/>
        <w:jc w:val="both"/>
        <w:rPr>
          <w:rFonts w:ascii="Arial" w:hAnsi="Arial" w:cs="Arial"/>
        </w:rPr>
      </w:pPr>
      <w:r w:rsidRPr="00F05339">
        <w:rPr>
          <w:rFonts w:ascii="Arial" w:hAnsi="Arial" w:cs="Arial"/>
        </w:rPr>
        <w:t>IKOP are costs incurred in implementing indirect actions minus the contribution of the JU and any other EU contribution to those costs (Statutes, Article 13.3.b).</w:t>
      </w:r>
    </w:p>
    <w:p w14:paraId="724AAD8A" w14:textId="77777777" w:rsidR="00B37CC0" w:rsidRPr="00F05339" w:rsidRDefault="00B37CC0" w:rsidP="00B37CC0">
      <w:pPr>
        <w:ind w:left="10" w:right="18"/>
        <w:jc w:val="both"/>
        <w:rPr>
          <w:rFonts w:ascii="Arial" w:hAnsi="Arial" w:cs="Arial"/>
        </w:rPr>
      </w:pPr>
      <w:r w:rsidRPr="00F05339">
        <w:rPr>
          <w:rFonts w:ascii="Arial" w:hAnsi="Arial" w:cs="Arial"/>
        </w:rPr>
        <w:t>To be considered as IKOP, these costs must be incurred by members of Hydrogen Europe or Hydrogen Europe Research or their affiliates participating in FCH 2 JU indirect actions.</w:t>
      </w:r>
    </w:p>
    <w:p w14:paraId="35F0884F" w14:textId="77777777" w:rsidR="00B37CC0" w:rsidRPr="00F05339" w:rsidRDefault="00B37CC0" w:rsidP="00B37CC0">
      <w:pPr>
        <w:ind w:left="10" w:right="18"/>
        <w:jc w:val="both"/>
        <w:rPr>
          <w:rFonts w:ascii="Arial" w:hAnsi="Arial" w:cs="Arial"/>
        </w:rPr>
      </w:pPr>
      <w:r w:rsidRPr="00F05339">
        <w:rPr>
          <w:rFonts w:ascii="Arial" w:hAnsi="Arial" w:cs="Arial"/>
        </w:rPr>
        <w:t>The regulation provides that IKOP should be valued according to members’ usual accounting practices and applicable national and international accounting standards (Regulation, Article 4.4).</w:t>
      </w:r>
    </w:p>
    <w:p w14:paraId="67AA1E3B" w14:textId="77777777" w:rsidR="00B37CC0" w:rsidRPr="00F05339" w:rsidRDefault="00B37CC0" w:rsidP="00B37CC0">
      <w:pPr>
        <w:ind w:left="10" w:right="18"/>
        <w:jc w:val="both"/>
        <w:rPr>
          <w:rFonts w:ascii="Arial" w:hAnsi="Arial" w:cs="Arial"/>
        </w:rPr>
      </w:pPr>
      <w:r w:rsidRPr="00F05339">
        <w:rPr>
          <w:rFonts w:ascii="Arial" w:hAnsi="Arial" w:cs="Arial"/>
        </w:rPr>
        <w:t xml:space="preserve">The Council Regulation allows the members to base their declaration of IKOP </w:t>
      </w:r>
      <w:proofErr w:type="gramStart"/>
      <w:r w:rsidRPr="00F05339">
        <w:rPr>
          <w:rFonts w:ascii="Arial" w:hAnsi="Arial" w:cs="Arial"/>
        </w:rPr>
        <w:t>on the basis of</w:t>
      </w:r>
      <w:proofErr w:type="gramEnd"/>
      <w:r w:rsidRPr="00F05339">
        <w:rPr>
          <w:rFonts w:ascii="Arial" w:hAnsi="Arial" w:cs="Arial"/>
        </w:rPr>
        <w:t xml:space="preserve"> their ‘total costs’ (according to their usual accounting practices) which may be slightly higher than their ‘eligible costs’ (according to H2020 rules). On a proposal from the Industry and Research Groupings, the GB decided to limit IKOP to eligible costs for cost-efficiency and simplification reasons.</w:t>
      </w:r>
    </w:p>
    <w:p w14:paraId="0456ADFB" w14:textId="77777777" w:rsidR="00B37CC0" w:rsidRPr="00F05339" w:rsidRDefault="00B37CC0" w:rsidP="00B37CC0">
      <w:pPr>
        <w:ind w:left="10" w:right="18"/>
        <w:jc w:val="both"/>
        <w:rPr>
          <w:rFonts w:ascii="Arial" w:hAnsi="Arial" w:cs="Arial"/>
        </w:rPr>
      </w:pPr>
      <w:r w:rsidRPr="00F05339">
        <w:rPr>
          <w:rFonts w:ascii="Arial" w:hAnsi="Arial" w:cs="Arial"/>
        </w:rPr>
        <w:t>As a result, the IKOP in H2020 projects for FCH 2 JU are limited to the amount of eligible costs as per H2020 rules, minus the EU contribution.</w:t>
      </w:r>
    </w:p>
    <w:p w14:paraId="0C5D22EB" w14:textId="77777777" w:rsidR="00B37CC0" w:rsidRPr="00F05339" w:rsidRDefault="00B37CC0" w:rsidP="00B37CC0">
      <w:pPr>
        <w:ind w:left="10" w:right="18"/>
        <w:jc w:val="both"/>
        <w:rPr>
          <w:rFonts w:ascii="Arial" w:hAnsi="Arial" w:cs="Arial"/>
        </w:rPr>
      </w:pPr>
      <w:r w:rsidRPr="00F05339">
        <w:rPr>
          <w:rFonts w:ascii="Arial" w:hAnsi="Arial" w:cs="Arial"/>
        </w:rPr>
        <w:t xml:space="preserve">Calculation of the level of in-kind contributions is based on the methodology endorsed by the GB on 18 November 2015. </w:t>
      </w:r>
      <w:r w:rsidRPr="00F05339">
        <w:rPr>
          <w:rFonts w:ascii="Arial" w:hAnsi="Arial" w:cs="Arial"/>
          <w:i/>
        </w:rPr>
        <w:t>Ex-ante</w:t>
      </w:r>
      <w:r w:rsidRPr="00F05339">
        <w:rPr>
          <w:rFonts w:ascii="Arial" w:hAnsi="Arial" w:cs="Arial"/>
        </w:rPr>
        <w:t xml:space="preserve"> controls for the IKOP under H2020 follow the harmonised practice in line with the common strategy of the rest of the RTD family, with the aim of simplifying and easing the controls performed when the payment is approved.</w:t>
      </w:r>
    </w:p>
    <w:p w14:paraId="6C1155B4" w14:textId="77777777" w:rsidR="00B37CC0" w:rsidRPr="00F05339" w:rsidRDefault="00B37CC0" w:rsidP="00B37CC0">
      <w:pPr>
        <w:ind w:left="10" w:right="18"/>
        <w:jc w:val="both"/>
        <w:rPr>
          <w:rFonts w:ascii="Arial" w:hAnsi="Arial" w:cs="Arial"/>
        </w:rPr>
      </w:pPr>
      <w:r w:rsidRPr="00F05339">
        <w:rPr>
          <w:rFonts w:ascii="Arial" w:hAnsi="Arial" w:cs="Arial"/>
          <w:i/>
        </w:rPr>
        <w:t>Ex-post</w:t>
      </w:r>
      <w:r w:rsidRPr="00F05339">
        <w:rPr>
          <w:rFonts w:ascii="Arial" w:hAnsi="Arial" w:cs="Arial"/>
        </w:rPr>
        <w:t xml:space="preserve"> certification of IKOP is provided by the </w:t>
      </w:r>
      <w:r w:rsidRPr="00F05339">
        <w:rPr>
          <w:rFonts w:ascii="Arial" w:hAnsi="Arial" w:cs="Arial"/>
          <w:i/>
        </w:rPr>
        <w:t>ex-ante</w:t>
      </w:r>
      <w:r w:rsidRPr="00F05339">
        <w:rPr>
          <w:rFonts w:ascii="Arial" w:hAnsi="Arial" w:cs="Arial"/>
        </w:rPr>
        <w:t xml:space="preserve"> </w:t>
      </w:r>
      <w:r w:rsidRPr="00F05339">
        <w:rPr>
          <w:rFonts w:ascii="Arial" w:eastAsia="Times New Roman" w:hAnsi="Arial" w:cs="Arial"/>
          <w:color w:val="000000"/>
          <w:lang w:eastAsia="en-GB"/>
        </w:rPr>
        <w:t>certificate of financial statements (CFS)</w:t>
      </w:r>
      <w:r w:rsidRPr="00F05339" w:rsidDel="006D3F0B">
        <w:rPr>
          <w:rFonts w:ascii="Arial" w:hAnsi="Arial" w:cs="Arial"/>
        </w:rPr>
        <w:t xml:space="preserve"> </w:t>
      </w:r>
      <w:r w:rsidRPr="00F05339">
        <w:rPr>
          <w:rFonts w:ascii="Arial" w:hAnsi="Arial" w:cs="Arial"/>
        </w:rPr>
        <w:t>which, compared to the FP7 programme, are only applicable for the final project period where the amount of FCH contribution to direct costs is higher than EUR 325 000.</w:t>
      </w:r>
    </w:p>
    <w:p w14:paraId="7011CD67" w14:textId="77777777" w:rsidR="00B37CC0" w:rsidRPr="00F05339" w:rsidRDefault="00B37CC0" w:rsidP="00B37CC0">
      <w:pPr>
        <w:ind w:right="18"/>
        <w:jc w:val="both"/>
        <w:rPr>
          <w:rFonts w:ascii="Arial" w:hAnsi="Arial" w:cs="Arial"/>
        </w:rPr>
      </w:pPr>
      <w:r w:rsidRPr="00F05339">
        <w:rPr>
          <w:rFonts w:ascii="Arial" w:hAnsi="Arial" w:cs="Arial"/>
        </w:rPr>
        <w:lastRenderedPageBreak/>
        <w:t xml:space="preserve">Validation of the amount of IKOP is provided at Executive Director level, upon receipt of the CFS certificate and/or based on the result of the </w:t>
      </w:r>
      <w:r w:rsidRPr="00F05339">
        <w:rPr>
          <w:rFonts w:ascii="Arial" w:hAnsi="Arial" w:cs="Arial"/>
          <w:i/>
        </w:rPr>
        <w:t>ex-post</w:t>
      </w:r>
      <w:r w:rsidRPr="00F05339">
        <w:rPr>
          <w:rFonts w:ascii="Arial" w:hAnsi="Arial" w:cs="Arial"/>
        </w:rPr>
        <w:t xml:space="preserve"> audits.</w:t>
      </w:r>
    </w:p>
    <w:p w14:paraId="7601E1B9" w14:textId="77DA639B" w:rsidR="00B37CC0" w:rsidRPr="00F05339" w:rsidRDefault="00B37CC0" w:rsidP="00B37CC0">
      <w:pPr>
        <w:ind w:left="10" w:right="18"/>
        <w:jc w:val="both"/>
        <w:rPr>
          <w:rFonts w:ascii="Arial" w:hAnsi="Arial" w:cs="Arial"/>
        </w:rPr>
      </w:pPr>
      <w:r w:rsidRPr="00F05339">
        <w:rPr>
          <w:rFonts w:ascii="Arial" w:hAnsi="Arial" w:cs="Arial"/>
        </w:rPr>
        <w:t xml:space="preserve">The amount of IKOP reflected in the JU accounts is based on all signed running projects as </w:t>
      </w:r>
      <w:proofErr w:type="gramStart"/>
      <w:r w:rsidRPr="00F05339">
        <w:rPr>
          <w:rFonts w:ascii="Arial" w:hAnsi="Arial" w:cs="Arial"/>
        </w:rPr>
        <w:t>at</w:t>
      </w:r>
      <w:proofErr w:type="gramEnd"/>
      <w:r w:rsidRPr="00F05339">
        <w:rPr>
          <w:rFonts w:ascii="Arial" w:hAnsi="Arial" w:cs="Arial"/>
        </w:rPr>
        <w:t xml:space="preserve"> 31 December 2021, considering mainly the estimated costs (mostly pro rata), as well as costs claims which were received but had not been validated at the cut-off date.</w:t>
      </w:r>
    </w:p>
    <w:p w14:paraId="413D7968" w14:textId="77777777" w:rsidR="00B37CC0" w:rsidRPr="00F05339" w:rsidRDefault="00B37CC0" w:rsidP="00B37CC0">
      <w:pPr>
        <w:spacing w:after="10"/>
        <w:ind w:left="10" w:right="18"/>
        <w:rPr>
          <w:rFonts w:ascii="Arial" w:hAnsi="Arial" w:cs="Arial"/>
        </w:rPr>
      </w:pPr>
      <w:r w:rsidRPr="00F05339">
        <w:rPr>
          <w:rFonts w:ascii="Arial" w:hAnsi="Arial" w:cs="Arial"/>
        </w:rPr>
        <w:t xml:space="preserve">As </w:t>
      </w:r>
      <w:proofErr w:type="gramStart"/>
      <w:r w:rsidRPr="00F05339">
        <w:rPr>
          <w:rFonts w:ascii="Arial" w:hAnsi="Arial" w:cs="Arial"/>
        </w:rPr>
        <w:t>at</w:t>
      </w:r>
      <w:proofErr w:type="gramEnd"/>
      <w:r w:rsidRPr="00F05339">
        <w:rPr>
          <w:rFonts w:ascii="Arial" w:hAnsi="Arial" w:cs="Arial"/>
        </w:rPr>
        <w:t xml:space="preserve"> 31 December 2021, the estimated in-kind contributions for the 134 projects signed for the H2020 programme (2014-2020 Calls) were as follows (in million EUR):</w:t>
      </w:r>
    </w:p>
    <w:p w14:paraId="6E6766B7" w14:textId="77777777" w:rsidR="00B37CC0" w:rsidRPr="00F05339" w:rsidRDefault="00B37CC0" w:rsidP="00B37CC0">
      <w:pPr>
        <w:ind w:left="10" w:right="18"/>
        <w:rPr>
          <w:rFonts w:ascii="Arial" w:hAnsi="Arial" w:cs="Arial"/>
          <w:color w:val="034EA2"/>
          <w:sz w:val="18"/>
        </w:rPr>
      </w:pPr>
    </w:p>
    <w:p w14:paraId="0FDC75D1" w14:textId="77777777" w:rsidR="00B37CC0" w:rsidRPr="00F05339" w:rsidRDefault="00B37CC0" w:rsidP="00B37CC0">
      <w:pPr>
        <w:ind w:left="10" w:right="18"/>
        <w:rPr>
          <w:rFonts w:ascii="Arial" w:hAnsi="Arial" w:cs="Arial"/>
          <w:color w:val="034EA2"/>
          <w:sz w:val="18"/>
        </w:rPr>
      </w:pPr>
      <w:r w:rsidRPr="00F05339">
        <w:rPr>
          <w:rFonts w:ascii="Arial" w:hAnsi="Arial" w:cs="Arial"/>
          <w:color w:val="034EA2"/>
          <w:sz w:val="18"/>
        </w:rPr>
        <w:t xml:space="preserve">Table 1.7.2: Overview of in-kind contributions in operational activities (IKOP) </w:t>
      </w:r>
    </w:p>
    <w:tbl>
      <w:tblPr>
        <w:tblW w:w="14080" w:type="dxa"/>
        <w:tblLook w:val="04A0" w:firstRow="1" w:lastRow="0" w:firstColumn="1" w:lastColumn="0" w:noHBand="0" w:noVBand="1"/>
      </w:tblPr>
      <w:tblGrid>
        <w:gridCol w:w="1737"/>
        <w:gridCol w:w="2058"/>
        <w:gridCol w:w="2057"/>
        <w:gridCol w:w="2057"/>
        <w:gridCol w:w="2057"/>
        <w:gridCol w:w="2057"/>
        <w:gridCol w:w="2057"/>
      </w:tblGrid>
      <w:tr w:rsidR="00B37CC0" w:rsidRPr="00F05339" w14:paraId="2D9D5537" w14:textId="77777777" w:rsidTr="00DF2591">
        <w:trPr>
          <w:trHeight w:val="829"/>
        </w:trPr>
        <w:tc>
          <w:tcPr>
            <w:tcW w:w="1737" w:type="dxa"/>
            <w:tcBorders>
              <w:top w:val="nil"/>
              <w:left w:val="nil"/>
              <w:bottom w:val="nil"/>
              <w:right w:val="nil"/>
            </w:tcBorders>
            <w:shd w:val="clear" w:color="000000" w:fill="60B0AF"/>
            <w:noWrap/>
            <w:vAlign w:val="center"/>
            <w:hideMark/>
          </w:tcPr>
          <w:p w14:paraId="17A085CE" w14:textId="77777777" w:rsidR="00B37CC0" w:rsidRPr="00F05339" w:rsidRDefault="00B37CC0" w:rsidP="00DF2591">
            <w:pPr>
              <w:spacing w:after="0" w:line="240" w:lineRule="auto"/>
              <w:jc w:val="center"/>
              <w:rPr>
                <w:rFonts w:ascii="Arial" w:eastAsia="Times New Roman" w:hAnsi="Arial" w:cs="Arial"/>
                <w:b/>
                <w:bCs/>
                <w:color w:val="FFFFFF"/>
                <w:lang w:eastAsia="en-GB"/>
              </w:rPr>
            </w:pPr>
            <w:r w:rsidRPr="00F05339">
              <w:rPr>
                <w:rFonts w:ascii="Arial" w:eastAsia="Times New Roman" w:hAnsi="Arial" w:cs="Arial"/>
                <w:b/>
                <w:bCs/>
                <w:color w:val="FFFFFF"/>
                <w:lang w:eastAsia="en-GB"/>
              </w:rPr>
              <w:t>H2020 in 2020</w:t>
            </w:r>
          </w:p>
        </w:tc>
        <w:tc>
          <w:tcPr>
            <w:tcW w:w="2058" w:type="dxa"/>
            <w:tcBorders>
              <w:top w:val="nil"/>
              <w:left w:val="nil"/>
              <w:bottom w:val="nil"/>
              <w:right w:val="nil"/>
            </w:tcBorders>
            <w:shd w:val="clear" w:color="000000" w:fill="60B0AF"/>
            <w:vAlign w:val="center"/>
            <w:hideMark/>
          </w:tcPr>
          <w:p w14:paraId="0439F021" w14:textId="77777777" w:rsidR="00B37CC0" w:rsidRPr="00F05339" w:rsidRDefault="00B37CC0" w:rsidP="00DF2591">
            <w:pPr>
              <w:spacing w:after="0" w:line="240" w:lineRule="auto"/>
              <w:jc w:val="center"/>
              <w:rPr>
                <w:rFonts w:ascii="Arial" w:eastAsia="Times New Roman" w:hAnsi="Arial" w:cs="Arial"/>
                <w:b/>
                <w:bCs/>
                <w:color w:val="FFFFFF"/>
                <w:lang w:eastAsia="en-GB"/>
              </w:rPr>
            </w:pPr>
            <w:r w:rsidRPr="00F05339">
              <w:rPr>
                <w:rFonts w:ascii="Arial" w:eastAsia="Times New Roman" w:hAnsi="Arial" w:cs="Arial"/>
                <w:b/>
                <w:bCs/>
                <w:color w:val="FFFFFF"/>
                <w:lang w:eastAsia="en-GB"/>
              </w:rPr>
              <w:t>Accumulated validated IKOP at 01/01/2021</w:t>
            </w:r>
          </w:p>
        </w:tc>
        <w:tc>
          <w:tcPr>
            <w:tcW w:w="2057" w:type="dxa"/>
            <w:tcBorders>
              <w:top w:val="nil"/>
              <w:left w:val="nil"/>
              <w:bottom w:val="nil"/>
              <w:right w:val="nil"/>
            </w:tcBorders>
            <w:shd w:val="clear" w:color="000000" w:fill="60B0AF"/>
            <w:vAlign w:val="center"/>
            <w:hideMark/>
          </w:tcPr>
          <w:p w14:paraId="3DBDCF9F" w14:textId="77777777" w:rsidR="00B37CC0" w:rsidRPr="00F05339" w:rsidRDefault="00B37CC0" w:rsidP="00DF2591">
            <w:pPr>
              <w:spacing w:after="0" w:line="240" w:lineRule="auto"/>
              <w:jc w:val="center"/>
              <w:rPr>
                <w:rFonts w:ascii="Arial" w:eastAsia="Times New Roman" w:hAnsi="Arial" w:cs="Arial"/>
                <w:b/>
                <w:bCs/>
                <w:color w:val="FFFFFF"/>
                <w:lang w:eastAsia="en-GB"/>
              </w:rPr>
            </w:pPr>
            <w:r w:rsidRPr="00F05339">
              <w:rPr>
                <w:rFonts w:ascii="Arial" w:eastAsia="Times New Roman" w:hAnsi="Arial" w:cs="Arial"/>
                <w:b/>
                <w:bCs/>
                <w:color w:val="FFFFFF"/>
                <w:lang w:eastAsia="en-GB"/>
              </w:rPr>
              <w:t>Validated IKOP for 2021</w:t>
            </w:r>
          </w:p>
        </w:tc>
        <w:tc>
          <w:tcPr>
            <w:tcW w:w="2057" w:type="dxa"/>
            <w:tcBorders>
              <w:top w:val="nil"/>
              <w:left w:val="nil"/>
              <w:bottom w:val="nil"/>
              <w:right w:val="nil"/>
            </w:tcBorders>
            <w:shd w:val="clear" w:color="000000" w:fill="60B0AF"/>
            <w:vAlign w:val="center"/>
            <w:hideMark/>
          </w:tcPr>
          <w:p w14:paraId="35D2D1FE" w14:textId="77777777" w:rsidR="00B37CC0" w:rsidRPr="00F05339" w:rsidRDefault="00B37CC0" w:rsidP="00DF2591">
            <w:pPr>
              <w:spacing w:after="0" w:line="240" w:lineRule="auto"/>
              <w:jc w:val="center"/>
              <w:rPr>
                <w:rFonts w:ascii="Arial" w:eastAsia="Times New Roman" w:hAnsi="Arial" w:cs="Arial"/>
                <w:b/>
                <w:bCs/>
                <w:color w:val="FFFFFF"/>
                <w:lang w:eastAsia="en-GB"/>
              </w:rPr>
            </w:pPr>
            <w:r w:rsidRPr="00F05339">
              <w:rPr>
                <w:rFonts w:ascii="Arial" w:eastAsia="Times New Roman" w:hAnsi="Arial" w:cs="Arial"/>
                <w:b/>
                <w:bCs/>
                <w:color w:val="FFFFFF"/>
                <w:lang w:eastAsia="en-GB"/>
              </w:rPr>
              <w:t>IKOP received but not validated at 31/12/2021</w:t>
            </w:r>
          </w:p>
        </w:tc>
        <w:tc>
          <w:tcPr>
            <w:tcW w:w="2057" w:type="dxa"/>
            <w:tcBorders>
              <w:top w:val="nil"/>
              <w:left w:val="nil"/>
              <w:bottom w:val="nil"/>
              <w:right w:val="nil"/>
            </w:tcBorders>
            <w:shd w:val="clear" w:color="000000" w:fill="60B0AF"/>
            <w:vAlign w:val="center"/>
            <w:hideMark/>
          </w:tcPr>
          <w:p w14:paraId="73CEBED5" w14:textId="77777777" w:rsidR="00B37CC0" w:rsidRPr="00792B39" w:rsidRDefault="00B37CC0" w:rsidP="00DF2591">
            <w:pPr>
              <w:spacing w:after="0" w:line="240" w:lineRule="auto"/>
              <w:jc w:val="center"/>
              <w:rPr>
                <w:rFonts w:ascii="Arial" w:eastAsia="Times New Roman" w:hAnsi="Arial" w:cs="Arial"/>
                <w:b/>
                <w:bCs/>
                <w:color w:val="FFFFFF"/>
                <w:lang w:val="it-IT" w:eastAsia="en-GB"/>
              </w:rPr>
            </w:pPr>
            <w:r w:rsidRPr="00792B39">
              <w:rPr>
                <w:rFonts w:ascii="Arial" w:eastAsia="Times New Roman" w:hAnsi="Arial" w:cs="Arial"/>
                <w:b/>
                <w:bCs/>
                <w:color w:val="FFFFFF"/>
                <w:lang w:val="it-IT" w:eastAsia="en-GB"/>
              </w:rPr>
              <w:t>IKOP estimate (pro  rata) at 31/12/2021</w:t>
            </w:r>
          </w:p>
        </w:tc>
        <w:tc>
          <w:tcPr>
            <w:tcW w:w="2057" w:type="dxa"/>
            <w:tcBorders>
              <w:top w:val="nil"/>
              <w:left w:val="nil"/>
              <w:bottom w:val="nil"/>
              <w:right w:val="nil"/>
            </w:tcBorders>
            <w:shd w:val="clear" w:color="000000" w:fill="60B0AF"/>
            <w:vAlign w:val="center"/>
            <w:hideMark/>
          </w:tcPr>
          <w:p w14:paraId="5D7BEF1B" w14:textId="77777777" w:rsidR="00B37CC0" w:rsidRPr="00F05339" w:rsidRDefault="00B37CC0" w:rsidP="00DF2591">
            <w:pPr>
              <w:spacing w:after="0" w:line="240" w:lineRule="auto"/>
              <w:jc w:val="center"/>
              <w:rPr>
                <w:rFonts w:ascii="Arial" w:eastAsia="Times New Roman" w:hAnsi="Arial" w:cs="Arial"/>
                <w:b/>
                <w:bCs/>
                <w:color w:val="FFFFFF"/>
                <w:lang w:eastAsia="en-GB"/>
              </w:rPr>
            </w:pPr>
            <w:r w:rsidRPr="00F05339">
              <w:rPr>
                <w:rFonts w:ascii="Arial" w:eastAsia="Times New Roman" w:hAnsi="Arial" w:cs="Arial"/>
                <w:b/>
                <w:bCs/>
                <w:color w:val="FFFFFF"/>
                <w:lang w:eastAsia="en-GB"/>
              </w:rPr>
              <w:t>IKOP estimate to be validated</w:t>
            </w:r>
          </w:p>
        </w:tc>
        <w:tc>
          <w:tcPr>
            <w:tcW w:w="2057" w:type="dxa"/>
            <w:tcBorders>
              <w:top w:val="nil"/>
              <w:left w:val="nil"/>
              <w:bottom w:val="nil"/>
              <w:right w:val="nil"/>
            </w:tcBorders>
            <w:shd w:val="clear" w:color="000000" w:fill="60B0AF"/>
            <w:vAlign w:val="center"/>
            <w:hideMark/>
          </w:tcPr>
          <w:p w14:paraId="7690D737" w14:textId="77777777" w:rsidR="00B37CC0" w:rsidRPr="00F05339" w:rsidRDefault="00B37CC0" w:rsidP="00DF2591">
            <w:pPr>
              <w:spacing w:after="0" w:line="240" w:lineRule="auto"/>
              <w:jc w:val="center"/>
              <w:rPr>
                <w:rFonts w:ascii="Arial" w:eastAsia="Times New Roman" w:hAnsi="Arial" w:cs="Arial"/>
                <w:b/>
                <w:bCs/>
                <w:color w:val="FFFFFF"/>
                <w:lang w:eastAsia="en-GB"/>
              </w:rPr>
            </w:pPr>
            <w:r w:rsidRPr="00F05339">
              <w:rPr>
                <w:rFonts w:ascii="Arial" w:eastAsia="Times New Roman" w:hAnsi="Arial" w:cs="Arial"/>
                <w:b/>
                <w:bCs/>
                <w:color w:val="FFFFFF"/>
                <w:lang w:eastAsia="en-GB"/>
              </w:rPr>
              <w:t>Forecast of aggregated level of IKOP</w:t>
            </w:r>
          </w:p>
        </w:tc>
      </w:tr>
      <w:tr w:rsidR="00B37CC0" w:rsidRPr="00F05339" w14:paraId="251B20EA" w14:textId="77777777" w:rsidTr="00DF2591">
        <w:trPr>
          <w:trHeight w:val="300"/>
        </w:trPr>
        <w:tc>
          <w:tcPr>
            <w:tcW w:w="1737" w:type="dxa"/>
            <w:tcBorders>
              <w:top w:val="nil"/>
              <w:left w:val="nil"/>
              <w:bottom w:val="nil"/>
              <w:right w:val="nil"/>
            </w:tcBorders>
            <w:shd w:val="clear" w:color="auto" w:fill="auto"/>
            <w:noWrap/>
            <w:vAlign w:val="center"/>
            <w:hideMark/>
          </w:tcPr>
          <w:p w14:paraId="07DAD8C1" w14:textId="77777777" w:rsidR="00B37CC0" w:rsidRPr="00F05339" w:rsidRDefault="00B37CC0" w:rsidP="00DF2591">
            <w:pPr>
              <w:spacing w:after="0" w:line="240" w:lineRule="auto"/>
              <w:rPr>
                <w:rFonts w:ascii="Arial" w:eastAsia="Times New Roman" w:hAnsi="Arial" w:cs="Arial"/>
                <w:b/>
                <w:bCs/>
                <w:color w:val="3A5FAC"/>
                <w:lang w:eastAsia="en-GB"/>
              </w:rPr>
            </w:pPr>
            <w:r w:rsidRPr="00F05339">
              <w:rPr>
                <w:rFonts w:ascii="Arial" w:eastAsia="Times New Roman" w:hAnsi="Arial" w:cs="Arial"/>
                <w:b/>
                <w:bCs/>
                <w:color w:val="3A5FAC"/>
                <w:lang w:eastAsia="en-GB"/>
              </w:rPr>
              <w:t>Industry grouping</w:t>
            </w:r>
          </w:p>
        </w:tc>
        <w:tc>
          <w:tcPr>
            <w:tcW w:w="2058" w:type="dxa"/>
            <w:tcBorders>
              <w:top w:val="nil"/>
              <w:left w:val="nil"/>
              <w:bottom w:val="nil"/>
              <w:right w:val="nil"/>
            </w:tcBorders>
            <w:shd w:val="clear" w:color="auto" w:fill="auto"/>
            <w:noWrap/>
            <w:vAlign w:val="bottom"/>
            <w:hideMark/>
          </w:tcPr>
          <w:p w14:paraId="71BA194F" w14:textId="77777777" w:rsidR="00B37CC0" w:rsidRPr="00F05339" w:rsidRDefault="00B37CC0" w:rsidP="00DF2591">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11.77</w:t>
            </w:r>
          </w:p>
        </w:tc>
        <w:tc>
          <w:tcPr>
            <w:tcW w:w="2057" w:type="dxa"/>
            <w:tcBorders>
              <w:top w:val="nil"/>
              <w:left w:val="nil"/>
              <w:bottom w:val="nil"/>
              <w:right w:val="nil"/>
            </w:tcBorders>
            <w:shd w:val="clear" w:color="auto" w:fill="auto"/>
            <w:noWrap/>
            <w:vAlign w:val="bottom"/>
            <w:hideMark/>
          </w:tcPr>
          <w:p w14:paraId="0B69EA8E" w14:textId="77777777" w:rsidR="00B37CC0" w:rsidRPr="00F05339" w:rsidRDefault="00B37CC0" w:rsidP="00DF2591">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26.72</w:t>
            </w:r>
          </w:p>
        </w:tc>
        <w:tc>
          <w:tcPr>
            <w:tcW w:w="2057" w:type="dxa"/>
            <w:tcBorders>
              <w:top w:val="nil"/>
              <w:left w:val="nil"/>
              <w:bottom w:val="nil"/>
              <w:right w:val="nil"/>
            </w:tcBorders>
            <w:shd w:val="clear" w:color="auto" w:fill="auto"/>
            <w:noWrap/>
            <w:vAlign w:val="bottom"/>
            <w:hideMark/>
          </w:tcPr>
          <w:p w14:paraId="795810FD" w14:textId="77777777" w:rsidR="00B37CC0" w:rsidRPr="00F05339" w:rsidRDefault="00B37CC0" w:rsidP="00DF2591">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34.48</w:t>
            </w:r>
          </w:p>
        </w:tc>
        <w:tc>
          <w:tcPr>
            <w:tcW w:w="2057" w:type="dxa"/>
            <w:tcBorders>
              <w:top w:val="nil"/>
              <w:left w:val="nil"/>
              <w:bottom w:val="nil"/>
              <w:right w:val="nil"/>
            </w:tcBorders>
            <w:shd w:val="clear" w:color="auto" w:fill="auto"/>
            <w:noWrap/>
            <w:vAlign w:val="bottom"/>
            <w:hideMark/>
          </w:tcPr>
          <w:p w14:paraId="4290BE15" w14:textId="77777777" w:rsidR="00B37CC0" w:rsidRPr="00F05339" w:rsidRDefault="00B37CC0" w:rsidP="00DF2591">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9.50</w:t>
            </w:r>
          </w:p>
        </w:tc>
        <w:tc>
          <w:tcPr>
            <w:tcW w:w="2057" w:type="dxa"/>
            <w:tcBorders>
              <w:top w:val="nil"/>
              <w:left w:val="nil"/>
              <w:bottom w:val="nil"/>
              <w:right w:val="nil"/>
            </w:tcBorders>
            <w:shd w:val="clear" w:color="auto" w:fill="auto"/>
            <w:noWrap/>
            <w:vAlign w:val="bottom"/>
            <w:hideMark/>
          </w:tcPr>
          <w:p w14:paraId="45D9155A" w14:textId="77777777" w:rsidR="00B37CC0" w:rsidRPr="00F05339" w:rsidRDefault="00B37CC0" w:rsidP="00DF2591">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75.55</w:t>
            </w:r>
          </w:p>
        </w:tc>
        <w:tc>
          <w:tcPr>
            <w:tcW w:w="2057" w:type="dxa"/>
            <w:tcBorders>
              <w:top w:val="nil"/>
              <w:left w:val="nil"/>
              <w:bottom w:val="nil"/>
              <w:right w:val="nil"/>
            </w:tcBorders>
            <w:shd w:val="clear" w:color="auto" w:fill="auto"/>
            <w:noWrap/>
            <w:vAlign w:val="center"/>
            <w:hideMark/>
          </w:tcPr>
          <w:p w14:paraId="341502D9" w14:textId="77777777" w:rsidR="00B37CC0" w:rsidRPr="00F05339" w:rsidRDefault="00B37CC0" w:rsidP="00DF2591">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158.02</w:t>
            </w:r>
          </w:p>
        </w:tc>
      </w:tr>
      <w:tr w:rsidR="00B37CC0" w:rsidRPr="00F05339" w14:paraId="009D265D" w14:textId="77777777" w:rsidTr="00DF2591">
        <w:trPr>
          <w:trHeight w:val="300"/>
        </w:trPr>
        <w:tc>
          <w:tcPr>
            <w:tcW w:w="1737" w:type="dxa"/>
            <w:tcBorders>
              <w:top w:val="nil"/>
              <w:left w:val="nil"/>
              <w:bottom w:val="nil"/>
              <w:right w:val="nil"/>
            </w:tcBorders>
            <w:shd w:val="clear" w:color="auto" w:fill="auto"/>
            <w:noWrap/>
            <w:vAlign w:val="center"/>
            <w:hideMark/>
          </w:tcPr>
          <w:p w14:paraId="1CCA81EF" w14:textId="77777777" w:rsidR="00B37CC0" w:rsidRPr="00F05339" w:rsidRDefault="00B37CC0" w:rsidP="00DF2591">
            <w:pPr>
              <w:spacing w:after="0" w:line="240" w:lineRule="auto"/>
              <w:rPr>
                <w:rFonts w:ascii="Arial" w:eastAsia="Times New Roman" w:hAnsi="Arial" w:cs="Arial"/>
                <w:b/>
                <w:bCs/>
                <w:color w:val="3A5FAC"/>
                <w:lang w:eastAsia="en-GB"/>
              </w:rPr>
            </w:pPr>
            <w:r w:rsidRPr="00F05339">
              <w:rPr>
                <w:rFonts w:ascii="Arial" w:eastAsia="Times New Roman" w:hAnsi="Arial" w:cs="Arial"/>
                <w:b/>
                <w:bCs/>
                <w:color w:val="3A5FAC"/>
                <w:lang w:eastAsia="en-GB"/>
              </w:rPr>
              <w:t>Research grouping</w:t>
            </w:r>
          </w:p>
        </w:tc>
        <w:tc>
          <w:tcPr>
            <w:tcW w:w="2058" w:type="dxa"/>
            <w:tcBorders>
              <w:top w:val="nil"/>
              <w:left w:val="nil"/>
              <w:bottom w:val="nil"/>
              <w:right w:val="nil"/>
            </w:tcBorders>
            <w:shd w:val="clear" w:color="auto" w:fill="auto"/>
            <w:noWrap/>
            <w:vAlign w:val="bottom"/>
            <w:hideMark/>
          </w:tcPr>
          <w:p w14:paraId="1FE767E5" w14:textId="77777777" w:rsidR="00B37CC0" w:rsidRPr="00F05339" w:rsidRDefault="00B37CC0" w:rsidP="00DF2591">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0.15</w:t>
            </w:r>
          </w:p>
        </w:tc>
        <w:tc>
          <w:tcPr>
            <w:tcW w:w="2057" w:type="dxa"/>
            <w:tcBorders>
              <w:top w:val="nil"/>
              <w:left w:val="nil"/>
              <w:bottom w:val="nil"/>
              <w:right w:val="nil"/>
            </w:tcBorders>
            <w:shd w:val="clear" w:color="auto" w:fill="auto"/>
            <w:noWrap/>
            <w:vAlign w:val="bottom"/>
            <w:hideMark/>
          </w:tcPr>
          <w:p w14:paraId="0B898D44" w14:textId="77777777" w:rsidR="00B37CC0" w:rsidRPr="00F05339" w:rsidRDefault="00B37CC0" w:rsidP="00DF2591">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0.00</w:t>
            </w:r>
          </w:p>
        </w:tc>
        <w:tc>
          <w:tcPr>
            <w:tcW w:w="2057" w:type="dxa"/>
            <w:tcBorders>
              <w:top w:val="nil"/>
              <w:left w:val="nil"/>
              <w:bottom w:val="nil"/>
              <w:right w:val="nil"/>
            </w:tcBorders>
            <w:shd w:val="clear" w:color="auto" w:fill="auto"/>
            <w:noWrap/>
            <w:vAlign w:val="bottom"/>
            <w:hideMark/>
          </w:tcPr>
          <w:p w14:paraId="36FD31B6" w14:textId="77777777" w:rsidR="00B37CC0" w:rsidRPr="00F05339" w:rsidRDefault="00B37CC0" w:rsidP="00DF2591">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0.00</w:t>
            </w:r>
          </w:p>
        </w:tc>
        <w:tc>
          <w:tcPr>
            <w:tcW w:w="2057" w:type="dxa"/>
            <w:tcBorders>
              <w:top w:val="nil"/>
              <w:left w:val="nil"/>
              <w:bottom w:val="nil"/>
              <w:right w:val="nil"/>
            </w:tcBorders>
            <w:shd w:val="clear" w:color="auto" w:fill="auto"/>
            <w:noWrap/>
            <w:vAlign w:val="bottom"/>
            <w:hideMark/>
          </w:tcPr>
          <w:p w14:paraId="2A68DBF3" w14:textId="77777777" w:rsidR="00B37CC0" w:rsidRPr="00F05339" w:rsidRDefault="00B37CC0" w:rsidP="00DF2591">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0.00</w:t>
            </w:r>
          </w:p>
        </w:tc>
        <w:tc>
          <w:tcPr>
            <w:tcW w:w="2057" w:type="dxa"/>
            <w:tcBorders>
              <w:top w:val="nil"/>
              <w:left w:val="nil"/>
              <w:bottom w:val="nil"/>
              <w:right w:val="nil"/>
            </w:tcBorders>
            <w:shd w:val="clear" w:color="auto" w:fill="auto"/>
            <w:noWrap/>
            <w:vAlign w:val="bottom"/>
            <w:hideMark/>
          </w:tcPr>
          <w:p w14:paraId="13CAC209" w14:textId="77777777" w:rsidR="00B37CC0" w:rsidRPr="00F05339" w:rsidRDefault="00B37CC0" w:rsidP="00DF2591">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0.10</w:t>
            </w:r>
          </w:p>
        </w:tc>
        <w:tc>
          <w:tcPr>
            <w:tcW w:w="2057" w:type="dxa"/>
            <w:tcBorders>
              <w:top w:val="nil"/>
              <w:left w:val="nil"/>
              <w:bottom w:val="nil"/>
              <w:right w:val="nil"/>
            </w:tcBorders>
            <w:shd w:val="clear" w:color="auto" w:fill="auto"/>
            <w:noWrap/>
            <w:vAlign w:val="center"/>
            <w:hideMark/>
          </w:tcPr>
          <w:p w14:paraId="6482950E" w14:textId="77777777" w:rsidR="00B37CC0" w:rsidRPr="00F05339" w:rsidRDefault="00B37CC0" w:rsidP="00DF2591">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0.24</w:t>
            </w:r>
          </w:p>
        </w:tc>
      </w:tr>
      <w:tr w:rsidR="00B37CC0" w:rsidRPr="00F05339" w14:paraId="494EC932" w14:textId="77777777" w:rsidTr="00DF2591">
        <w:trPr>
          <w:trHeight w:val="300"/>
        </w:trPr>
        <w:tc>
          <w:tcPr>
            <w:tcW w:w="1737" w:type="dxa"/>
            <w:tcBorders>
              <w:top w:val="nil"/>
              <w:left w:val="nil"/>
              <w:bottom w:val="nil"/>
              <w:right w:val="nil"/>
            </w:tcBorders>
            <w:shd w:val="clear" w:color="auto" w:fill="auto"/>
            <w:noWrap/>
            <w:vAlign w:val="center"/>
            <w:hideMark/>
          </w:tcPr>
          <w:p w14:paraId="27D55CF5" w14:textId="77777777" w:rsidR="00B37CC0" w:rsidRPr="00F05339" w:rsidRDefault="00B37CC0" w:rsidP="00DF2591">
            <w:pPr>
              <w:spacing w:after="0" w:line="240" w:lineRule="auto"/>
              <w:rPr>
                <w:rFonts w:ascii="Arial" w:eastAsia="Times New Roman" w:hAnsi="Arial" w:cs="Arial"/>
                <w:b/>
                <w:bCs/>
                <w:color w:val="0070C0"/>
                <w:lang w:eastAsia="en-GB"/>
              </w:rPr>
            </w:pPr>
            <w:r w:rsidRPr="00F05339">
              <w:rPr>
                <w:rFonts w:ascii="Arial" w:eastAsia="Times New Roman" w:hAnsi="Arial" w:cs="Arial"/>
                <w:b/>
                <w:bCs/>
                <w:color w:val="0070C0"/>
                <w:lang w:eastAsia="en-GB"/>
              </w:rPr>
              <w:t>TOTAL</w:t>
            </w:r>
          </w:p>
        </w:tc>
        <w:tc>
          <w:tcPr>
            <w:tcW w:w="2058" w:type="dxa"/>
            <w:tcBorders>
              <w:top w:val="nil"/>
              <w:left w:val="nil"/>
              <w:bottom w:val="nil"/>
              <w:right w:val="nil"/>
            </w:tcBorders>
            <w:shd w:val="clear" w:color="auto" w:fill="auto"/>
            <w:noWrap/>
            <w:vAlign w:val="center"/>
            <w:hideMark/>
          </w:tcPr>
          <w:p w14:paraId="3F5BEC0F" w14:textId="77777777" w:rsidR="00B37CC0" w:rsidRPr="00F05339" w:rsidRDefault="00B37CC0" w:rsidP="00DF2591">
            <w:pPr>
              <w:spacing w:after="0" w:line="240" w:lineRule="auto"/>
              <w:jc w:val="right"/>
              <w:rPr>
                <w:rFonts w:ascii="Arial" w:eastAsia="Times New Roman" w:hAnsi="Arial" w:cs="Arial"/>
                <w:b/>
                <w:bCs/>
                <w:color w:val="0070C0"/>
                <w:lang w:eastAsia="en-GB"/>
              </w:rPr>
            </w:pPr>
            <w:r w:rsidRPr="00F05339">
              <w:rPr>
                <w:rFonts w:ascii="Arial" w:eastAsia="Times New Roman" w:hAnsi="Arial" w:cs="Arial"/>
                <w:b/>
                <w:bCs/>
                <w:color w:val="0070C0"/>
                <w:lang w:eastAsia="en-GB"/>
              </w:rPr>
              <w:t>11.92</w:t>
            </w:r>
          </w:p>
        </w:tc>
        <w:tc>
          <w:tcPr>
            <w:tcW w:w="2057" w:type="dxa"/>
            <w:tcBorders>
              <w:top w:val="nil"/>
              <w:left w:val="nil"/>
              <w:bottom w:val="nil"/>
              <w:right w:val="nil"/>
            </w:tcBorders>
            <w:shd w:val="clear" w:color="auto" w:fill="auto"/>
            <w:noWrap/>
            <w:vAlign w:val="center"/>
            <w:hideMark/>
          </w:tcPr>
          <w:p w14:paraId="447BE49C" w14:textId="77777777" w:rsidR="00B37CC0" w:rsidRPr="00F05339" w:rsidRDefault="00B37CC0" w:rsidP="00DF2591">
            <w:pPr>
              <w:spacing w:after="0" w:line="240" w:lineRule="auto"/>
              <w:jc w:val="right"/>
              <w:rPr>
                <w:rFonts w:ascii="Arial" w:eastAsia="Times New Roman" w:hAnsi="Arial" w:cs="Arial"/>
                <w:b/>
                <w:bCs/>
                <w:color w:val="0070C0"/>
                <w:lang w:eastAsia="en-GB"/>
              </w:rPr>
            </w:pPr>
            <w:r w:rsidRPr="00F05339">
              <w:rPr>
                <w:rFonts w:ascii="Arial" w:eastAsia="Times New Roman" w:hAnsi="Arial" w:cs="Arial"/>
                <w:b/>
                <w:bCs/>
                <w:color w:val="0070C0"/>
                <w:lang w:eastAsia="en-GB"/>
              </w:rPr>
              <w:t>26.72</w:t>
            </w:r>
          </w:p>
        </w:tc>
        <w:tc>
          <w:tcPr>
            <w:tcW w:w="2057" w:type="dxa"/>
            <w:tcBorders>
              <w:top w:val="nil"/>
              <w:left w:val="nil"/>
              <w:bottom w:val="nil"/>
              <w:right w:val="nil"/>
            </w:tcBorders>
            <w:shd w:val="clear" w:color="auto" w:fill="auto"/>
            <w:noWrap/>
            <w:vAlign w:val="center"/>
            <w:hideMark/>
          </w:tcPr>
          <w:p w14:paraId="5FFE1F12" w14:textId="77777777" w:rsidR="00B37CC0" w:rsidRPr="00F05339" w:rsidRDefault="00B37CC0" w:rsidP="00DF2591">
            <w:pPr>
              <w:spacing w:after="0" w:line="240" w:lineRule="auto"/>
              <w:jc w:val="right"/>
              <w:rPr>
                <w:rFonts w:ascii="Arial" w:eastAsia="Times New Roman" w:hAnsi="Arial" w:cs="Arial"/>
                <w:b/>
                <w:bCs/>
                <w:color w:val="0070C0"/>
                <w:lang w:eastAsia="en-GB"/>
              </w:rPr>
            </w:pPr>
            <w:r w:rsidRPr="00F05339">
              <w:rPr>
                <w:rFonts w:ascii="Arial" w:eastAsia="Times New Roman" w:hAnsi="Arial" w:cs="Arial"/>
                <w:b/>
                <w:bCs/>
                <w:color w:val="0070C0"/>
                <w:lang w:eastAsia="en-GB"/>
              </w:rPr>
              <w:t>34.48</w:t>
            </w:r>
          </w:p>
        </w:tc>
        <w:tc>
          <w:tcPr>
            <w:tcW w:w="2057" w:type="dxa"/>
            <w:tcBorders>
              <w:top w:val="nil"/>
              <w:left w:val="nil"/>
              <w:bottom w:val="nil"/>
              <w:right w:val="nil"/>
            </w:tcBorders>
            <w:shd w:val="clear" w:color="auto" w:fill="auto"/>
            <w:noWrap/>
            <w:vAlign w:val="center"/>
            <w:hideMark/>
          </w:tcPr>
          <w:p w14:paraId="32FACCAF" w14:textId="77777777" w:rsidR="00B37CC0" w:rsidRPr="00F05339" w:rsidRDefault="00B37CC0" w:rsidP="00DF2591">
            <w:pPr>
              <w:spacing w:after="0" w:line="240" w:lineRule="auto"/>
              <w:jc w:val="right"/>
              <w:rPr>
                <w:rFonts w:ascii="Arial" w:eastAsia="Times New Roman" w:hAnsi="Arial" w:cs="Arial"/>
                <w:b/>
                <w:bCs/>
                <w:color w:val="0070C0"/>
                <w:lang w:eastAsia="en-GB"/>
              </w:rPr>
            </w:pPr>
            <w:r w:rsidRPr="00F05339">
              <w:rPr>
                <w:rFonts w:ascii="Arial" w:eastAsia="Times New Roman" w:hAnsi="Arial" w:cs="Arial"/>
                <w:b/>
                <w:bCs/>
                <w:color w:val="0070C0"/>
                <w:lang w:eastAsia="en-GB"/>
              </w:rPr>
              <w:t>9.50</w:t>
            </w:r>
          </w:p>
        </w:tc>
        <w:tc>
          <w:tcPr>
            <w:tcW w:w="2057" w:type="dxa"/>
            <w:tcBorders>
              <w:top w:val="nil"/>
              <w:left w:val="nil"/>
              <w:bottom w:val="nil"/>
              <w:right w:val="nil"/>
            </w:tcBorders>
            <w:shd w:val="clear" w:color="auto" w:fill="auto"/>
            <w:noWrap/>
            <w:vAlign w:val="center"/>
            <w:hideMark/>
          </w:tcPr>
          <w:p w14:paraId="5A8B1291" w14:textId="77777777" w:rsidR="00B37CC0" w:rsidRPr="00F05339" w:rsidRDefault="00B37CC0" w:rsidP="00DF2591">
            <w:pPr>
              <w:spacing w:after="0" w:line="240" w:lineRule="auto"/>
              <w:jc w:val="right"/>
              <w:rPr>
                <w:rFonts w:ascii="Arial" w:eastAsia="Times New Roman" w:hAnsi="Arial" w:cs="Arial"/>
                <w:b/>
                <w:bCs/>
                <w:color w:val="0070C0"/>
                <w:lang w:eastAsia="en-GB"/>
              </w:rPr>
            </w:pPr>
            <w:r w:rsidRPr="00F05339">
              <w:rPr>
                <w:rFonts w:ascii="Arial" w:eastAsia="Times New Roman" w:hAnsi="Arial" w:cs="Arial"/>
                <w:b/>
                <w:bCs/>
                <w:color w:val="0070C0"/>
                <w:lang w:eastAsia="en-GB"/>
              </w:rPr>
              <w:t>75.65</w:t>
            </w:r>
          </w:p>
        </w:tc>
        <w:tc>
          <w:tcPr>
            <w:tcW w:w="2057" w:type="dxa"/>
            <w:tcBorders>
              <w:top w:val="nil"/>
              <w:left w:val="nil"/>
              <w:bottom w:val="nil"/>
              <w:right w:val="nil"/>
            </w:tcBorders>
            <w:shd w:val="clear" w:color="auto" w:fill="auto"/>
            <w:noWrap/>
            <w:vAlign w:val="center"/>
            <w:hideMark/>
          </w:tcPr>
          <w:p w14:paraId="245418F9" w14:textId="77777777" w:rsidR="00B37CC0" w:rsidRPr="00F05339" w:rsidRDefault="00B37CC0" w:rsidP="00DF2591">
            <w:pPr>
              <w:spacing w:after="0" w:line="240" w:lineRule="auto"/>
              <w:jc w:val="right"/>
              <w:rPr>
                <w:rFonts w:ascii="Arial" w:eastAsia="Times New Roman" w:hAnsi="Arial" w:cs="Arial"/>
                <w:b/>
                <w:bCs/>
                <w:color w:val="0070C0"/>
                <w:lang w:eastAsia="en-GB"/>
              </w:rPr>
            </w:pPr>
            <w:r w:rsidRPr="00F05339">
              <w:rPr>
                <w:rFonts w:ascii="Arial" w:eastAsia="Times New Roman" w:hAnsi="Arial" w:cs="Arial"/>
                <w:b/>
                <w:bCs/>
                <w:color w:val="0070C0"/>
                <w:lang w:eastAsia="en-GB"/>
              </w:rPr>
              <w:t>158.27</w:t>
            </w:r>
          </w:p>
        </w:tc>
      </w:tr>
    </w:tbl>
    <w:p w14:paraId="6E895A9A" w14:textId="77777777" w:rsidR="00B37CC0" w:rsidRPr="00F05339" w:rsidRDefault="00B37CC0" w:rsidP="00B37CC0">
      <w:pPr>
        <w:ind w:left="10" w:right="18"/>
        <w:rPr>
          <w:rFonts w:ascii="Arial" w:hAnsi="Arial" w:cs="Arial"/>
        </w:rPr>
      </w:pPr>
    </w:p>
    <w:p w14:paraId="2665C52D" w14:textId="77777777" w:rsidR="00B37CC0" w:rsidRPr="00F05339" w:rsidRDefault="00B37CC0" w:rsidP="00B37CC0">
      <w:pPr>
        <w:ind w:left="10" w:right="18"/>
        <w:jc w:val="both"/>
        <w:rPr>
          <w:rFonts w:ascii="Arial" w:hAnsi="Arial" w:cs="Arial"/>
        </w:rPr>
      </w:pPr>
      <w:r w:rsidRPr="00F05339">
        <w:rPr>
          <w:rFonts w:ascii="Arial" w:hAnsi="Arial" w:cs="Arial"/>
        </w:rPr>
        <w:t xml:space="preserve">Most of the IKOPs were not certified, as this will happen later during the H2020 programme at the final payment of the projects when the CFS are due. </w:t>
      </w:r>
    </w:p>
    <w:p w14:paraId="294A134F" w14:textId="77777777" w:rsidR="00B37CC0" w:rsidRPr="00F05339" w:rsidRDefault="00B37CC0" w:rsidP="00B37CC0">
      <w:pPr>
        <w:spacing w:after="215" w:line="259" w:lineRule="auto"/>
        <w:ind w:left="2" w:hanging="10"/>
        <w:rPr>
          <w:rFonts w:ascii="Arial" w:hAnsi="Arial" w:cs="Arial"/>
        </w:rPr>
      </w:pPr>
      <w:r w:rsidRPr="00F05339">
        <w:rPr>
          <w:rFonts w:ascii="Arial" w:hAnsi="Arial" w:cs="Arial"/>
          <w:color w:val="3A5FAC"/>
        </w:rPr>
        <w:t>In-kind contributions in additional activities (IKAA)</w:t>
      </w:r>
    </w:p>
    <w:p w14:paraId="19D38DE0" w14:textId="77777777" w:rsidR="00B37CC0" w:rsidRPr="00F05339" w:rsidRDefault="00B37CC0" w:rsidP="00B37CC0">
      <w:pPr>
        <w:ind w:left="10" w:right="18"/>
        <w:jc w:val="both"/>
        <w:rPr>
          <w:rFonts w:ascii="Arial" w:hAnsi="Arial" w:cs="Arial"/>
        </w:rPr>
      </w:pPr>
      <w:r w:rsidRPr="00F05339">
        <w:rPr>
          <w:rFonts w:ascii="Arial" w:hAnsi="Arial" w:cs="Arial"/>
        </w:rPr>
        <w:t xml:space="preserve">According to the FCH 2 JU regulation, </w:t>
      </w:r>
      <w:r w:rsidRPr="00F05339">
        <w:rPr>
          <w:rFonts w:ascii="Arial" w:hAnsi="Arial" w:cs="Arial"/>
          <w:i/>
        </w:rPr>
        <w:t>additional activities</w:t>
      </w:r>
      <w:r w:rsidRPr="00F05339">
        <w:rPr>
          <w:rFonts w:ascii="Arial" w:hAnsi="Arial" w:cs="Arial"/>
        </w:rPr>
        <w:t xml:space="preserve"> (AA) are defined as activities carried out by members of Hydrogen Europe and Hydrogen Europe Research and their affiliates contributing to the FCH 2 JU programme’s objectives but undertaken outside of its work plan, which are not funded by the EU or the JU.</w:t>
      </w:r>
    </w:p>
    <w:p w14:paraId="63F68B7C" w14:textId="77777777" w:rsidR="00B37CC0" w:rsidRPr="00F05339" w:rsidRDefault="00B37CC0" w:rsidP="00B37CC0">
      <w:pPr>
        <w:ind w:left="10" w:right="18"/>
        <w:jc w:val="both"/>
        <w:rPr>
          <w:rFonts w:ascii="Arial" w:hAnsi="Arial" w:cs="Arial"/>
        </w:rPr>
      </w:pPr>
      <w:r w:rsidRPr="00F05339">
        <w:rPr>
          <w:rFonts w:ascii="Arial" w:hAnsi="Arial" w:cs="Arial"/>
        </w:rPr>
        <w:t xml:space="preserve">The regulation provides that determination of the costs </w:t>
      </w:r>
      <w:proofErr w:type="gramStart"/>
      <w:r w:rsidRPr="00F05339">
        <w:rPr>
          <w:rFonts w:ascii="Arial" w:hAnsi="Arial" w:cs="Arial"/>
        </w:rPr>
        <w:t>taken into account</w:t>
      </w:r>
      <w:proofErr w:type="gramEnd"/>
      <w:r w:rsidRPr="00F05339">
        <w:rPr>
          <w:rFonts w:ascii="Arial" w:hAnsi="Arial" w:cs="Arial"/>
        </w:rPr>
        <w:t xml:space="preserve"> for the valuation of the in-kind contributions shall be in accordance with the usual cost accounting practices of the entities concerned, the applicable accounting standards of the country where the entity is established, and the applicable international accounting standards and international financial reporting standards (Article 4.4).</w:t>
      </w:r>
    </w:p>
    <w:p w14:paraId="04520E55" w14:textId="77777777" w:rsidR="00B37CC0" w:rsidRPr="00F05339" w:rsidRDefault="00B37CC0" w:rsidP="00B37CC0">
      <w:pPr>
        <w:ind w:left="10" w:right="18"/>
        <w:jc w:val="both"/>
        <w:rPr>
          <w:rFonts w:ascii="Arial" w:hAnsi="Arial" w:cs="Arial"/>
        </w:rPr>
      </w:pPr>
      <w:r w:rsidRPr="00F05339">
        <w:rPr>
          <w:rFonts w:ascii="Arial" w:hAnsi="Arial" w:cs="Arial"/>
        </w:rPr>
        <w:t>The FCH 2 JU regulation establishes a minimum level of IKAA at EUR 285 million over the period defined in Article 1 of the regulation.</w:t>
      </w:r>
    </w:p>
    <w:p w14:paraId="5AFC9723" w14:textId="102C2AFF" w:rsidR="00B37CC0" w:rsidRPr="00F05339" w:rsidRDefault="00B37CC0" w:rsidP="00B37CC0">
      <w:pPr>
        <w:ind w:left="10" w:right="18"/>
        <w:jc w:val="both"/>
        <w:rPr>
          <w:rFonts w:ascii="Arial" w:hAnsi="Arial" w:cs="Arial"/>
        </w:rPr>
      </w:pPr>
      <w:r w:rsidRPr="00F05339">
        <w:rPr>
          <w:rFonts w:ascii="Arial" w:hAnsi="Arial" w:cs="Arial"/>
        </w:rPr>
        <w:t xml:space="preserve">The planning, reporting and certification process of the additional activities in 2020 followed a formal FCH 2 JU IKAA methodology, describing a robust control process to ensure the planned, </w:t>
      </w:r>
      <w:proofErr w:type="gramStart"/>
      <w:r w:rsidRPr="00F05339">
        <w:rPr>
          <w:rFonts w:ascii="Arial" w:hAnsi="Arial" w:cs="Arial"/>
        </w:rPr>
        <w:t>reported</w:t>
      </w:r>
      <w:proofErr w:type="gramEnd"/>
      <w:r w:rsidRPr="00F05339">
        <w:rPr>
          <w:rFonts w:ascii="Arial" w:hAnsi="Arial" w:cs="Arial"/>
        </w:rPr>
        <w:t xml:space="preserve"> and certified IKAA figures are reasonable (the methodology was agreed by the JU GB on 9 December 2016).</w:t>
      </w:r>
    </w:p>
    <w:p w14:paraId="273F05C3" w14:textId="77777777" w:rsidR="00B37CC0" w:rsidRPr="00F05339" w:rsidRDefault="00B37CC0" w:rsidP="00B37CC0">
      <w:pPr>
        <w:spacing w:after="270"/>
        <w:ind w:left="10" w:right="18"/>
        <w:jc w:val="both"/>
        <w:rPr>
          <w:rFonts w:ascii="Arial" w:hAnsi="Arial" w:cs="Arial"/>
          <w:b/>
          <w:bCs/>
        </w:rPr>
      </w:pPr>
      <w:r w:rsidRPr="00F05339">
        <w:rPr>
          <w:rFonts w:ascii="Arial" w:hAnsi="Arial" w:cs="Arial"/>
          <w:b/>
          <w:bCs/>
        </w:rPr>
        <w:t>Due to high level of IKAA in the previous years, in 2021, the private members certified for the last time under H2020 programme, the additional activities as part of the IKAA 2020 plan. There was no further IKAA plan for 2021 for H2020, as the private members started their transition and were preparing for the reporting of the in-kind contributions under Horizon Europe programme.</w:t>
      </w:r>
    </w:p>
    <w:p w14:paraId="37CCE0D5" w14:textId="77777777" w:rsidR="00B37CC0" w:rsidRPr="00F05339" w:rsidRDefault="00B37CC0" w:rsidP="00B37CC0">
      <w:pPr>
        <w:spacing w:after="270"/>
        <w:ind w:left="10" w:right="18"/>
        <w:jc w:val="both"/>
        <w:rPr>
          <w:rFonts w:ascii="Arial" w:hAnsi="Arial" w:cs="Arial"/>
        </w:rPr>
      </w:pPr>
      <w:r w:rsidRPr="00F05339">
        <w:rPr>
          <w:rFonts w:ascii="Arial" w:hAnsi="Arial" w:cs="Arial"/>
        </w:rPr>
        <w:lastRenderedPageBreak/>
        <w:t xml:space="preserve">In 2021, the following </w:t>
      </w:r>
    </w:p>
    <w:p w14:paraId="49DA20CC" w14:textId="77777777" w:rsidR="00B37CC0" w:rsidRPr="00F05339" w:rsidRDefault="00B37CC0" w:rsidP="00B37CC0">
      <w:pPr>
        <w:keepNext/>
        <w:keepLines/>
        <w:spacing w:before="40" w:after="228" w:line="248" w:lineRule="auto"/>
        <w:ind w:left="2"/>
        <w:outlineLvl w:val="3"/>
        <w:rPr>
          <w:rFonts w:ascii="Arial" w:eastAsiaTheme="majorEastAsia" w:hAnsi="Arial" w:cs="Arial"/>
          <w:b/>
          <w:i/>
          <w:iCs/>
          <w:color w:val="365F91" w:themeColor="accent1" w:themeShade="BF"/>
          <w:sz w:val="20"/>
        </w:rPr>
      </w:pPr>
      <w:r w:rsidRPr="00F05339">
        <w:rPr>
          <w:rFonts w:ascii="Arial" w:eastAsiaTheme="majorEastAsia" w:hAnsi="Arial" w:cs="Arial"/>
          <w:b/>
          <w:i/>
          <w:iCs/>
          <w:color w:val="365F91" w:themeColor="accent1" w:themeShade="BF"/>
          <w:sz w:val="20"/>
        </w:rPr>
        <w:t xml:space="preserve">1. (Preliminary) Reporting of the values of the IKAA contributions for </w:t>
      </w:r>
      <w:proofErr w:type="gramStart"/>
      <w:r w:rsidRPr="00F05339">
        <w:rPr>
          <w:rFonts w:ascii="Arial" w:eastAsiaTheme="majorEastAsia" w:hAnsi="Arial" w:cs="Arial"/>
          <w:b/>
          <w:i/>
          <w:iCs/>
          <w:color w:val="365F91" w:themeColor="accent1" w:themeShade="BF"/>
          <w:sz w:val="20"/>
        </w:rPr>
        <w:t>2020  by</w:t>
      </w:r>
      <w:proofErr w:type="gramEnd"/>
      <w:r w:rsidRPr="00F05339">
        <w:rPr>
          <w:rFonts w:ascii="Arial" w:eastAsiaTheme="majorEastAsia" w:hAnsi="Arial" w:cs="Arial"/>
          <w:b/>
          <w:i/>
          <w:iCs/>
          <w:color w:val="365F91" w:themeColor="accent1" w:themeShade="BF"/>
          <w:sz w:val="20"/>
        </w:rPr>
        <w:t xml:space="preserve"> Hydrogen Europe and Hydrogen Europe Research Members as at 31 January 2021</w:t>
      </w:r>
    </w:p>
    <w:p w14:paraId="50290EA5" w14:textId="77777777" w:rsidR="00B37CC0" w:rsidRPr="00F05339" w:rsidRDefault="00B37CC0" w:rsidP="00B37CC0">
      <w:pPr>
        <w:jc w:val="both"/>
        <w:rPr>
          <w:rFonts w:ascii="Arial" w:hAnsi="Arial" w:cs="Arial"/>
        </w:rPr>
      </w:pPr>
      <w:r w:rsidRPr="00F05339">
        <w:rPr>
          <w:rFonts w:ascii="Arial" w:hAnsi="Arial" w:cs="Arial"/>
        </w:rPr>
        <w:t>As per the Council Regulation, members of the FCH 2 JU other than the EU shall report each year by 31 January to the FCH 2 JU GB on the value of the contributions in additional activities made in each of the previous financial years.</w:t>
      </w:r>
    </w:p>
    <w:p w14:paraId="5223B64B" w14:textId="2EE4273E" w:rsidR="00B37CC0" w:rsidRPr="00F05339" w:rsidRDefault="00B37CC0" w:rsidP="00B37CC0">
      <w:pPr>
        <w:jc w:val="both"/>
        <w:rPr>
          <w:rFonts w:ascii="Arial" w:hAnsi="Arial" w:cs="Arial"/>
        </w:rPr>
      </w:pPr>
      <w:r w:rsidRPr="00F05339">
        <w:rPr>
          <w:rFonts w:ascii="Arial" w:hAnsi="Arial" w:cs="Arial"/>
        </w:rPr>
        <w:t>In accordance with the regulation, the 2020 IKAA preliminary report was submitted on 29 January 2021 to the JU GB for information. An estimated IKAA of EUR 218.52 million was reported as achieved compared to the initial 2020 IKAA plan of EUR 313.56 million adopted by the JU GB on 13 December 2019.</w:t>
      </w:r>
    </w:p>
    <w:p w14:paraId="3F1539BB" w14:textId="77777777" w:rsidR="00B37CC0" w:rsidRPr="00F05339" w:rsidRDefault="00B37CC0" w:rsidP="00B37CC0">
      <w:pPr>
        <w:keepNext/>
        <w:keepLines/>
        <w:spacing w:before="40" w:after="228" w:line="248" w:lineRule="auto"/>
        <w:ind w:left="2"/>
        <w:outlineLvl w:val="3"/>
        <w:rPr>
          <w:rFonts w:ascii="Arial" w:eastAsiaTheme="majorEastAsia" w:hAnsi="Arial" w:cs="Arial"/>
          <w:b/>
          <w:i/>
          <w:iCs/>
          <w:color w:val="365F91" w:themeColor="accent1" w:themeShade="BF"/>
          <w:sz w:val="20"/>
        </w:rPr>
      </w:pPr>
      <w:r w:rsidRPr="00F05339">
        <w:rPr>
          <w:rFonts w:ascii="Arial" w:eastAsiaTheme="majorEastAsia" w:hAnsi="Arial" w:cs="Arial"/>
          <w:b/>
          <w:i/>
          <w:iCs/>
          <w:color w:val="365F91" w:themeColor="accent1" w:themeShade="BF"/>
          <w:sz w:val="20"/>
        </w:rPr>
        <w:t>2. IKAA certifications for the 2020 period</w:t>
      </w:r>
    </w:p>
    <w:p w14:paraId="2C5496A6" w14:textId="77777777" w:rsidR="00B37CC0" w:rsidRPr="00F05339" w:rsidRDefault="00B37CC0" w:rsidP="00B37CC0">
      <w:pPr>
        <w:ind w:left="10" w:right="18"/>
        <w:jc w:val="both"/>
        <w:rPr>
          <w:rFonts w:ascii="Arial" w:hAnsi="Arial" w:cs="Arial"/>
        </w:rPr>
      </w:pPr>
      <w:r w:rsidRPr="00F05339">
        <w:rPr>
          <w:rFonts w:ascii="Arial" w:hAnsi="Arial" w:cs="Arial"/>
        </w:rPr>
        <w:t xml:space="preserve">By June 2020, the members delivered certificates for the additional activities at the total amount of EUR 162.45 million. </w:t>
      </w:r>
    </w:p>
    <w:p w14:paraId="44241E5E" w14:textId="77777777" w:rsidR="00B37CC0" w:rsidRPr="00F05339" w:rsidRDefault="00B37CC0" w:rsidP="00B37CC0">
      <w:pPr>
        <w:ind w:left="10" w:right="18"/>
        <w:jc w:val="both"/>
        <w:rPr>
          <w:rFonts w:ascii="Arial" w:hAnsi="Arial" w:cs="Arial"/>
        </w:rPr>
      </w:pPr>
      <w:r w:rsidRPr="00F05339">
        <w:rPr>
          <w:rFonts w:ascii="Arial" w:hAnsi="Arial" w:cs="Arial"/>
        </w:rPr>
        <w:t>To ensure strict continuity and compliance with the adopted Plan, no new activities (for the 2020 reporting period) compared to the adopted 2020 IKAA Plan, were included in that report.</w:t>
      </w:r>
    </w:p>
    <w:p w14:paraId="38ADE19A" w14:textId="77777777" w:rsidR="00B37CC0" w:rsidRPr="00F05339" w:rsidRDefault="00B37CC0" w:rsidP="00B37CC0">
      <w:pPr>
        <w:ind w:left="10" w:right="18"/>
        <w:jc w:val="both"/>
        <w:rPr>
          <w:rFonts w:ascii="Arial" w:hAnsi="Arial" w:cs="Arial"/>
          <w:b/>
        </w:rPr>
      </w:pPr>
      <w:r w:rsidRPr="00F05339">
        <w:rPr>
          <w:rFonts w:ascii="Arial" w:hAnsi="Arial" w:cs="Arial"/>
        </w:rPr>
        <w:t xml:space="preserve">With newly certified activities for 2020, for an amount of EUR 162.45 million, the </w:t>
      </w:r>
      <w:r w:rsidRPr="00F05339">
        <w:rPr>
          <w:rFonts w:ascii="Arial" w:hAnsi="Arial" w:cs="Arial"/>
          <w:b/>
        </w:rPr>
        <w:t>total certified IKAA amount for 2014-2020 reached EUR 1,039.00 million.</w:t>
      </w:r>
    </w:p>
    <w:p w14:paraId="01B4A88A" w14:textId="77777777" w:rsidR="00B37CC0" w:rsidRPr="00F05339" w:rsidRDefault="00B37CC0" w:rsidP="00B37CC0">
      <w:pPr>
        <w:keepNext/>
        <w:keepLines/>
        <w:spacing w:before="40" w:after="228" w:line="248" w:lineRule="auto"/>
        <w:ind w:left="2"/>
        <w:outlineLvl w:val="3"/>
        <w:rPr>
          <w:rFonts w:ascii="Arial" w:eastAsiaTheme="majorEastAsia" w:hAnsi="Arial" w:cs="Arial"/>
          <w:b/>
          <w:i/>
          <w:iCs/>
          <w:color w:val="365F91" w:themeColor="accent1" w:themeShade="BF"/>
          <w:sz w:val="20"/>
        </w:rPr>
      </w:pPr>
      <w:r w:rsidRPr="00F05339">
        <w:rPr>
          <w:rFonts w:ascii="Arial" w:eastAsiaTheme="majorEastAsia" w:hAnsi="Arial" w:cs="Arial"/>
          <w:b/>
          <w:i/>
          <w:iCs/>
          <w:color w:val="365F91" w:themeColor="accent1" w:themeShade="BF"/>
          <w:sz w:val="20"/>
        </w:rPr>
        <w:t xml:space="preserve">General overview of additional activities for H2020 as </w:t>
      </w:r>
      <w:proofErr w:type="gramStart"/>
      <w:r w:rsidRPr="00F05339">
        <w:rPr>
          <w:rFonts w:ascii="Arial" w:eastAsiaTheme="majorEastAsia" w:hAnsi="Arial" w:cs="Arial"/>
          <w:b/>
          <w:i/>
          <w:iCs/>
          <w:color w:val="365F91" w:themeColor="accent1" w:themeShade="BF"/>
          <w:sz w:val="20"/>
        </w:rPr>
        <w:t>at</w:t>
      </w:r>
      <w:proofErr w:type="gramEnd"/>
      <w:r w:rsidRPr="00F05339">
        <w:rPr>
          <w:rFonts w:ascii="Arial" w:eastAsiaTheme="majorEastAsia" w:hAnsi="Arial" w:cs="Arial"/>
          <w:b/>
          <w:i/>
          <w:iCs/>
          <w:color w:val="365F91" w:themeColor="accent1" w:themeShade="BF"/>
          <w:sz w:val="20"/>
        </w:rPr>
        <w:t xml:space="preserve"> 31 December 2021</w:t>
      </w:r>
    </w:p>
    <w:p w14:paraId="0AB27693" w14:textId="77777777" w:rsidR="00B37CC0" w:rsidRPr="00F05339" w:rsidRDefault="00B37CC0" w:rsidP="00B37CC0">
      <w:pPr>
        <w:jc w:val="both"/>
        <w:rPr>
          <w:rFonts w:ascii="Arial" w:hAnsi="Arial" w:cs="Arial"/>
        </w:rPr>
      </w:pPr>
      <w:r w:rsidRPr="00F05339">
        <w:rPr>
          <w:rFonts w:ascii="Arial" w:hAnsi="Arial" w:cs="Arial"/>
        </w:rPr>
        <w:t xml:space="preserve">This section provides an overview of the cumulative </w:t>
      </w:r>
      <w:proofErr w:type="gramStart"/>
      <w:r w:rsidRPr="00F05339">
        <w:rPr>
          <w:rFonts w:ascii="Arial" w:hAnsi="Arial" w:cs="Arial"/>
        </w:rPr>
        <w:t>amount</w:t>
      </w:r>
      <w:proofErr w:type="gramEnd"/>
      <w:r w:rsidRPr="00F05339">
        <w:rPr>
          <w:rFonts w:ascii="Arial" w:hAnsi="Arial" w:cs="Arial"/>
        </w:rPr>
        <w:t xml:space="preserve"> of additional activities:</w:t>
      </w:r>
    </w:p>
    <w:p w14:paraId="7B7BA0F8" w14:textId="77777777" w:rsidR="00B37CC0" w:rsidRPr="00F05339" w:rsidRDefault="00B37CC0" w:rsidP="002672A0">
      <w:pPr>
        <w:numPr>
          <w:ilvl w:val="0"/>
          <w:numId w:val="16"/>
        </w:numPr>
        <w:ind w:hanging="360"/>
        <w:contextualSpacing/>
        <w:jc w:val="both"/>
        <w:rPr>
          <w:rFonts w:ascii="Arial" w:hAnsi="Arial" w:cs="Arial"/>
        </w:rPr>
      </w:pPr>
      <w:r w:rsidRPr="00F05339">
        <w:rPr>
          <w:rFonts w:ascii="Arial" w:hAnsi="Arial" w:cs="Arial"/>
        </w:rPr>
        <w:t xml:space="preserve">Certified IKAA for the period 2014-2020 (based on the certificates received and validated </w:t>
      </w:r>
      <w:proofErr w:type="gramStart"/>
      <w:r w:rsidRPr="00F05339">
        <w:rPr>
          <w:rFonts w:ascii="Arial" w:hAnsi="Arial" w:cs="Arial"/>
        </w:rPr>
        <w:t>at</w:t>
      </w:r>
      <w:proofErr w:type="gramEnd"/>
      <w:r w:rsidRPr="00F05339">
        <w:rPr>
          <w:rFonts w:ascii="Arial" w:hAnsi="Arial" w:cs="Arial"/>
        </w:rPr>
        <w:t xml:space="preserve"> 31 December 2021, totalling EUR 1,039.00 million);</w:t>
      </w:r>
    </w:p>
    <w:p w14:paraId="50DB4A70" w14:textId="77777777" w:rsidR="00B37CC0" w:rsidRPr="00F05339" w:rsidRDefault="00B37CC0" w:rsidP="002672A0">
      <w:pPr>
        <w:numPr>
          <w:ilvl w:val="0"/>
          <w:numId w:val="16"/>
        </w:numPr>
        <w:ind w:hanging="360"/>
        <w:contextualSpacing/>
        <w:jc w:val="both"/>
        <w:rPr>
          <w:rFonts w:ascii="Arial" w:hAnsi="Arial" w:cs="Arial"/>
        </w:rPr>
      </w:pPr>
      <w:r w:rsidRPr="00F05339">
        <w:rPr>
          <w:rFonts w:ascii="Arial" w:hAnsi="Arial" w:cs="Arial"/>
        </w:rPr>
        <w:t>Minimum IKAA threshold for the H2020 programme of EUR 285 million envisaged in the FCH 2 JU Council Regulation.</w:t>
      </w:r>
    </w:p>
    <w:p w14:paraId="07C37B17" w14:textId="77777777" w:rsidR="00B37CC0" w:rsidRPr="00F05339" w:rsidRDefault="00B37CC0" w:rsidP="00B37CC0">
      <w:pPr>
        <w:contextualSpacing/>
        <w:jc w:val="both"/>
        <w:rPr>
          <w:rFonts w:ascii="Arial" w:hAnsi="Arial" w:cs="Arial"/>
        </w:rPr>
      </w:pPr>
    </w:p>
    <w:p w14:paraId="7155D102" w14:textId="77777777" w:rsidR="00B37CC0" w:rsidRPr="00F05339" w:rsidRDefault="00B37CC0" w:rsidP="00B37CC0">
      <w:pPr>
        <w:contextualSpacing/>
        <w:jc w:val="both"/>
        <w:rPr>
          <w:rFonts w:ascii="Arial" w:hAnsi="Arial" w:cs="Arial"/>
        </w:rPr>
      </w:pPr>
      <w:r w:rsidRPr="00F05339">
        <w:rPr>
          <w:rFonts w:ascii="Arial" w:hAnsi="Arial" w:cs="Arial"/>
        </w:rPr>
        <w:t>Graph 1.7.2: Certified and reported IKAA for 2014-2020</w:t>
      </w:r>
    </w:p>
    <w:p w14:paraId="044027A6" w14:textId="77777777" w:rsidR="00B37CC0" w:rsidRPr="00F05339" w:rsidRDefault="00B37CC0" w:rsidP="00B37CC0">
      <w:pPr>
        <w:contextualSpacing/>
        <w:jc w:val="both"/>
        <w:rPr>
          <w:rFonts w:ascii="Arial" w:hAnsi="Arial" w:cs="Arial"/>
        </w:rPr>
      </w:pPr>
    </w:p>
    <w:p w14:paraId="2C3DD0C4" w14:textId="77777777" w:rsidR="00B37CC0" w:rsidRPr="00F05339" w:rsidRDefault="00B37CC0" w:rsidP="00B37CC0">
      <w:pPr>
        <w:contextualSpacing/>
        <w:jc w:val="both"/>
        <w:rPr>
          <w:rFonts w:ascii="Arial" w:hAnsi="Arial" w:cs="Arial"/>
        </w:rPr>
      </w:pPr>
      <w:r w:rsidRPr="00F05339">
        <w:rPr>
          <w:rFonts w:ascii="Arial" w:hAnsi="Arial" w:cs="Arial"/>
          <w:noProof/>
          <w:lang w:eastAsia="en-GB"/>
        </w:rPr>
        <w:lastRenderedPageBreak/>
        <w:drawing>
          <wp:inline distT="0" distB="0" distL="0" distR="0" wp14:anchorId="48717B39" wp14:editId="44911AE4">
            <wp:extent cx="5760720" cy="3053715"/>
            <wp:effectExtent l="0" t="0" r="11430" b="13335"/>
            <wp:docPr id="12" name="Chart 12">
              <a:extLst xmlns:a="http://schemas.openxmlformats.org/drawingml/2006/main">
                <a:ext uri="{FF2B5EF4-FFF2-40B4-BE49-F238E27FC236}">
                  <a16:creationId xmlns:a16="http://schemas.microsoft.com/office/drawing/2014/main" id="{00000000-0008-0000-08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5A7EB14A" w14:textId="77777777" w:rsidR="00B37CC0" w:rsidRPr="00F05339" w:rsidRDefault="00B37CC0" w:rsidP="00B37CC0">
      <w:pPr>
        <w:jc w:val="center"/>
        <w:rPr>
          <w:rFonts w:ascii="Arial" w:hAnsi="Arial" w:cs="Arial"/>
          <w:highlight w:val="yellow"/>
        </w:rPr>
      </w:pPr>
    </w:p>
    <w:p w14:paraId="496445AA" w14:textId="158B3E8C" w:rsidR="00B37CC0" w:rsidRPr="00F05339" w:rsidRDefault="00B37CC0" w:rsidP="00B37CC0">
      <w:pPr>
        <w:jc w:val="both"/>
        <w:rPr>
          <w:rFonts w:ascii="Arial" w:hAnsi="Arial" w:cs="Arial"/>
        </w:rPr>
      </w:pPr>
      <w:r w:rsidRPr="00F05339">
        <w:rPr>
          <w:rFonts w:ascii="Arial" w:hAnsi="Arial" w:cs="Arial"/>
        </w:rPr>
        <w:t>The JU believes that the scope and volume of investments reflected in the additional activities is a clear testimony of the members’ strong commitment, the continued progress of these technologies towards the market, and the strong leverage of JU investment. The Joint Undertaking believes that these investments in additional activities successfully demonstrated a robust contribution towards achieving joint objectives even beyond the FCH 2 JU regulation.</w:t>
      </w:r>
    </w:p>
    <w:p w14:paraId="26D1662C" w14:textId="77777777" w:rsidR="00B37CC0" w:rsidRPr="00F05339" w:rsidRDefault="00B37CC0" w:rsidP="00B37CC0">
      <w:pPr>
        <w:rPr>
          <w:rFonts w:ascii="Arial" w:hAnsi="Arial" w:cs="Arial"/>
          <w:highlight w:val="yellow"/>
        </w:rPr>
      </w:pPr>
    </w:p>
    <w:p w14:paraId="4A49708A" w14:textId="77777777" w:rsidR="00B37CC0" w:rsidRPr="00F05339" w:rsidRDefault="00B37CC0" w:rsidP="00B37CC0">
      <w:pPr>
        <w:spacing w:after="215" w:line="259" w:lineRule="auto"/>
        <w:ind w:left="2" w:hanging="10"/>
        <w:rPr>
          <w:rFonts w:ascii="Arial" w:hAnsi="Arial" w:cs="Arial"/>
        </w:rPr>
      </w:pPr>
      <w:r w:rsidRPr="00F05339">
        <w:rPr>
          <w:rFonts w:ascii="Arial" w:hAnsi="Arial" w:cs="Arial"/>
          <w:color w:val="3A5FAC"/>
        </w:rPr>
        <w:t xml:space="preserve">FP7 </w:t>
      </w:r>
    </w:p>
    <w:p w14:paraId="7E6F2DB4" w14:textId="77777777" w:rsidR="00B37CC0" w:rsidRPr="00F05339" w:rsidRDefault="00B37CC0" w:rsidP="00B37CC0">
      <w:pPr>
        <w:ind w:left="10" w:right="18"/>
        <w:jc w:val="both"/>
        <w:rPr>
          <w:rFonts w:ascii="Arial" w:hAnsi="Arial" w:cs="Arial"/>
        </w:rPr>
      </w:pPr>
      <w:r w:rsidRPr="00F05339">
        <w:rPr>
          <w:rFonts w:ascii="Arial" w:hAnsi="Arial" w:cs="Arial"/>
        </w:rPr>
        <w:t>The FCH JU founding regulation (Council Regulation 521/2008 as amended by Regulation 1183/2011) states that the FCH JU operational costs shall be covered through the financial contribution of the European Union and through in-kind contributions from the legal entities participating in the activities.</w:t>
      </w:r>
    </w:p>
    <w:p w14:paraId="0A394EDA" w14:textId="77777777" w:rsidR="00B37CC0" w:rsidRPr="00F05339" w:rsidRDefault="00B37CC0" w:rsidP="00B37CC0">
      <w:pPr>
        <w:ind w:left="10" w:right="18"/>
        <w:jc w:val="both"/>
        <w:rPr>
          <w:rFonts w:ascii="Arial" w:hAnsi="Arial" w:cs="Arial"/>
        </w:rPr>
      </w:pPr>
      <w:r w:rsidRPr="00F05339">
        <w:rPr>
          <w:rFonts w:ascii="Arial" w:hAnsi="Arial" w:cs="Arial"/>
        </w:rPr>
        <w:t xml:space="preserve">Calculation of the level of in-kind contributions follows a methodology approved by the FCH JU GB on 10 February 2012. Verification of these costs includes: i) </w:t>
      </w:r>
      <w:r w:rsidRPr="00F05339">
        <w:rPr>
          <w:rFonts w:ascii="Arial" w:hAnsi="Arial" w:cs="Arial"/>
          <w:i/>
        </w:rPr>
        <w:t>ex-ante</w:t>
      </w:r>
      <w:r w:rsidRPr="00F05339">
        <w:rPr>
          <w:rFonts w:ascii="Arial" w:hAnsi="Arial" w:cs="Arial"/>
        </w:rPr>
        <w:t xml:space="preserve"> controls before validation of the cost claims submitted by the beneficiaries (either based on desk-review assessment by the PO and/or certificates on financial statements provided by independent auditors); and ii) </w:t>
      </w:r>
      <w:r w:rsidRPr="00F05339">
        <w:rPr>
          <w:rFonts w:ascii="Arial" w:hAnsi="Arial" w:cs="Arial"/>
          <w:i/>
        </w:rPr>
        <w:t>ex-post</w:t>
      </w:r>
      <w:r w:rsidRPr="00F05339">
        <w:rPr>
          <w:rFonts w:ascii="Arial" w:hAnsi="Arial" w:cs="Arial"/>
        </w:rPr>
        <w:t xml:space="preserve"> audits after validation of the cost claims, carried out by independent auditors appointed by FCH JU, in line with the FCH JU </w:t>
      </w:r>
      <w:r w:rsidRPr="00F05339">
        <w:rPr>
          <w:rFonts w:ascii="Arial" w:hAnsi="Arial" w:cs="Arial"/>
          <w:i/>
        </w:rPr>
        <w:t>ex-post</w:t>
      </w:r>
      <w:r w:rsidRPr="00F05339">
        <w:rPr>
          <w:rFonts w:ascii="Arial" w:hAnsi="Arial" w:cs="Arial"/>
        </w:rPr>
        <w:t xml:space="preserve"> audit strategy.</w:t>
      </w:r>
    </w:p>
    <w:p w14:paraId="5392A96E" w14:textId="77777777" w:rsidR="00B37CC0" w:rsidRPr="00F05339" w:rsidRDefault="00B37CC0" w:rsidP="00B37CC0">
      <w:pPr>
        <w:ind w:left="10" w:right="18"/>
        <w:jc w:val="both"/>
        <w:rPr>
          <w:rFonts w:ascii="Arial" w:hAnsi="Arial" w:cs="Arial"/>
        </w:rPr>
      </w:pPr>
      <w:r w:rsidRPr="00F05339">
        <w:rPr>
          <w:rFonts w:ascii="Arial" w:hAnsi="Arial" w:cs="Arial"/>
        </w:rPr>
        <w:t>In addition, in accordance with the methodology, the aggregated level of in-kind contributions is assessed every year by an independent external auditor.</w:t>
      </w:r>
    </w:p>
    <w:p w14:paraId="3C7ACF8E" w14:textId="19EB426D" w:rsidR="00B37CC0" w:rsidRPr="00F05339" w:rsidRDefault="00B37CC0" w:rsidP="00B37CC0">
      <w:pPr>
        <w:ind w:left="10" w:right="18"/>
        <w:jc w:val="both"/>
        <w:rPr>
          <w:rFonts w:ascii="Arial" w:hAnsi="Arial" w:cs="Arial"/>
        </w:rPr>
      </w:pPr>
      <w:r w:rsidRPr="00F05339">
        <w:rPr>
          <w:rFonts w:ascii="Arial" w:hAnsi="Arial" w:cs="Arial"/>
        </w:rPr>
        <w:t>In February 2021, KPMG carried out the assessment and confirmed the amount of the aggregated level of in-kind contributions certified by the JU ED (cut-off date 31 December 2020).</w:t>
      </w:r>
    </w:p>
    <w:p w14:paraId="4E795852" w14:textId="77777777" w:rsidR="00B37CC0" w:rsidRPr="00F05339" w:rsidRDefault="00B37CC0" w:rsidP="00B37CC0">
      <w:pPr>
        <w:ind w:left="10" w:right="18"/>
        <w:rPr>
          <w:rFonts w:ascii="Arial" w:hAnsi="Arial" w:cs="Arial"/>
        </w:rPr>
      </w:pPr>
      <w:r w:rsidRPr="00F05339">
        <w:rPr>
          <w:rFonts w:ascii="Arial" w:hAnsi="Arial" w:cs="Arial"/>
        </w:rPr>
        <w:t xml:space="preserve">The full publishable report can be found at: </w:t>
      </w:r>
      <w:hyperlink r:id="rId55" w:history="1">
        <w:r w:rsidRPr="00F05339">
          <w:rPr>
            <w:rStyle w:val="Hyperlink"/>
            <w:rFonts w:ascii="Arial" w:hAnsi="Arial" w:cs="Arial"/>
          </w:rPr>
          <w:t>https://www.clean-hydrogen.europa.eu/about-us/key-documents/annual-activity-reports_en</w:t>
        </w:r>
      </w:hyperlink>
    </w:p>
    <w:p w14:paraId="203E248C" w14:textId="77777777" w:rsidR="00B37CC0" w:rsidRPr="00F05339" w:rsidRDefault="00B37CC0" w:rsidP="00B37CC0">
      <w:pPr>
        <w:ind w:left="10" w:right="18"/>
        <w:jc w:val="both"/>
        <w:rPr>
          <w:rFonts w:ascii="Arial" w:hAnsi="Arial" w:cs="Arial"/>
        </w:rPr>
      </w:pPr>
      <w:r w:rsidRPr="00F05339">
        <w:rPr>
          <w:rFonts w:ascii="Arial" w:hAnsi="Arial" w:cs="Arial"/>
        </w:rPr>
        <w:lastRenderedPageBreak/>
        <w:t xml:space="preserve">As </w:t>
      </w:r>
      <w:proofErr w:type="gramStart"/>
      <w:r w:rsidRPr="00F05339">
        <w:rPr>
          <w:rFonts w:ascii="Arial" w:hAnsi="Arial" w:cs="Arial"/>
        </w:rPr>
        <w:t>at</w:t>
      </w:r>
      <w:proofErr w:type="gramEnd"/>
      <w:r w:rsidRPr="00F05339">
        <w:rPr>
          <w:rFonts w:ascii="Arial" w:hAnsi="Arial" w:cs="Arial"/>
        </w:rPr>
        <w:t xml:space="preserve"> 31 December 2021, details of the aggregated level of in-kind contributions are as follows (in million EUR):</w:t>
      </w:r>
    </w:p>
    <w:p w14:paraId="0B0CD1C6" w14:textId="77777777" w:rsidR="00B37CC0" w:rsidRPr="00F05339" w:rsidRDefault="00B37CC0" w:rsidP="00B37CC0">
      <w:pPr>
        <w:ind w:left="10" w:right="18"/>
        <w:jc w:val="both"/>
        <w:rPr>
          <w:rFonts w:ascii="Arial" w:hAnsi="Arial" w:cs="Arial"/>
        </w:rPr>
      </w:pPr>
      <w:r w:rsidRPr="00F05339">
        <w:rPr>
          <w:rFonts w:ascii="Arial" w:hAnsi="Arial" w:cs="Arial"/>
          <w:color w:val="034EA2"/>
          <w:sz w:val="18"/>
        </w:rPr>
        <w:t xml:space="preserve">Table 1.7.3: Aggregated level of in-kind contributions </w:t>
      </w:r>
    </w:p>
    <w:tbl>
      <w:tblPr>
        <w:tblW w:w="12220" w:type="dxa"/>
        <w:tblLook w:val="04A0" w:firstRow="1" w:lastRow="0" w:firstColumn="1" w:lastColumn="0" w:noHBand="0" w:noVBand="1"/>
      </w:tblPr>
      <w:tblGrid>
        <w:gridCol w:w="2260"/>
        <w:gridCol w:w="1660"/>
        <w:gridCol w:w="1660"/>
        <w:gridCol w:w="1660"/>
        <w:gridCol w:w="1660"/>
        <w:gridCol w:w="1660"/>
        <w:gridCol w:w="1660"/>
      </w:tblGrid>
      <w:tr w:rsidR="00B37CC0" w:rsidRPr="00F05339" w14:paraId="39B076DD" w14:textId="77777777" w:rsidTr="00DF2591">
        <w:trPr>
          <w:trHeight w:val="1500"/>
        </w:trPr>
        <w:tc>
          <w:tcPr>
            <w:tcW w:w="2260" w:type="dxa"/>
            <w:tcBorders>
              <w:top w:val="nil"/>
              <w:left w:val="nil"/>
              <w:bottom w:val="nil"/>
              <w:right w:val="nil"/>
            </w:tcBorders>
            <w:shd w:val="clear" w:color="000000" w:fill="60B0AF"/>
            <w:vAlign w:val="center"/>
            <w:hideMark/>
          </w:tcPr>
          <w:p w14:paraId="05D85447" w14:textId="77777777" w:rsidR="00B37CC0" w:rsidRPr="00F05339" w:rsidRDefault="00B37CC0" w:rsidP="00DF2591">
            <w:pPr>
              <w:spacing w:after="0" w:line="240" w:lineRule="auto"/>
              <w:jc w:val="center"/>
              <w:rPr>
                <w:rFonts w:ascii="Arial" w:eastAsia="Times New Roman" w:hAnsi="Arial" w:cs="Arial"/>
                <w:b/>
                <w:bCs/>
                <w:color w:val="FFFFFF"/>
                <w:lang w:eastAsia="en-GB"/>
              </w:rPr>
            </w:pPr>
            <w:r w:rsidRPr="00F05339">
              <w:rPr>
                <w:rFonts w:ascii="Arial" w:eastAsia="Times New Roman" w:hAnsi="Arial" w:cs="Arial"/>
                <w:b/>
                <w:bCs/>
                <w:color w:val="FFFFFF"/>
                <w:lang w:eastAsia="en-GB"/>
              </w:rPr>
              <w:t>FP7 Year 2021</w:t>
            </w:r>
          </w:p>
        </w:tc>
        <w:tc>
          <w:tcPr>
            <w:tcW w:w="1660" w:type="dxa"/>
            <w:tcBorders>
              <w:top w:val="nil"/>
              <w:left w:val="nil"/>
              <w:bottom w:val="nil"/>
              <w:right w:val="nil"/>
            </w:tcBorders>
            <w:shd w:val="clear" w:color="000000" w:fill="60B0AF"/>
            <w:vAlign w:val="center"/>
            <w:hideMark/>
          </w:tcPr>
          <w:p w14:paraId="5725D5DF" w14:textId="77777777" w:rsidR="00B37CC0" w:rsidRPr="00F05339" w:rsidRDefault="00B37CC0" w:rsidP="00DF2591">
            <w:pPr>
              <w:spacing w:after="0" w:line="240" w:lineRule="auto"/>
              <w:jc w:val="center"/>
              <w:rPr>
                <w:rFonts w:ascii="Arial" w:eastAsia="Times New Roman" w:hAnsi="Arial" w:cs="Arial"/>
                <w:b/>
                <w:bCs/>
                <w:color w:val="FFFFFF"/>
                <w:lang w:eastAsia="en-GB"/>
              </w:rPr>
            </w:pPr>
            <w:r w:rsidRPr="00F05339">
              <w:rPr>
                <w:rFonts w:ascii="Arial" w:eastAsia="Times New Roman" w:hAnsi="Arial" w:cs="Arial"/>
                <w:b/>
                <w:bCs/>
                <w:color w:val="FFFFFF"/>
                <w:lang w:eastAsia="en-GB"/>
              </w:rPr>
              <w:t>Accumulated validated IKC contributions at 01/01/2021</w:t>
            </w:r>
          </w:p>
        </w:tc>
        <w:tc>
          <w:tcPr>
            <w:tcW w:w="1660" w:type="dxa"/>
            <w:tcBorders>
              <w:top w:val="nil"/>
              <w:left w:val="nil"/>
              <w:bottom w:val="nil"/>
              <w:right w:val="nil"/>
            </w:tcBorders>
            <w:shd w:val="clear" w:color="000000" w:fill="60B0AF"/>
            <w:vAlign w:val="center"/>
            <w:hideMark/>
          </w:tcPr>
          <w:p w14:paraId="618AC10C" w14:textId="77777777" w:rsidR="00B37CC0" w:rsidRPr="00F05339" w:rsidRDefault="00B37CC0" w:rsidP="00DF2591">
            <w:pPr>
              <w:spacing w:after="0" w:line="240" w:lineRule="auto"/>
              <w:jc w:val="center"/>
              <w:rPr>
                <w:rFonts w:ascii="Arial" w:eastAsia="Times New Roman" w:hAnsi="Arial" w:cs="Arial"/>
                <w:b/>
                <w:bCs/>
                <w:color w:val="FFFFFF"/>
                <w:lang w:eastAsia="en-GB"/>
              </w:rPr>
            </w:pPr>
            <w:r w:rsidRPr="00F05339">
              <w:rPr>
                <w:rFonts w:ascii="Arial" w:eastAsia="Times New Roman" w:hAnsi="Arial" w:cs="Arial"/>
                <w:b/>
                <w:bCs/>
                <w:color w:val="FFFFFF"/>
                <w:lang w:eastAsia="en-GB"/>
              </w:rPr>
              <w:t>Validated IKC contributions in year 2021</w:t>
            </w:r>
          </w:p>
        </w:tc>
        <w:tc>
          <w:tcPr>
            <w:tcW w:w="1660" w:type="dxa"/>
            <w:tcBorders>
              <w:top w:val="nil"/>
              <w:left w:val="nil"/>
              <w:bottom w:val="nil"/>
              <w:right w:val="nil"/>
            </w:tcBorders>
            <w:shd w:val="clear" w:color="000000" w:fill="60B0AF"/>
            <w:vAlign w:val="center"/>
            <w:hideMark/>
          </w:tcPr>
          <w:p w14:paraId="231CDEED" w14:textId="77777777" w:rsidR="00B37CC0" w:rsidRPr="00F05339" w:rsidRDefault="00B37CC0" w:rsidP="00DF2591">
            <w:pPr>
              <w:spacing w:after="0" w:line="240" w:lineRule="auto"/>
              <w:jc w:val="center"/>
              <w:rPr>
                <w:rFonts w:ascii="Arial" w:eastAsia="Times New Roman" w:hAnsi="Arial" w:cs="Arial"/>
                <w:b/>
                <w:bCs/>
                <w:color w:val="FFFFFF"/>
                <w:lang w:eastAsia="en-GB"/>
              </w:rPr>
            </w:pPr>
            <w:r w:rsidRPr="00F05339">
              <w:rPr>
                <w:rFonts w:ascii="Arial" w:eastAsia="Times New Roman" w:hAnsi="Arial" w:cs="Arial"/>
                <w:b/>
                <w:bCs/>
                <w:color w:val="FFFFFF"/>
                <w:lang w:eastAsia="en-GB"/>
              </w:rPr>
              <w:t>IKC contributions received but not validated at 31/12/2021</w:t>
            </w:r>
          </w:p>
        </w:tc>
        <w:tc>
          <w:tcPr>
            <w:tcW w:w="1660" w:type="dxa"/>
            <w:tcBorders>
              <w:top w:val="nil"/>
              <w:left w:val="nil"/>
              <w:bottom w:val="nil"/>
              <w:right w:val="nil"/>
            </w:tcBorders>
            <w:shd w:val="clear" w:color="000000" w:fill="60B0AF"/>
            <w:vAlign w:val="center"/>
            <w:hideMark/>
          </w:tcPr>
          <w:p w14:paraId="25A0DD5A" w14:textId="77777777" w:rsidR="00B37CC0" w:rsidRPr="00F05339" w:rsidRDefault="00B37CC0" w:rsidP="00DF2591">
            <w:pPr>
              <w:spacing w:after="0" w:line="240" w:lineRule="auto"/>
              <w:jc w:val="center"/>
              <w:rPr>
                <w:rFonts w:ascii="Arial" w:eastAsia="Times New Roman" w:hAnsi="Arial" w:cs="Arial"/>
                <w:b/>
                <w:bCs/>
                <w:color w:val="FFFFFF"/>
                <w:lang w:eastAsia="en-GB"/>
              </w:rPr>
            </w:pPr>
            <w:r w:rsidRPr="00F05339">
              <w:rPr>
                <w:rFonts w:ascii="Arial" w:eastAsia="Times New Roman" w:hAnsi="Arial" w:cs="Arial"/>
                <w:b/>
                <w:bCs/>
                <w:color w:val="FFFFFF"/>
                <w:lang w:eastAsia="en-GB"/>
              </w:rPr>
              <w:t>IKC contribution estimate (pro-rata) at 31/12/2021</w:t>
            </w:r>
          </w:p>
        </w:tc>
        <w:tc>
          <w:tcPr>
            <w:tcW w:w="1660" w:type="dxa"/>
            <w:tcBorders>
              <w:top w:val="nil"/>
              <w:left w:val="nil"/>
              <w:bottom w:val="nil"/>
              <w:right w:val="nil"/>
            </w:tcBorders>
            <w:shd w:val="clear" w:color="000000" w:fill="60B0AF"/>
            <w:vAlign w:val="center"/>
            <w:hideMark/>
          </w:tcPr>
          <w:p w14:paraId="27588277" w14:textId="77777777" w:rsidR="00B37CC0" w:rsidRPr="00F05339" w:rsidRDefault="00B37CC0" w:rsidP="00DF2591">
            <w:pPr>
              <w:spacing w:after="0" w:line="240" w:lineRule="auto"/>
              <w:jc w:val="center"/>
              <w:rPr>
                <w:rFonts w:ascii="Arial" w:eastAsia="Times New Roman" w:hAnsi="Arial" w:cs="Arial"/>
                <w:b/>
                <w:bCs/>
                <w:color w:val="FFFFFF"/>
                <w:lang w:eastAsia="en-GB"/>
              </w:rPr>
            </w:pPr>
            <w:r w:rsidRPr="00F05339">
              <w:rPr>
                <w:rFonts w:ascii="Arial" w:eastAsia="Times New Roman" w:hAnsi="Arial" w:cs="Arial"/>
                <w:b/>
                <w:bCs/>
                <w:color w:val="FFFFFF"/>
                <w:lang w:eastAsia="en-GB"/>
              </w:rPr>
              <w:t>IKC contribution estimate to be validated as from 01/01/2022</w:t>
            </w:r>
          </w:p>
        </w:tc>
        <w:tc>
          <w:tcPr>
            <w:tcW w:w="1660" w:type="dxa"/>
            <w:tcBorders>
              <w:top w:val="nil"/>
              <w:left w:val="nil"/>
              <w:bottom w:val="nil"/>
              <w:right w:val="nil"/>
            </w:tcBorders>
            <w:shd w:val="clear" w:color="000000" w:fill="60B0AF"/>
            <w:vAlign w:val="center"/>
            <w:hideMark/>
          </w:tcPr>
          <w:p w14:paraId="0991CEA0" w14:textId="77777777" w:rsidR="00B37CC0" w:rsidRPr="00F05339" w:rsidRDefault="00B37CC0" w:rsidP="00DF2591">
            <w:pPr>
              <w:spacing w:after="0" w:line="240" w:lineRule="auto"/>
              <w:jc w:val="center"/>
              <w:rPr>
                <w:rFonts w:ascii="Arial" w:eastAsia="Times New Roman" w:hAnsi="Arial" w:cs="Arial"/>
                <w:b/>
                <w:bCs/>
                <w:color w:val="FFFFFF"/>
                <w:lang w:eastAsia="en-GB"/>
              </w:rPr>
            </w:pPr>
            <w:r w:rsidRPr="00F05339">
              <w:rPr>
                <w:rFonts w:ascii="Arial" w:eastAsia="Times New Roman" w:hAnsi="Arial" w:cs="Arial"/>
                <w:b/>
                <w:bCs/>
                <w:color w:val="FFFFFF"/>
                <w:lang w:eastAsia="en-GB"/>
              </w:rPr>
              <w:t>Forecast of aggregated level of in-kind contributions</w:t>
            </w:r>
          </w:p>
        </w:tc>
      </w:tr>
      <w:tr w:rsidR="00B37CC0" w:rsidRPr="00F05339" w14:paraId="5DF0DEA5" w14:textId="77777777" w:rsidTr="00DF2591">
        <w:trPr>
          <w:trHeight w:val="300"/>
        </w:trPr>
        <w:tc>
          <w:tcPr>
            <w:tcW w:w="2260" w:type="dxa"/>
            <w:tcBorders>
              <w:top w:val="nil"/>
              <w:left w:val="nil"/>
              <w:bottom w:val="nil"/>
              <w:right w:val="nil"/>
            </w:tcBorders>
            <w:shd w:val="clear" w:color="auto" w:fill="auto"/>
            <w:vAlign w:val="center"/>
            <w:hideMark/>
          </w:tcPr>
          <w:p w14:paraId="41CCD29A" w14:textId="77777777" w:rsidR="00B37CC0" w:rsidRPr="00F05339" w:rsidRDefault="00B37CC0" w:rsidP="00DF2591">
            <w:pPr>
              <w:spacing w:after="0" w:line="240" w:lineRule="auto"/>
              <w:rPr>
                <w:rFonts w:ascii="Arial" w:eastAsia="Times New Roman" w:hAnsi="Arial" w:cs="Arial"/>
                <w:b/>
                <w:bCs/>
                <w:color w:val="3A5FAC"/>
                <w:lang w:eastAsia="en-GB"/>
              </w:rPr>
            </w:pPr>
            <w:r w:rsidRPr="00F05339">
              <w:rPr>
                <w:rFonts w:ascii="Arial" w:eastAsia="Times New Roman" w:hAnsi="Arial" w:cs="Arial"/>
                <w:b/>
                <w:bCs/>
                <w:color w:val="3A5FAC"/>
                <w:lang w:eastAsia="en-GB"/>
              </w:rPr>
              <w:t>Industry grouping</w:t>
            </w:r>
          </w:p>
        </w:tc>
        <w:tc>
          <w:tcPr>
            <w:tcW w:w="1660" w:type="dxa"/>
            <w:tcBorders>
              <w:top w:val="nil"/>
              <w:left w:val="nil"/>
              <w:bottom w:val="nil"/>
              <w:right w:val="nil"/>
            </w:tcBorders>
            <w:shd w:val="clear" w:color="auto" w:fill="auto"/>
            <w:vAlign w:val="center"/>
            <w:hideMark/>
          </w:tcPr>
          <w:p w14:paraId="69B8415F" w14:textId="77777777" w:rsidR="00B37CC0" w:rsidRPr="00F05339" w:rsidRDefault="00B37CC0" w:rsidP="00DF2591">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292.86</w:t>
            </w:r>
          </w:p>
        </w:tc>
        <w:tc>
          <w:tcPr>
            <w:tcW w:w="1660" w:type="dxa"/>
            <w:tcBorders>
              <w:top w:val="nil"/>
              <w:left w:val="nil"/>
              <w:bottom w:val="nil"/>
              <w:right w:val="nil"/>
            </w:tcBorders>
            <w:shd w:val="clear" w:color="auto" w:fill="auto"/>
            <w:vAlign w:val="center"/>
            <w:hideMark/>
          </w:tcPr>
          <w:p w14:paraId="5CB0DB23" w14:textId="77777777" w:rsidR="00B37CC0" w:rsidRPr="00F05339" w:rsidRDefault="00B37CC0" w:rsidP="00DF2591">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2.00</w:t>
            </w:r>
          </w:p>
        </w:tc>
        <w:tc>
          <w:tcPr>
            <w:tcW w:w="1660" w:type="dxa"/>
            <w:tcBorders>
              <w:top w:val="nil"/>
              <w:left w:val="nil"/>
              <w:bottom w:val="nil"/>
              <w:right w:val="nil"/>
            </w:tcBorders>
            <w:shd w:val="clear" w:color="auto" w:fill="auto"/>
            <w:vAlign w:val="center"/>
            <w:hideMark/>
          </w:tcPr>
          <w:p w14:paraId="07D3B0B3" w14:textId="77777777" w:rsidR="00B37CC0" w:rsidRPr="00F05339" w:rsidRDefault="00B37CC0" w:rsidP="00DF2591">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0.00</w:t>
            </w:r>
          </w:p>
        </w:tc>
        <w:tc>
          <w:tcPr>
            <w:tcW w:w="1660" w:type="dxa"/>
            <w:tcBorders>
              <w:top w:val="nil"/>
              <w:left w:val="nil"/>
              <w:bottom w:val="nil"/>
              <w:right w:val="nil"/>
            </w:tcBorders>
            <w:shd w:val="clear" w:color="auto" w:fill="auto"/>
            <w:vAlign w:val="center"/>
            <w:hideMark/>
          </w:tcPr>
          <w:p w14:paraId="5F2E747A" w14:textId="77777777" w:rsidR="00B37CC0" w:rsidRPr="00F05339" w:rsidRDefault="00B37CC0" w:rsidP="00DF2591">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1.71</w:t>
            </w:r>
          </w:p>
        </w:tc>
        <w:tc>
          <w:tcPr>
            <w:tcW w:w="1660" w:type="dxa"/>
            <w:tcBorders>
              <w:top w:val="nil"/>
              <w:left w:val="nil"/>
              <w:bottom w:val="nil"/>
              <w:right w:val="nil"/>
            </w:tcBorders>
            <w:shd w:val="clear" w:color="auto" w:fill="auto"/>
            <w:vAlign w:val="center"/>
            <w:hideMark/>
          </w:tcPr>
          <w:p w14:paraId="14376808" w14:textId="77777777" w:rsidR="00B37CC0" w:rsidRPr="00F05339" w:rsidRDefault="00B37CC0" w:rsidP="00DF2591">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9.02</w:t>
            </w:r>
          </w:p>
        </w:tc>
        <w:tc>
          <w:tcPr>
            <w:tcW w:w="1660" w:type="dxa"/>
            <w:tcBorders>
              <w:top w:val="nil"/>
              <w:left w:val="nil"/>
              <w:bottom w:val="nil"/>
              <w:right w:val="nil"/>
            </w:tcBorders>
            <w:shd w:val="clear" w:color="auto" w:fill="auto"/>
            <w:vAlign w:val="center"/>
            <w:hideMark/>
          </w:tcPr>
          <w:p w14:paraId="2C9EAA1D" w14:textId="77777777" w:rsidR="00B37CC0" w:rsidRPr="00F05339" w:rsidRDefault="00B37CC0" w:rsidP="00DF2591">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305.58</w:t>
            </w:r>
          </w:p>
        </w:tc>
      </w:tr>
      <w:tr w:rsidR="00B37CC0" w:rsidRPr="00F05339" w14:paraId="0395D03B" w14:textId="77777777" w:rsidTr="00DF2591">
        <w:trPr>
          <w:trHeight w:val="300"/>
        </w:trPr>
        <w:tc>
          <w:tcPr>
            <w:tcW w:w="2260" w:type="dxa"/>
            <w:tcBorders>
              <w:top w:val="nil"/>
              <w:left w:val="nil"/>
              <w:bottom w:val="nil"/>
              <w:right w:val="nil"/>
            </w:tcBorders>
            <w:shd w:val="clear" w:color="auto" w:fill="auto"/>
            <w:vAlign w:val="center"/>
            <w:hideMark/>
          </w:tcPr>
          <w:p w14:paraId="7C9A3E0C" w14:textId="77777777" w:rsidR="00B37CC0" w:rsidRPr="00F05339" w:rsidRDefault="00B37CC0" w:rsidP="00DF2591">
            <w:pPr>
              <w:spacing w:after="0" w:line="240" w:lineRule="auto"/>
              <w:rPr>
                <w:rFonts w:ascii="Arial" w:eastAsia="Times New Roman" w:hAnsi="Arial" w:cs="Arial"/>
                <w:b/>
                <w:bCs/>
                <w:color w:val="3A5FAC"/>
                <w:lang w:eastAsia="en-GB"/>
              </w:rPr>
            </w:pPr>
            <w:r w:rsidRPr="00F05339">
              <w:rPr>
                <w:rFonts w:ascii="Arial" w:eastAsia="Times New Roman" w:hAnsi="Arial" w:cs="Arial"/>
                <w:b/>
                <w:bCs/>
                <w:color w:val="3A5FAC"/>
                <w:lang w:eastAsia="en-GB"/>
              </w:rPr>
              <w:t>Research grouping</w:t>
            </w:r>
          </w:p>
        </w:tc>
        <w:tc>
          <w:tcPr>
            <w:tcW w:w="1660" w:type="dxa"/>
            <w:tcBorders>
              <w:top w:val="nil"/>
              <w:left w:val="nil"/>
              <w:bottom w:val="nil"/>
              <w:right w:val="nil"/>
            </w:tcBorders>
            <w:shd w:val="clear" w:color="auto" w:fill="auto"/>
            <w:vAlign w:val="center"/>
            <w:hideMark/>
          </w:tcPr>
          <w:p w14:paraId="444B57F5" w14:textId="77777777" w:rsidR="00B37CC0" w:rsidRPr="00F05339" w:rsidRDefault="00B37CC0" w:rsidP="00DF2591">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147.54</w:t>
            </w:r>
          </w:p>
        </w:tc>
        <w:tc>
          <w:tcPr>
            <w:tcW w:w="1660" w:type="dxa"/>
            <w:tcBorders>
              <w:top w:val="nil"/>
              <w:left w:val="nil"/>
              <w:bottom w:val="nil"/>
              <w:right w:val="nil"/>
            </w:tcBorders>
            <w:shd w:val="clear" w:color="auto" w:fill="auto"/>
            <w:vAlign w:val="center"/>
            <w:hideMark/>
          </w:tcPr>
          <w:p w14:paraId="197A26C0" w14:textId="77777777" w:rsidR="00B37CC0" w:rsidRPr="00F05339" w:rsidRDefault="00B37CC0" w:rsidP="00DF2591">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1.50</w:t>
            </w:r>
          </w:p>
        </w:tc>
        <w:tc>
          <w:tcPr>
            <w:tcW w:w="1660" w:type="dxa"/>
            <w:tcBorders>
              <w:top w:val="nil"/>
              <w:left w:val="nil"/>
              <w:bottom w:val="nil"/>
              <w:right w:val="nil"/>
            </w:tcBorders>
            <w:shd w:val="clear" w:color="auto" w:fill="auto"/>
            <w:vAlign w:val="center"/>
            <w:hideMark/>
          </w:tcPr>
          <w:p w14:paraId="7E2D57EE" w14:textId="77777777" w:rsidR="00B37CC0" w:rsidRPr="00F05339" w:rsidRDefault="00B37CC0" w:rsidP="00DF2591">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0.00</w:t>
            </w:r>
          </w:p>
        </w:tc>
        <w:tc>
          <w:tcPr>
            <w:tcW w:w="1660" w:type="dxa"/>
            <w:tcBorders>
              <w:top w:val="nil"/>
              <w:left w:val="nil"/>
              <w:bottom w:val="nil"/>
              <w:right w:val="nil"/>
            </w:tcBorders>
            <w:shd w:val="clear" w:color="auto" w:fill="auto"/>
            <w:vAlign w:val="center"/>
            <w:hideMark/>
          </w:tcPr>
          <w:p w14:paraId="2C9350E7" w14:textId="77777777" w:rsidR="00B37CC0" w:rsidRPr="00F05339" w:rsidRDefault="00B37CC0" w:rsidP="00DF2591">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2.51</w:t>
            </w:r>
          </w:p>
        </w:tc>
        <w:tc>
          <w:tcPr>
            <w:tcW w:w="1660" w:type="dxa"/>
            <w:tcBorders>
              <w:top w:val="nil"/>
              <w:left w:val="nil"/>
              <w:bottom w:val="nil"/>
              <w:right w:val="nil"/>
            </w:tcBorders>
            <w:shd w:val="clear" w:color="auto" w:fill="auto"/>
            <w:vAlign w:val="center"/>
            <w:hideMark/>
          </w:tcPr>
          <w:p w14:paraId="2A93891B" w14:textId="77777777" w:rsidR="00B37CC0" w:rsidRPr="00F05339" w:rsidRDefault="00B37CC0" w:rsidP="00DF2591">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3.63</w:t>
            </w:r>
          </w:p>
        </w:tc>
        <w:tc>
          <w:tcPr>
            <w:tcW w:w="1660" w:type="dxa"/>
            <w:tcBorders>
              <w:top w:val="nil"/>
              <w:left w:val="nil"/>
              <w:bottom w:val="nil"/>
              <w:right w:val="nil"/>
            </w:tcBorders>
            <w:shd w:val="clear" w:color="auto" w:fill="auto"/>
            <w:vAlign w:val="center"/>
            <w:hideMark/>
          </w:tcPr>
          <w:p w14:paraId="78FFACD1" w14:textId="77777777" w:rsidR="00B37CC0" w:rsidRPr="00F05339" w:rsidRDefault="00B37CC0" w:rsidP="00DF2591">
            <w:pPr>
              <w:spacing w:after="0" w:line="240" w:lineRule="auto"/>
              <w:jc w:val="right"/>
              <w:rPr>
                <w:rFonts w:ascii="Arial" w:eastAsia="Times New Roman" w:hAnsi="Arial" w:cs="Arial"/>
                <w:color w:val="000000"/>
                <w:lang w:eastAsia="en-GB"/>
              </w:rPr>
            </w:pPr>
            <w:r w:rsidRPr="00F05339">
              <w:rPr>
                <w:rFonts w:ascii="Arial" w:eastAsia="Times New Roman" w:hAnsi="Arial" w:cs="Arial"/>
                <w:color w:val="000000"/>
                <w:lang w:eastAsia="en-GB"/>
              </w:rPr>
              <w:t>155.18</w:t>
            </w:r>
          </w:p>
        </w:tc>
      </w:tr>
      <w:tr w:rsidR="00B37CC0" w:rsidRPr="00F05339" w14:paraId="21257855" w14:textId="77777777" w:rsidTr="00DF2591">
        <w:trPr>
          <w:trHeight w:val="300"/>
        </w:trPr>
        <w:tc>
          <w:tcPr>
            <w:tcW w:w="2260" w:type="dxa"/>
            <w:tcBorders>
              <w:top w:val="nil"/>
              <w:left w:val="nil"/>
              <w:bottom w:val="nil"/>
              <w:right w:val="nil"/>
            </w:tcBorders>
            <w:shd w:val="clear" w:color="auto" w:fill="auto"/>
            <w:vAlign w:val="center"/>
            <w:hideMark/>
          </w:tcPr>
          <w:p w14:paraId="2562161E" w14:textId="77777777" w:rsidR="00B37CC0" w:rsidRPr="00F05339" w:rsidRDefault="00B37CC0" w:rsidP="00DF2591">
            <w:pPr>
              <w:spacing w:after="0" w:line="240" w:lineRule="auto"/>
              <w:rPr>
                <w:rFonts w:ascii="Arial" w:eastAsia="Times New Roman" w:hAnsi="Arial" w:cs="Arial"/>
                <w:b/>
                <w:bCs/>
                <w:color w:val="0070C0"/>
                <w:lang w:eastAsia="en-GB"/>
              </w:rPr>
            </w:pPr>
            <w:r w:rsidRPr="00F05339">
              <w:rPr>
                <w:rFonts w:ascii="Arial" w:eastAsia="Times New Roman" w:hAnsi="Arial" w:cs="Arial"/>
                <w:b/>
                <w:bCs/>
                <w:color w:val="0070C0"/>
                <w:lang w:eastAsia="en-GB"/>
              </w:rPr>
              <w:t>TOTAL</w:t>
            </w:r>
          </w:p>
        </w:tc>
        <w:tc>
          <w:tcPr>
            <w:tcW w:w="1660" w:type="dxa"/>
            <w:tcBorders>
              <w:top w:val="nil"/>
              <w:left w:val="nil"/>
              <w:bottom w:val="nil"/>
              <w:right w:val="nil"/>
            </w:tcBorders>
            <w:shd w:val="clear" w:color="auto" w:fill="auto"/>
            <w:vAlign w:val="center"/>
            <w:hideMark/>
          </w:tcPr>
          <w:p w14:paraId="3EF73698" w14:textId="77777777" w:rsidR="00B37CC0" w:rsidRPr="00F05339" w:rsidRDefault="00B37CC0" w:rsidP="00DF2591">
            <w:pPr>
              <w:spacing w:after="0" w:line="240" w:lineRule="auto"/>
              <w:jc w:val="right"/>
              <w:rPr>
                <w:rFonts w:ascii="Arial" w:eastAsia="Times New Roman" w:hAnsi="Arial" w:cs="Arial"/>
                <w:b/>
                <w:bCs/>
                <w:color w:val="0070C0"/>
                <w:lang w:eastAsia="en-GB"/>
              </w:rPr>
            </w:pPr>
            <w:r w:rsidRPr="00F05339">
              <w:rPr>
                <w:rFonts w:ascii="Arial" w:eastAsia="Times New Roman" w:hAnsi="Arial" w:cs="Arial"/>
                <w:b/>
                <w:bCs/>
                <w:color w:val="0070C0"/>
                <w:lang w:eastAsia="en-GB"/>
              </w:rPr>
              <w:t>440.39</w:t>
            </w:r>
          </w:p>
        </w:tc>
        <w:tc>
          <w:tcPr>
            <w:tcW w:w="1660" w:type="dxa"/>
            <w:tcBorders>
              <w:top w:val="nil"/>
              <w:left w:val="nil"/>
              <w:bottom w:val="nil"/>
              <w:right w:val="nil"/>
            </w:tcBorders>
            <w:shd w:val="clear" w:color="auto" w:fill="auto"/>
            <w:vAlign w:val="center"/>
            <w:hideMark/>
          </w:tcPr>
          <w:p w14:paraId="2CF639D0" w14:textId="77777777" w:rsidR="00B37CC0" w:rsidRPr="00F05339" w:rsidRDefault="00B37CC0" w:rsidP="00DF2591">
            <w:pPr>
              <w:spacing w:after="0" w:line="240" w:lineRule="auto"/>
              <w:jc w:val="right"/>
              <w:rPr>
                <w:rFonts w:ascii="Arial" w:eastAsia="Times New Roman" w:hAnsi="Arial" w:cs="Arial"/>
                <w:b/>
                <w:bCs/>
                <w:color w:val="0070C0"/>
                <w:lang w:eastAsia="en-GB"/>
              </w:rPr>
            </w:pPr>
            <w:r w:rsidRPr="00F05339">
              <w:rPr>
                <w:rFonts w:ascii="Arial" w:eastAsia="Times New Roman" w:hAnsi="Arial" w:cs="Arial"/>
                <w:b/>
                <w:bCs/>
                <w:color w:val="0070C0"/>
                <w:lang w:eastAsia="en-GB"/>
              </w:rPr>
              <w:t>3.50</w:t>
            </w:r>
          </w:p>
        </w:tc>
        <w:tc>
          <w:tcPr>
            <w:tcW w:w="1660" w:type="dxa"/>
            <w:tcBorders>
              <w:top w:val="nil"/>
              <w:left w:val="nil"/>
              <w:bottom w:val="nil"/>
              <w:right w:val="nil"/>
            </w:tcBorders>
            <w:shd w:val="clear" w:color="auto" w:fill="auto"/>
            <w:vAlign w:val="center"/>
            <w:hideMark/>
          </w:tcPr>
          <w:p w14:paraId="7D14BD2C" w14:textId="77777777" w:rsidR="00B37CC0" w:rsidRPr="00F05339" w:rsidRDefault="00B37CC0" w:rsidP="00DF2591">
            <w:pPr>
              <w:spacing w:after="0" w:line="240" w:lineRule="auto"/>
              <w:jc w:val="right"/>
              <w:rPr>
                <w:rFonts w:ascii="Arial" w:eastAsia="Times New Roman" w:hAnsi="Arial" w:cs="Arial"/>
                <w:b/>
                <w:bCs/>
                <w:color w:val="0070C0"/>
                <w:lang w:eastAsia="en-GB"/>
              </w:rPr>
            </w:pPr>
            <w:r w:rsidRPr="00F05339">
              <w:rPr>
                <w:rFonts w:ascii="Arial" w:eastAsia="Times New Roman" w:hAnsi="Arial" w:cs="Arial"/>
                <w:b/>
                <w:bCs/>
                <w:color w:val="0070C0"/>
                <w:lang w:eastAsia="en-GB"/>
              </w:rPr>
              <w:t>0.00</w:t>
            </w:r>
          </w:p>
        </w:tc>
        <w:tc>
          <w:tcPr>
            <w:tcW w:w="1660" w:type="dxa"/>
            <w:tcBorders>
              <w:top w:val="nil"/>
              <w:left w:val="nil"/>
              <w:bottom w:val="nil"/>
              <w:right w:val="nil"/>
            </w:tcBorders>
            <w:shd w:val="clear" w:color="auto" w:fill="auto"/>
            <w:vAlign w:val="center"/>
            <w:hideMark/>
          </w:tcPr>
          <w:p w14:paraId="1FAA2E4F" w14:textId="77777777" w:rsidR="00B37CC0" w:rsidRPr="00F05339" w:rsidRDefault="00B37CC0" w:rsidP="00DF2591">
            <w:pPr>
              <w:spacing w:after="0" w:line="240" w:lineRule="auto"/>
              <w:jc w:val="right"/>
              <w:rPr>
                <w:rFonts w:ascii="Arial" w:eastAsia="Times New Roman" w:hAnsi="Arial" w:cs="Arial"/>
                <w:b/>
                <w:bCs/>
                <w:color w:val="0070C0"/>
                <w:lang w:eastAsia="en-GB"/>
              </w:rPr>
            </w:pPr>
            <w:r w:rsidRPr="00F05339">
              <w:rPr>
                <w:rFonts w:ascii="Arial" w:eastAsia="Times New Roman" w:hAnsi="Arial" w:cs="Arial"/>
                <w:b/>
                <w:bCs/>
                <w:color w:val="0070C0"/>
                <w:lang w:eastAsia="en-GB"/>
              </w:rPr>
              <w:t>4.22</w:t>
            </w:r>
          </w:p>
        </w:tc>
        <w:tc>
          <w:tcPr>
            <w:tcW w:w="1660" w:type="dxa"/>
            <w:tcBorders>
              <w:top w:val="nil"/>
              <w:left w:val="nil"/>
              <w:bottom w:val="nil"/>
              <w:right w:val="nil"/>
            </w:tcBorders>
            <w:shd w:val="clear" w:color="auto" w:fill="auto"/>
            <w:vAlign w:val="center"/>
            <w:hideMark/>
          </w:tcPr>
          <w:p w14:paraId="5EBF40C6" w14:textId="77777777" w:rsidR="00B37CC0" w:rsidRPr="00F05339" w:rsidRDefault="00B37CC0" w:rsidP="00DF2591">
            <w:pPr>
              <w:spacing w:after="0" w:line="240" w:lineRule="auto"/>
              <w:jc w:val="right"/>
              <w:rPr>
                <w:rFonts w:ascii="Arial" w:eastAsia="Times New Roman" w:hAnsi="Arial" w:cs="Arial"/>
                <w:b/>
                <w:bCs/>
                <w:color w:val="0070C0"/>
                <w:lang w:eastAsia="en-GB"/>
              </w:rPr>
            </w:pPr>
            <w:r w:rsidRPr="00F05339">
              <w:rPr>
                <w:rFonts w:ascii="Arial" w:eastAsia="Times New Roman" w:hAnsi="Arial" w:cs="Arial"/>
                <w:b/>
                <w:bCs/>
                <w:color w:val="0070C0"/>
                <w:lang w:eastAsia="en-GB"/>
              </w:rPr>
              <w:t>12.65</w:t>
            </w:r>
          </w:p>
        </w:tc>
        <w:tc>
          <w:tcPr>
            <w:tcW w:w="1660" w:type="dxa"/>
            <w:tcBorders>
              <w:top w:val="nil"/>
              <w:left w:val="nil"/>
              <w:bottom w:val="nil"/>
              <w:right w:val="nil"/>
            </w:tcBorders>
            <w:shd w:val="clear" w:color="auto" w:fill="auto"/>
            <w:vAlign w:val="center"/>
            <w:hideMark/>
          </w:tcPr>
          <w:p w14:paraId="6A24CEFC" w14:textId="77777777" w:rsidR="00B37CC0" w:rsidRPr="00F05339" w:rsidRDefault="00B37CC0" w:rsidP="00DF2591">
            <w:pPr>
              <w:spacing w:after="0" w:line="240" w:lineRule="auto"/>
              <w:jc w:val="right"/>
              <w:rPr>
                <w:rFonts w:ascii="Arial" w:eastAsia="Times New Roman" w:hAnsi="Arial" w:cs="Arial"/>
                <w:b/>
                <w:bCs/>
                <w:color w:val="0070C0"/>
                <w:lang w:eastAsia="en-GB"/>
              </w:rPr>
            </w:pPr>
            <w:r w:rsidRPr="00F05339">
              <w:rPr>
                <w:rFonts w:ascii="Arial" w:eastAsia="Times New Roman" w:hAnsi="Arial" w:cs="Arial"/>
                <w:b/>
                <w:bCs/>
                <w:color w:val="0070C0"/>
                <w:lang w:eastAsia="en-GB"/>
              </w:rPr>
              <w:t>460.76</w:t>
            </w:r>
          </w:p>
        </w:tc>
      </w:tr>
    </w:tbl>
    <w:p w14:paraId="24595973" w14:textId="77777777" w:rsidR="00751C81" w:rsidRPr="00F05339" w:rsidRDefault="00751C81" w:rsidP="00437D72">
      <w:pPr>
        <w:jc w:val="both"/>
        <w:rPr>
          <w:rFonts w:ascii="Arial" w:hAnsi="Arial" w:cs="Arial"/>
          <w:color w:val="0070C0"/>
        </w:rPr>
      </w:pPr>
    </w:p>
    <w:p w14:paraId="12C9460E" w14:textId="77777777" w:rsidR="00491E82" w:rsidRPr="00792B39" w:rsidRDefault="00FA30E5" w:rsidP="00491E82">
      <w:pPr>
        <w:pStyle w:val="Heading1"/>
        <w:numPr>
          <w:ilvl w:val="0"/>
          <w:numId w:val="1"/>
        </w:numPr>
        <w:jc w:val="both"/>
        <w:rPr>
          <w:rFonts w:ascii="Arial" w:hAnsi="Arial" w:cs="Arial"/>
        </w:rPr>
      </w:pPr>
      <w:bookmarkStart w:id="139" w:name="_Toc98496350"/>
      <w:bookmarkStart w:id="140" w:name="_Hlk98149799"/>
      <w:bookmarkStart w:id="141" w:name="_Toc101516071"/>
      <w:r w:rsidRPr="00792B39">
        <w:rPr>
          <w:rFonts w:ascii="Arial" w:hAnsi="Arial" w:cs="Arial"/>
        </w:rPr>
        <w:t>SUPPORT TO OPERATIONS</w:t>
      </w:r>
      <w:bookmarkEnd w:id="139"/>
      <w:bookmarkEnd w:id="141"/>
    </w:p>
    <w:p w14:paraId="4E91402E" w14:textId="77777777" w:rsidR="00FA30E5" w:rsidRPr="00792B39" w:rsidRDefault="009B2F0A" w:rsidP="00B45034">
      <w:pPr>
        <w:pStyle w:val="Heading3"/>
        <w:numPr>
          <w:ilvl w:val="1"/>
          <w:numId w:val="1"/>
        </w:numPr>
        <w:jc w:val="both"/>
        <w:rPr>
          <w:rFonts w:ascii="Arial" w:hAnsi="Arial" w:cs="Arial"/>
        </w:rPr>
      </w:pPr>
      <w:r>
        <w:rPr>
          <w:rFonts w:asciiTheme="minorHAnsi" w:hAnsiTheme="minorHAnsi"/>
        </w:rPr>
        <w:t xml:space="preserve"> </w:t>
      </w:r>
      <w:bookmarkStart w:id="142" w:name="_Toc98496351"/>
      <w:bookmarkStart w:id="143" w:name="_Toc101516072"/>
      <w:r w:rsidR="00FA30E5" w:rsidRPr="00792B39">
        <w:rPr>
          <w:rFonts w:ascii="Arial" w:hAnsi="Arial" w:cs="Arial"/>
        </w:rPr>
        <w:t>Communication activities</w:t>
      </w:r>
      <w:bookmarkEnd w:id="142"/>
      <w:bookmarkEnd w:id="143"/>
    </w:p>
    <w:p w14:paraId="1118F0F6" w14:textId="2E6FFF38" w:rsidR="009D3A38" w:rsidRDefault="00B55170" w:rsidP="009D3A38">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 xml:space="preserve">Communication activities focused in 2021 on two main areas: </w:t>
      </w:r>
      <w:r w:rsidR="00BB6E46">
        <w:rPr>
          <w:rFonts w:ascii="Arial" w:eastAsia="Times New Roman" w:hAnsi="Arial" w:cs="Arial"/>
          <w:sz w:val="24"/>
          <w:szCs w:val="20"/>
          <w:lang w:eastAsia="en-GB"/>
        </w:rPr>
        <w:t xml:space="preserve">continuing to </w:t>
      </w:r>
      <w:r w:rsidRPr="00B55170">
        <w:rPr>
          <w:rFonts w:ascii="Arial" w:eastAsia="Times New Roman" w:hAnsi="Arial" w:cs="Arial"/>
          <w:sz w:val="24"/>
          <w:szCs w:val="20"/>
          <w:lang w:eastAsia="en-GB"/>
        </w:rPr>
        <w:t>promot</w:t>
      </w:r>
      <w:r w:rsidR="00BB6E46">
        <w:rPr>
          <w:rFonts w:ascii="Arial" w:eastAsia="Times New Roman" w:hAnsi="Arial" w:cs="Arial"/>
          <w:sz w:val="24"/>
          <w:szCs w:val="20"/>
          <w:lang w:eastAsia="en-GB"/>
        </w:rPr>
        <w:t>e</w:t>
      </w:r>
      <w:r w:rsidRPr="00B55170">
        <w:rPr>
          <w:rFonts w:ascii="Arial" w:eastAsia="Times New Roman" w:hAnsi="Arial" w:cs="Arial"/>
          <w:sz w:val="24"/>
          <w:szCs w:val="20"/>
          <w:lang w:eastAsia="en-GB"/>
        </w:rPr>
        <w:t xml:space="preserve"> the results of the JU and the development of the communications framework for the successor of the JU. This last part included the development of a new brand and visual identity, the development of the new website (</w:t>
      </w:r>
      <w:hyperlink r:id="rId56" w:history="1">
        <w:r w:rsidRPr="002C7BC9">
          <w:rPr>
            <w:rStyle w:val="Hyperlink"/>
            <w:rFonts w:ascii="Arial" w:eastAsia="Times New Roman" w:hAnsi="Arial" w:cs="Arial"/>
            <w:sz w:val="24"/>
            <w:szCs w:val="20"/>
            <w:lang w:eastAsia="en-GB"/>
          </w:rPr>
          <w:t>www.clean-hydrogen.europa.eu</w:t>
        </w:r>
      </w:hyperlink>
      <w:r w:rsidRPr="00B55170">
        <w:rPr>
          <w:rFonts w:ascii="Arial" w:eastAsia="Times New Roman" w:hAnsi="Arial" w:cs="Arial"/>
          <w:sz w:val="24"/>
          <w:szCs w:val="20"/>
          <w:lang w:eastAsia="en-GB"/>
        </w:rPr>
        <w:t>),</w:t>
      </w:r>
      <w:r>
        <w:rPr>
          <w:rFonts w:ascii="Arial" w:eastAsia="Times New Roman" w:hAnsi="Arial" w:cs="Arial"/>
          <w:sz w:val="24"/>
          <w:szCs w:val="20"/>
          <w:lang w:eastAsia="en-GB"/>
        </w:rPr>
        <w:t xml:space="preserve"> </w:t>
      </w:r>
      <w:r w:rsidRPr="00B55170">
        <w:rPr>
          <w:rFonts w:ascii="Arial" w:eastAsia="Times New Roman" w:hAnsi="Arial" w:cs="Arial"/>
          <w:sz w:val="24"/>
          <w:szCs w:val="20"/>
          <w:lang w:eastAsia="en-GB"/>
        </w:rPr>
        <w:t xml:space="preserve">and of a new newsletter.  A communications campaign was launched around the new partnership, generating media coverage and awareness among various stakeholders.  </w:t>
      </w:r>
    </w:p>
    <w:p w14:paraId="46CC2106" w14:textId="77777777" w:rsidR="00B55170" w:rsidRPr="00B55170" w:rsidRDefault="00B55170" w:rsidP="00B55170">
      <w:pPr>
        <w:jc w:val="both"/>
        <w:rPr>
          <w:rFonts w:ascii="Arial" w:eastAsia="Times New Roman" w:hAnsi="Arial" w:cs="Arial"/>
          <w:b/>
          <w:bCs/>
          <w:sz w:val="24"/>
          <w:szCs w:val="20"/>
          <w:lang w:eastAsia="en-GB"/>
        </w:rPr>
      </w:pPr>
      <w:r w:rsidRPr="00B55170">
        <w:rPr>
          <w:rFonts w:ascii="Arial" w:eastAsia="Times New Roman" w:hAnsi="Arial" w:cs="Arial"/>
          <w:b/>
          <w:bCs/>
          <w:sz w:val="24"/>
          <w:szCs w:val="20"/>
          <w:lang w:eastAsia="en-GB"/>
        </w:rPr>
        <w:t>2.1.1.</w:t>
      </w:r>
      <w:r w:rsidRPr="00B55170">
        <w:rPr>
          <w:rFonts w:ascii="Arial" w:eastAsia="Times New Roman" w:hAnsi="Arial" w:cs="Arial"/>
          <w:b/>
          <w:bCs/>
          <w:sz w:val="24"/>
          <w:szCs w:val="20"/>
          <w:lang w:eastAsia="en-GB"/>
        </w:rPr>
        <w:tab/>
      </w:r>
      <w:r w:rsidRPr="00792B39">
        <w:rPr>
          <w:rFonts w:ascii="Arial" w:eastAsia="Times New Roman" w:hAnsi="Arial" w:cs="Arial"/>
          <w:b/>
          <w:bCs/>
          <w:sz w:val="26"/>
          <w:szCs w:val="26"/>
          <w:lang w:eastAsia="en-GB"/>
        </w:rPr>
        <w:t>Communication campaigns and media relations</w:t>
      </w:r>
    </w:p>
    <w:p w14:paraId="201BC6C3" w14:textId="77777777"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 xml:space="preserve">Media partnerships: </w:t>
      </w:r>
    </w:p>
    <w:p w14:paraId="64A4E9AD" w14:textId="7E94B421"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 xml:space="preserve">Throughout 2021, </w:t>
      </w:r>
      <w:r>
        <w:rPr>
          <w:rFonts w:ascii="Arial" w:eastAsia="Times New Roman" w:hAnsi="Arial" w:cs="Arial"/>
          <w:sz w:val="24"/>
          <w:szCs w:val="20"/>
          <w:lang w:eastAsia="en-GB"/>
        </w:rPr>
        <w:t xml:space="preserve">the </w:t>
      </w:r>
      <w:r w:rsidRPr="00B55170">
        <w:rPr>
          <w:rFonts w:ascii="Arial" w:eastAsia="Times New Roman" w:hAnsi="Arial" w:cs="Arial"/>
          <w:sz w:val="24"/>
          <w:szCs w:val="20"/>
          <w:lang w:eastAsia="en-GB"/>
        </w:rPr>
        <w:t xml:space="preserve">JU had partnered with several European media to promote the results of its projects and to announce the launch of its successor, the Clean Hydrogen JU. </w:t>
      </w:r>
    </w:p>
    <w:p w14:paraId="25A56C96" w14:textId="199ED51F" w:rsidR="00B55170" w:rsidRDefault="00B55170" w:rsidP="00B55170">
      <w:pPr>
        <w:jc w:val="both"/>
        <w:rPr>
          <w:rFonts w:ascii="Arial" w:eastAsia="Times New Roman" w:hAnsi="Arial" w:cs="Arial"/>
          <w:sz w:val="24"/>
          <w:szCs w:val="20"/>
          <w:lang w:eastAsia="en-GB"/>
        </w:rPr>
      </w:pPr>
      <w:r>
        <w:rPr>
          <w:rFonts w:ascii="Arial" w:eastAsia="Times New Roman" w:hAnsi="Arial" w:cs="Arial"/>
          <w:sz w:val="24"/>
          <w:szCs w:val="20"/>
          <w:lang w:eastAsia="en-GB"/>
        </w:rPr>
        <w:t>The JU</w:t>
      </w:r>
      <w:r w:rsidRPr="00B55170">
        <w:rPr>
          <w:rFonts w:ascii="Arial" w:eastAsia="Times New Roman" w:hAnsi="Arial" w:cs="Arial"/>
          <w:sz w:val="24"/>
          <w:szCs w:val="20"/>
          <w:lang w:eastAsia="en-GB"/>
        </w:rPr>
        <w:t xml:space="preserve"> has been supporting the Hydrogen section in Euractiv’s Energy &amp; Environment hub since May 2020. </w:t>
      </w:r>
      <w:r>
        <w:rPr>
          <w:rFonts w:ascii="Arial" w:eastAsia="Times New Roman" w:hAnsi="Arial" w:cs="Arial"/>
          <w:sz w:val="24"/>
          <w:szCs w:val="20"/>
          <w:lang w:eastAsia="en-GB"/>
        </w:rPr>
        <w:t xml:space="preserve">The </w:t>
      </w:r>
      <w:r w:rsidRPr="00B55170">
        <w:rPr>
          <w:rFonts w:ascii="Arial" w:eastAsia="Times New Roman" w:hAnsi="Arial" w:cs="Arial"/>
          <w:sz w:val="24"/>
          <w:szCs w:val="20"/>
          <w:lang w:eastAsia="en-GB"/>
        </w:rPr>
        <w:t>JU has also been supporting the Hydrogène and Wasserstoff sections on euractiv.fr and euractiv.de, respectively. The sections have included on-going editorial coverage of relevant issues, based on direct contact with EURACTIV journalists. The section also offered visibility to JU with the inclusion of its logo, and video teaser. As of 12 January 2021, the section generated 92,148 page views coming from 69,576 unique visitors.</w:t>
      </w:r>
    </w:p>
    <w:p w14:paraId="7347992C" w14:textId="1CCC1AAF" w:rsidR="00B55170" w:rsidRPr="00B55170" w:rsidRDefault="00B55170" w:rsidP="00B55170">
      <w:pPr>
        <w:jc w:val="both"/>
        <w:rPr>
          <w:rFonts w:ascii="Arial" w:eastAsia="Times New Roman" w:hAnsi="Arial" w:cs="Arial"/>
          <w:sz w:val="24"/>
          <w:szCs w:val="20"/>
          <w:lang w:eastAsia="en-GB"/>
        </w:rPr>
      </w:pPr>
      <w:r>
        <w:rPr>
          <w:noProof/>
          <w:lang w:eastAsia="en-GB"/>
        </w:rPr>
        <w:lastRenderedPageBreak/>
        <w:drawing>
          <wp:inline distT="0" distB="0" distL="0" distR="0" wp14:anchorId="5D285C0D" wp14:editId="70604C91">
            <wp:extent cx="5638800" cy="42545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38800" cy="4254500"/>
                    </a:xfrm>
                    <a:prstGeom prst="rect">
                      <a:avLst/>
                    </a:prstGeom>
                    <a:noFill/>
                    <a:ln>
                      <a:noFill/>
                    </a:ln>
                  </pic:spPr>
                </pic:pic>
              </a:graphicData>
            </a:graphic>
          </wp:inline>
        </w:drawing>
      </w:r>
    </w:p>
    <w:p w14:paraId="56438F0E" w14:textId="77777777"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 xml:space="preserve"> </w:t>
      </w:r>
    </w:p>
    <w:p w14:paraId="78D400BF" w14:textId="77777777"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In addition, we have partnered with Politico Europe for the launch of the Clean Hydrogen Joint Undertaking, using a multi-platform approach – including homepage takeover and POLITICO Studio editorial – to create a solid awareness campaign.</w:t>
      </w:r>
    </w:p>
    <w:p w14:paraId="782D9878" w14:textId="77777777"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 xml:space="preserve"> </w:t>
      </w:r>
    </w:p>
    <w:p w14:paraId="083F21D1" w14:textId="2D08DE98"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lastRenderedPageBreak/>
        <w:t xml:space="preserve"> </w:t>
      </w:r>
      <w:r>
        <w:rPr>
          <w:noProof/>
          <w:lang w:eastAsia="en-GB"/>
        </w:rPr>
        <w:drawing>
          <wp:inline distT="0" distB="0" distL="0" distR="0" wp14:anchorId="48504329" wp14:editId="4A2D62D9">
            <wp:extent cx="2552700" cy="3457575"/>
            <wp:effectExtent l="0" t="0" r="0" b="9525"/>
            <wp:docPr id="37" name="Picture 3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211129 - FCH homepage takeover November 29 tablet.png"/>
                    <pic:cNvPicPr/>
                  </pic:nvPicPr>
                  <pic:blipFill>
                    <a:blip r:embed="rId58">
                      <a:extLst>
                        <a:ext uri="{28A0092B-C50C-407E-A947-70E740481C1C}">
                          <a14:useLocalDpi xmlns:a14="http://schemas.microsoft.com/office/drawing/2010/main" val="0"/>
                        </a:ext>
                      </a:extLst>
                    </a:blip>
                    <a:stretch>
                      <a:fillRect/>
                    </a:stretch>
                  </pic:blipFill>
                  <pic:spPr>
                    <a:xfrm>
                      <a:off x="0" y="0"/>
                      <a:ext cx="2552700" cy="3457575"/>
                    </a:xfrm>
                    <a:prstGeom prst="rect">
                      <a:avLst/>
                    </a:prstGeom>
                  </pic:spPr>
                </pic:pic>
              </a:graphicData>
            </a:graphic>
          </wp:inline>
        </w:drawing>
      </w:r>
    </w:p>
    <w:p w14:paraId="790109E4" w14:textId="4C3B62F7" w:rsid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 xml:space="preserve"> </w:t>
      </w:r>
      <w:r>
        <w:rPr>
          <w:noProof/>
          <w:lang w:eastAsia="en-GB"/>
        </w:rPr>
        <w:drawing>
          <wp:inline distT="0" distB="0" distL="0" distR="0" wp14:anchorId="155A06B0" wp14:editId="39BF4769">
            <wp:extent cx="5727700" cy="4241800"/>
            <wp:effectExtent l="0" t="0" r="6350"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27700" cy="4241800"/>
                    </a:xfrm>
                    <a:prstGeom prst="rect">
                      <a:avLst/>
                    </a:prstGeom>
                    <a:noFill/>
                    <a:ln>
                      <a:noFill/>
                    </a:ln>
                  </pic:spPr>
                </pic:pic>
              </a:graphicData>
            </a:graphic>
          </wp:inline>
        </w:drawing>
      </w:r>
    </w:p>
    <w:p w14:paraId="1D5089A1" w14:textId="17CC6AD3" w:rsidR="00B55170" w:rsidRDefault="00B55170" w:rsidP="00B55170">
      <w:pPr>
        <w:jc w:val="both"/>
        <w:rPr>
          <w:rFonts w:ascii="Arial" w:eastAsia="Times New Roman" w:hAnsi="Arial" w:cs="Arial"/>
          <w:sz w:val="24"/>
          <w:szCs w:val="20"/>
          <w:lang w:eastAsia="en-GB"/>
        </w:rPr>
      </w:pPr>
    </w:p>
    <w:p w14:paraId="182ADBA0" w14:textId="082AB647" w:rsidR="00B55170" w:rsidRPr="00B55170" w:rsidRDefault="00B55170" w:rsidP="00B55170">
      <w:pPr>
        <w:jc w:val="both"/>
        <w:rPr>
          <w:rFonts w:ascii="Arial" w:eastAsia="Times New Roman" w:hAnsi="Arial" w:cs="Arial"/>
          <w:sz w:val="24"/>
          <w:szCs w:val="20"/>
          <w:lang w:eastAsia="en-GB"/>
        </w:rPr>
      </w:pPr>
      <w:r>
        <w:rPr>
          <w:noProof/>
          <w:lang w:eastAsia="en-GB"/>
        </w:rPr>
        <w:lastRenderedPageBreak/>
        <w:drawing>
          <wp:inline distT="0" distB="0" distL="0" distR="0" wp14:anchorId="699F7EC8" wp14:editId="26CFB951">
            <wp:extent cx="3067050" cy="39052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67050" cy="3905250"/>
                    </a:xfrm>
                    <a:prstGeom prst="rect">
                      <a:avLst/>
                    </a:prstGeom>
                    <a:noFill/>
                    <a:ln>
                      <a:noFill/>
                    </a:ln>
                  </pic:spPr>
                </pic:pic>
              </a:graphicData>
            </a:graphic>
          </wp:inline>
        </w:drawing>
      </w:r>
    </w:p>
    <w:p w14:paraId="37E56E28" w14:textId="77777777"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 xml:space="preserve">A series of 5 articles was published in the specialised “Science and business” website, representing a network of universities, companies, and research and policy organisations. Some of the themes included: “How Europe can stay at the heart of the hydrogen economy”, “Unleashing the potential of hydrogen for Europe’s ports”, “Bringing hydrogen power to the steel industry”, “Awarding excellence in hydrogen technology”, “How Europe can step-up shift to clean hydrogen power”. </w:t>
      </w:r>
    </w:p>
    <w:p w14:paraId="77BFD7F5" w14:textId="3B8FCB6D"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 xml:space="preserve"> </w:t>
      </w:r>
      <w:r>
        <w:rPr>
          <w:noProof/>
          <w:lang w:eastAsia="en-GB"/>
        </w:rPr>
        <w:drawing>
          <wp:inline distT="0" distB="0" distL="0" distR="0" wp14:anchorId="167BE1ED" wp14:editId="299705F5">
            <wp:extent cx="4729692" cy="3460750"/>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733872" cy="3463809"/>
                    </a:xfrm>
                    <a:prstGeom prst="rect">
                      <a:avLst/>
                    </a:prstGeom>
                    <a:noFill/>
                    <a:ln>
                      <a:noFill/>
                    </a:ln>
                  </pic:spPr>
                </pic:pic>
              </a:graphicData>
            </a:graphic>
          </wp:inline>
        </w:drawing>
      </w:r>
    </w:p>
    <w:p w14:paraId="15CCD3A2" w14:textId="7D62CE90"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lastRenderedPageBreak/>
        <w:t>The partnership with H2 View, an established platform to support and promote the growing hydrogen economy, continued to promote the JU projects and success stories within the ‘Pillars of Progress’ section and the monthly opinion columns from the JU Executive Director. The Pillars of Progress series continued receiving positive attention in 2021.</w:t>
      </w:r>
    </w:p>
    <w:p w14:paraId="6DDFAA9E" w14:textId="138E271B"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 xml:space="preserve"> </w:t>
      </w:r>
      <w:r>
        <w:rPr>
          <w:noProof/>
          <w:lang w:eastAsia="en-GB"/>
        </w:rPr>
        <w:drawing>
          <wp:inline distT="0" distB="0" distL="0" distR="0" wp14:anchorId="21B1D601" wp14:editId="3E6BBA9B">
            <wp:extent cx="2569626" cy="3019647"/>
            <wp:effectExtent l="0" t="0" r="254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18747" cy="3077371"/>
                    </a:xfrm>
                    <a:prstGeom prst="rect">
                      <a:avLst/>
                    </a:prstGeom>
                    <a:noFill/>
                    <a:ln>
                      <a:noFill/>
                    </a:ln>
                  </pic:spPr>
                </pic:pic>
              </a:graphicData>
            </a:graphic>
          </wp:inline>
        </w:drawing>
      </w:r>
      <w:r w:rsidRPr="00B55170">
        <w:rPr>
          <w:rFonts w:ascii="Arial" w:eastAsia="Times New Roman" w:hAnsi="Arial" w:cs="Arial"/>
          <w:sz w:val="24"/>
          <w:szCs w:val="20"/>
          <w:lang w:eastAsia="en-GB"/>
        </w:rPr>
        <w:tab/>
        <w:t xml:space="preserve"> </w:t>
      </w:r>
      <w:r>
        <w:rPr>
          <w:noProof/>
          <w:lang w:eastAsia="en-GB"/>
        </w:rPr>
        <w:drawing>
          <wp:inline distT="0" distB="0" distL="0" distR="0" wp14:anchorId="4F7F00C3" wp14:editId="5B4C3F1B">
            <wp:extent cx="2828925" cy="1994535"/>
            <wp:effectExtent l="0" t="0" r="9525"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82416" cy="2032249"/>
                    </a:xfrm>
                    <a:prstGeom prst="rect">
                      <a:avLst/>
                    </a:prstGeom>
                    <a:noFill/>
                    <a:ln>
                      <a:noFill/>
                    </a:ln>
                  </pic:spPr>
                </pic:pic>
              </a:graphicData>
            </a:graphic>
          </wp:inline>
        </w:drawing>
      </w:r>
    </w:p>
    <w:p w14:paraId="38A15527" w14:textId="77777777" w:rsidR="00B55170" w:rsidRPr="00B55170" w:rsidRDefault="00B55170" w:rsidP="00B55170">
      <w:pPr>
        <w:jc w:val="both"/>
        <w:rPr>
          <w:rFonts w:ascii="Arial" w:eastAsia="Times New Roman" w:hAnsi="Arial" w:cs="Arial"/>
          <w:sz w:val="24"/>
          <w:szCs w:val="20"/>
          <w:lang w:eastAsia="en-GB"/>
        </w:rPr>
      </w:pPr>
    </w:p>
    <w:p w14:paraId="204C866C" w14:textId="171DC91A"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 xml:space="preserve">Another partnership, with Brussels Times, allowed the JU to reach out to a large audience and obtain more than 1.900.000 views by publishing two promoted articles on the magazine’s homepage. </w:t>
      </w:r>
    </w:p>
    <w:p w14:paraId="32CD9B20" w14:textId="1E716292"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 xml:space="preserve"> </w:t>
      </w:r>
      <w:r w:rsidRPr="00B55170">
        <w:rPr>
          <w:rFonts w:ascii="Arial" w:eastAsia="Times New Roman" w:hAnsi="Arial" w:cs="Arial"/>
          <w:sz w:val="24"/>
          <w:szCs w:val="20"/>
          <w:lang w:eastAsia="en-GB"/>
        </w:rPr>
        <w:tab/>
      </w:r>
      <w:r>
        <w:rPr>
          <w:b/>
          <w:bCs/>
          <w:noProof/>
          <w:lang w:eastAsia="en-GB"/>
        </w:rPr>
        <w:drawing>
          <wp:inline distT="0" distB="0" distL="0" distR="0" wp14:anchorId="0E811DCD" wp14:editId="0A610B35">
            <wp:extent cx="2094388" cy="3125707"/>
            <wp:effectExtent l="0" t="0" r="127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78369" cy="3251043"/>
                    </a:xfrm>
                    <a:prstGeom prst="rect">
                      <a:avLst/>
                    </a:prstGeom>
                    <a:noFill/>
                    <a:ln>
                      <a:noFill/>
                    </a:ln>
                  </pic:spPr>
                </pic:pic>
              </a:graphicData>
            </a:graphic>
          </wp:inline>
        </w:drawing>
      </w:r>
      <w:r w:rsidRPr="00B55170">
        <w:rPr>
          <w:rFonts w:ascii="Arial" w:eastAsia="Times New Roman" w:hAnsi="Arial" w:cs="Arial"/>
          <w:sz w:val="24"/>
          <w:szCs w:val="20"/>
          <w:lang w:eastAsia="en-GB"/>
        </w:rPr>
        <w:t xml:space="preserve"> </w:t>
      </w:r>
      <w:r>
        <w:object w:dxaOrig="5130" w:dyaOrig="7310" w14:anchorId="59975A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7.45pt;height:266.95pt" o:ole="">
            <v:imagedata r:id="rId65" o:title=""/>
          </v:shape>
          <o:OLEObject Type="Embed" ProgID="PBrush" ShapeID="_x0000_i1025" DrawAspect="Content" ObjectID="_1712128971" r:id="rId66"/>
        </w:object>
      </w:r>
    </w:p>
    <w:p w14:paraId="0586AC55" w14:textId="77777777" w:rsidR="00B55170" w:rsidRPr="00B55170" w:rsidRDefault="00B55170" w:rsidP="00B55170">
      <w:pPr>
        <w:jc w:val="both"/>
        <w:rPr>
          <w:rFonts w:ascii="Arial" w:eastAsia="Times New Roman" w:hAnsi="Arial" w:cs="Arial"/>
          <w:sz w:val="24"/>
          <w:szCs w:val="20"/>
          <w:lang w:eastAsia="en-GB"/>
        </w:rPr>
      </w:pPr>
    </w:p>
    <w:p w14:paraId="14C4F5D1" w14:textId="77777777" w:rsidR="00B55170" w:rsidRPr="00B55170" w:rsidRDefault="00B55170" w:rsidP="00B55170">
      <w:pPr>
        <w:jc w:val="both"/>
        <w:rPr>
          <w:rFonts w:ascii="Arial" w:eastAsia="Times New Roman" w:hAnsi="Arial" w:cs="Arial"/>
          <w:sz w:val="24"/>
          <w:szCs w:val="20"/>
          <w:lang w:eastAsia="en-GB"/>
        </w:rPr>
      </w:pPr>
    </w:p>
    <w:p w14:paraId="63170893" w14:textId="77777777" w:rsidR="00B55170" w:rsidRPr="00B55170" w:rsidRDefault="00B55170" w:rsidP="00B55170">
      <w:pPr>
        <w:jc w:val="both"/>
        <w:rPr>
          <w:rFonts w:ascii="Arial" w:eastAsia="Times New Roman" w:hAnsi="Arial" w:cs="Arial"/>
          <w:b/>
          <w:bCs/>
          <w:sz w:val="24"/>
          <w:szCs w:val="20"/>
          <w:lang w:eastAsia="en-GB"/>
        </w:rPr>
      </w:pPr>
      <w:r w:rsidRPr="00B55170">
        <w:rPr>
          <w:rFonts w:ascii="Arial" w:eastAsia="Times New Roman" w:hAnsi="Arial" w:cs="Arial"/>
          <w:sz w:val="24"/>
          <w:szCs w:val="20"/>
          <w:lang w:eastAsia="en-GB"/>
        </w:rPr>
        <w:t>2.1.2.</w:t>
      </w:r>
      <w:r w:rsidRPr="00B55170">
        <w:rPr>
          <w:rFonts w:ascii="Arial" w:eastAsia="Times New Roman" w:hAnsi="Arial" w:cs="Arial"/>
          <w:sz w:val="24"/>
          <w:szCs w:val="20"/>
          <w:lang w:eastAsia="en-GB"/>
        </w:rPr>
        <w:tab/>
      </w:r>
      <w:r w:rsidRPr="00B55170">
        <w:rPr>
          <w:rFonts w:ascii="Arial" w:eastAsia="Times New Roman" w:hAnsi="Arial" w:cs="Arial"/>
          <w:b/>
          <w:bCs/>
          <w:sz w:val="24"/>
          <w:szCs w:val="20"/>
          <w:lang w:eastAsia="en-GB"/>
        </w:rPr>
        <w:t xml:space="preserve">Delivering the new branding and visual identity </w:t>
      </w:r>
    </w:p>
    <w:p w14:paraId="05B0CB58" w14:textId="77777777"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With the publication of the Council Regulation (EU) 2021/2085 in the Official Journal, the Clean Hydrogen Partnership (legal name: Clean Hydrogen Joint Undertaking) is the universal successor of the Fuel Cells and Hydrogen 2 Joint Undertaking (FCH 2 JU) and has taken over its legacy portfolio.</w:t>
      </w:r>
    </w:p>
    <w:p w14:paraId="6A759D92" w14:textId="77777777"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 xml:space="preserve">To ensure a smooth transition to its new name and keep connected with its extended audience, the Clean Hydrogen Partnership underwent a rebranding process. The results of the rebranding were a new logo, corporate visual </w:t>
      </w:r>
      <w:proofErr w:type="gramStart"/>
      <w:r w:rsidRPr="00B55170">
        <w:rPr>
          <w:rFonts w:ascii="Arial" w:eastAsia="Times New Roman" w:hAnsi="Arial" w:cs="Arial"/>
          <w:sz w:val="24"/>
          <w:szCs w:val="20"/>
          <w:lang w:eastAsia="en-GB"/>
        </w:rPr>
        <w:t>identity</w:t>
      </w:r>
      <w:proofErr w:type="gramEnd"/>
      <w:r w:rsidRPr="00B55170">
        <w:rPr>
          <w:rFonts w:ascii="Arial" w:eastAsia="Times New Roman" w:hAnsi="Arial" w:cs="Arial"/>
          <w:sz w:val="24"/>
          <w:szCs w:val="20"/>
          <w:lang w:eastAsia="en-GB"/>
        </w:rPr>
        <w:t xml:space="preserve"> and website.</w:t>
      </w:r>
    </w:p>
    <w:p w14:paraId="3D2AE97E" w14:textId="181CC823"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We aligned our style with the Visual Identity Guidelines of the European Commission</w:t>
      </w:r>
      <w:r w:rsidR="00BB6E46">
        <w:rPr>
          <w:rFonts w:ascii="Arial" w:eastAsia="Times New Roman" w:hAnsi="Arial" w:cs="Arial"/>
          <w:sz w:val="24"/>
          <w:szCs w:val="20"/>
          <w:lang w:eastAsia="en-GB"/>
        </w:rPr>
        <w:t xml:space="preserve">, </w:t>
      </w:r>
      <w:proofErr w:type="gramStart"/>
      <w:r w:rsidR="00BB6E46">
        <w:rPr>
          <w:rFonts w:ascii="Arial" w:eastAsia="Times New Roman" w:hAnsi="Arial" w:cs="Arial"/>
          <w:sz w:val="24"/>
          <w:szCs w:val="20"/>
          <w:lang w:eastAsia="en-GB"/>
        </w:rPr>
        <w:t>in particular the</w:t>
      </w:r>
      <w:proofErr w:type="gramEnd"/>
      <w:r w:rsidR="00BB6E46">
        <w:rPr>
          <w:rFonts w:ascii="Arial" w:eastAsia="Times New Roman" w:hAnsi="Arial" w:cs="Arial"/>
          <w:sz w:val="24"/>
          <w:szCs w:val="20"/>
          <w:lang w:eastAsia="en-GB"/>
        </w:rPr>
        <w:t xml:space="preserve"> newly developed ones for partnerships</w:t>
      </w:r>
      <w:r w:rsidRPr="00B55170">
        <w:rPr>
          <w:rFonts w:ascii="Arial" w:eastAsia="Times New Roman" w:hAnsi="Arial" w:cs="Arial"/>
          <w:sz w:val="24"/>
          <w:szCs w:val="20"/>
          <w:lang w:eastAsia="en-GB"/>
        </w:rPr>
        <w:t>. Our aim was to create a compelling, modern visual identity that speaks to our overall brand promise, which is further used across all our communication touch points: website, social media, collateral print, email signature, business cards, e-newsletter, letterheads, presentations, branded products (vehicles, trucks, buses etc.)</w:t>
      </w:r>
    </w:p>
    <w:p w14:paraId="324C5F7D" w14:textId="77777777" w:rsidR="00B55170" w:rsidRPr="000F7D24" w:rsidRDefault="00B55170" w:rsidP="00B55170">
      <w:pPr>
        <w:jc w:val="both"/>
        <w:rPr>
          <w:rFonts w:ascii="Arial" w:eastAsia="Times New Roman" w:hAnsi="Arial" w:cs="Arial"/>
          <w:b/>
          <w:bCs/>
          <w:sz w:val="24"/>
          <w:szCs w:val="20"/>
          <w:lang w:eastAsia="en-GB"/>
        </w:rPr>
      </w:pPr>
      <w:r w:rsidRPr="00B55170">
        <w:rPr>
          <w:rFonts w:ascii="Arial" w:eastAsia="Times New Roman" w:hAnsi="Arial" w:cs="Arial"/>
          <w:sz w:val="24"/>
          <w:szCs w:val="20"/>
          <w:lang w:eastAsia="en-GB"/>
        </w:rPr>
        <w:t>2.1.3.</w:t>
      </w:r>
      <w:r w:rsidRPr="00B55170">
        <w:rPr>
          <w:rFonts w:ascii="Arial" w:eastAsia="Times New Roman" w:hAnsi="Arial" w:cs="Arial"/>
          <w:sz w:val="24"/>
          <w:szCs w:val="20"/>
          <w:lang w:eastAsia="en-GB"/>
        </w:rPr>
        <w:tab/>
      </w:r>
      <w:r w:rsidRPr="000F7D24">
        <w:rPr>
          <w:rFonts w:ascii="Arial" w:eastAsia="Times New Roman" w:hAnsi="Arial" w:cs="Arial"/>
          <w:b/>
          <w:bCs/>
          <w:sz w:val="24"/>
          <w:szCs w:val="20"/>
          <w:lang w:eastAsia="en-GB"/>
        </w:rPr>
        <w:t xml:space="preserve">Website and social media </w:t>
      </w:r>
    </w:p>
    <w:p w14:paraId="36F81AA6" w14:textId="529B7561"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The Clean Hydrogen</w:t>
      </w:r>
      <w:r w:rsidR="00BB6E46">
        <w:rPr>
          <w:rFonts w:ascii="Arial" w:eastAsia="Times New Roman" w:hAnsi="Arial" w:cs="Arial"/>
          <w:sz w:val="24"/>
          <w:szCs w:val="20"/>
          <w:lang w:eastAsia="en-GB"/>
        </w:rPr>
        <w:t xml:space="preserve"> JU</w:t>
      </w:r>
      <w:r w:rsidRPr="00B55170">
        <w:rPr>
          <w:rFonts w:ascii="Arial" w:eastAsia="Times New Roman" w:hAnsi="Arial" w:cs="Arial"/>
          <w:sz w:val="24"/>
          <w:szCs w:val="20"/>
          <w:lang w:eastAsia="en-GB"/>
        </w:rPr>
        <w:t xml:space="preserve"> website -www.clean-hydrogen.europa.eu</w:t>
      </w:r>
      <w:r w:rsidR="000F7D24">
        <w:rPr>
          <w:rFonts w:ascii="Arial" w:eastAsia="Times New Roman" w:hAnsi="Arial" w:cs="Arial"/>
          <w:sz w:val="24"/>
          <w:szCs w:val="20"/>
          <w:lang w:eastAsia="en-GB"/>
        </w:rPr>
        <w:t xml:space="preserve">- </w:t>
      </w:r>
      <w:r w:rsidRPr="00B55170">
        <w:rPr>
          <w:rFonts w:ascii="Arial" w:eastAsia="Times New Roman" w:hAnsi="Arial" w:cs="Arial"/>
          <w:sz w:val="24"/>
          <w:szCs w:val="20"/>
          <w:lang w:eastAsia="en-GB"/>
        </w:rPr>
        <w:t>was launched in December 2021, shortly after the Hydrogen Week</w:t>
      </w:r>
      <w:r w:rsidR="00BB6E46">
        <w:rPr>
          <w:rFonts w:ascii="Arial" w:eastAsia="Times New Roman" w:hAnsi="Arial" w:cs="Arial"/>
          <w:sz w:val="24"/>
          <w:szCs w:val="20"/>
          <w:lang w:eastAsia="en-GB"/>
        </w:rPr>
        <w:t xml:space="preserve"> and the entering into force of the new partnership</w:t>
      </w:r>
      <w:r w:rsidRPr="00B55170">
        <w:rPr>
          <w:rFonts w:ascii="Arial" w:eastAsia="Times New Roman" w:hAnsi="Arial" w:cs="Arial"/>
          <w:sz w:val="24"/>
          <w:szCs w:val="20"/>
          <w:lang w:eastAsia="en-GB"/>
        </w:rPr>
        <w:t xml:space="preserve">; the website boasts a new structure and visual presentation, compatible with the europa.eu – EWPP platform, on which is hosted. You can now browse through all our initiatives, events, news and find out more about the new partnership. The FCH </w:t>
      </w:r>
      <w:r w:rsidR="00ED45D2">
        <w:rPr>
          <w:rFonts w:ascii="Arial" w:eastAsia="Times New Roman" w:hAnsi="Arial" w:cs="Arial"/>
          <w:sz w:val="24"/>
          <w:szCs w:val="20"/>
          <w:lang w:eastAsia="en-GB"/>
        </w:rPr>
        <w:t xml:space="preserve">2 </w:t>
      </w:r>
      <w:r w:rsidRPr="00B55170">
        <w:rPr>
          <w:rFonts w:ascii="Arial" w:eastAsia="Times New Roman" w:hAnsi="Arial" w:cs="Arial"/>
          <w:sz w:val="24"/>
          <w:szCs w:val="20"/>
          <w:lang w:eastAsia="en-GB"/>
        </w:rPr>
        <w:t xml:space="preserve">JU website </w:t>
      </w:r>
      <w:hyperlink r:id="rId67" w:history="1">
        <w:r w:rsidR="000F7D24" w:rsidRPr="002C7BC9">
          <w:rPr>
            <w:rStyle w:val="Hyperlink"/>
            <w:rFonts w:ascii="Arial" w:eastAsia="Times New Roman" w:hAnsi="Arial" w:cs="Arial"/>
            <w:sz w:val="24"/>
            <w:szCs w:val="20"/>
            <w:lang w:eastAsia="en-GB"/>
          </w:rPr>
          <w:t>https://www.fch.europa.eu/</w:t>
        </w:r>
      </w:hyperlink>
      <w:r w:rsidR="000F7D24">
        <w:rPr>
          <w:rFonts w:ascii="Arial" w:eastAsia="Times New Roman" w:hAnsi="Arial" w:cs="Arial"/>
          <w:sz w:val="24"/>
          <w:szCs w:val="20"/>
          <w:lang w:eastAsia="en-GB"/>
        </w:rPr>
        <w:t xml:space="preserve"> </w:t>
      </w:r>
      <w:proofErr w:type="gramStart"/>
      <w:r w:rsidRPr="00B55170">
        <w:rPr>
          <w:rFonts w:ascii="Arial" w:eastAsia="Times New Roman" w:hAnsi="Arial" w:cs="Arial"/>
          <w:sz w:val="24"/>
          <w:szCs w:val="20"/>
          <w:lang w:eastAsia="en-GB"/>
        </w:rPr>
        <w:t xml:space="preserve">will </w:t>
      </w:r>
      <w:r w:rsidR="00BB6E46">
        <w:rPr>
          <w:rFonts w:ascii="Arial" w:eastAsia="Times New Roman" w:hAnsi="Arial" w:cs="Arial"/>
          <w:sz w:val="24"/>
          <w:szCs w:val="20"/>
          <w:lang w:eastAsia="en-GB"/>
        </w:rPr>
        <w:t xml:space="preserve"> still</w:t>
      </w:r>
      <w:proofErr w:type="gramEnd"/>
      <w:r w:rsidR="00BB6E46">
        <w:rPr>
          <w:rFonts w:ascii="Arial" w:eastAsia="Times New Roman" w:hAnsi="Arial" w:cs="Arial"/>
          <w:sz w:val="24"/>
          <w:szCs w:val="20"/>
          <w:lang w:eastAsia="en-GB"/>
        </w:rPr>
        <w:t xml:space="preserve"> continue to exist until the end of FCH 2 JU legacy</w:t>
      </w:r>
      <w:r w:rsidRPr="00B55170">
        <w:rPr>
          <w:rFonts w:ascii="Arial" w:eastAsia="Times New Roman" w:hAnsi="Arial" w:cs="Arial"/>
          <w:sz w:val="24"/>
          <w:szCs w:val="20"/>
          <w:lang w:eastAsia="en-GB"/>
        </w:rPr>
        <w:t>.</w:t>
      </w:r>
    </w:p>
    <w:p w14:paraId="67231CC8" w14:textId="77777777" w:rsidR="00B55170" w:rsidRPr="000F7D24" w:rsidRDefault="00B55170" w:rsidP="00B55170">
      <w:pPr>
        <w:jc w:val="both"/>
        <w:rPr>
          <w:rFonts w:ascii="Arial" w:eastAsia="Times New Roman" w:hAnsi="Arial" w:cs="Arial"/>
          <w:b/>
          <w:bCs/>
          <w:sz w:val="24"/>
          <w:szCs w:val="20"/>
          <w:lang w:eastAsia="en-GB"/>
        </w:rPr>
      </w:pPr>
      <w:r w:rsidRPr="000F7D24">
        <w:rPr>
          <w:rFonts w:ascii="Arial" w:eastAsia="Times New Roman" w:hAnsi="Arial" w:cs="Arial"/>
          <w:b/>
          <w:bCs/>
          <w:sz w:val="24"/>
          <w:szCs w:val="20"/>
          <w:lang w:eastAsia="en-GB"/>
        </w:rPr>
        <w:t xml:space="preserve">Social media </w:t>
      </w:r>
      <w:proofErr w:type="gramStart"/>
      <w:r w:rsidRPr="000F7D24">
        <w:rPr>
          <w:rFonts w:ascii="Arial" w:eastAsia="Times New Roman" w:hAnsi="Arial" w:cs="Arial"/>
          <w:b/>
          <w:bCs/>
          <w:sz w:val="24"/>
          <w:szCs w:val="20"/>
          <w:lang w:eastAsia="en-GB"/>
        </w:rPr>
        <w:t>evolution  2020</w:t>
      </w:r>
      <w:proofErr w:type="gramEnd"/>
      <w:r w:rsidRPr="000F7D24">
        <w:rPr>
          <w:rFonts w:ascii="Arial" w:eastAsia="Times New Roman" w:hAnsi="Arial" w:cs="Arial"/>
          <w:b/>
          <w:bCs/>
          <w:sz w:val="24"/>
          <w:szCs w:val="20"/>
          <w:lang w:eastAsia="en-GB"/>
        </w:rPr>
        <w:t xml:space="preserve"> – 2021</w:t>
      </w:r>
    </w:p>
    <w:p w14:paraId="491413A0" w14:textId="77777777"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2021 marked a continued growth of social media channels, in particular LinkedIn and You Tube, in accordance with the new trends and the yearly media plan.</w:t>
      </w:r>
    </w:p>
    <w:p w14:paraId="2241BB57" w14:textId="77777777"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 xml:space="preserve">   </w:t>
      </w:r>
    </w:p>
    <w:p w14:paraId="4EBCC6C1" w14:textId="7AB2B851" w:rsidR="00B55170" w:rsidRPr="000F7D24" w:rsidRDefault="00B55170" w:rsidP="00B55170">
      <w:pPr>
        <w:jc w:val="both"/>
        <w:rPr>
          <w:rFonts w:ascii="Arial" w:eastAsia="Times New Roman" w:hAnsi="Arial" w:cs="Arial"/>
          <w:b/>
          <w:bCs/>
          <w:sz w:val="24"/>
          <w:szCs w:val="20"/>
          <w:lang w:eastAsia="en-GB"/>
        </w:rPr>
      </w:pPr>
      <w:r w:rsidRPr="000F7D24">
        <w:rPr>
          <w:rFonts w:ascii="Arial" w:eastAsia="Times New Roman" w:hAnsi="Arial" w:cs="Arial"/>
          <w:b/>
          <w:bCs/>
          <w:sz w:val="24"/>
          <w:szCs w:val="20"/>
          <w:lang w:eastAsia="en-GB"/>
        </w:rPr>
        <w:t xml:space="preserve"> </w:t>
      </w:r>
      <w:r w:rsidR="000F7D24" w:rsidRPr="000F7D24">
        <w:rPr>
          <w:rFonts w:ascii="Arial" w:eastAsia="Times New Roman" w:hAnsi="Arial" w:cs="Arial"/>
          <w:b/>
          <w:bCs/>
          <w:sz w:val="24"/>
          <w:szCs w:val="20"/>
          <w:lang w:eastAsia="en-GB"/>
        </w:rPr>
        <w:t xml:space="preserve">Figure 2.1 </w:t>
      </w:r>
    </w:p>
    <w:p w14:paraId="3555ED8B" w14:textId="0954B84E" w:rsidR="000F7D24" w:rsidRDefault="000F7D24" w:rsidP="00B55170">
      <w:pPr>
        <w:jc w:val="both"/>
        <w:rPr>
          <w:rFonts w:ascii="Arial" w:eastAsia="Times New Roman" w:hAnsi="Arial" w:cs="Arial"/>
          <w:sz w:val="24"/>
          <w:szCs w:val="20"/>
          <w:lang w:eastAsia="en-GB"/>
        </w:rPr>
      </w:pPr>
      <w:r w:rsidRPr="008A4612">
        <w:rPr>
          <w:rFonts w:cs="Calibri"/>
          <w:noProof/>
          <w:lang w:eastAsia="en-GB"/>
        </w:rPr>
        <w:lastRenderedPageBreak/>
        <w:drawing>
          <wp:inline distT="0" distB="0" distL="0" distR="0" wp14:anchorId="178917B6" wp14:editId="015F7185">
            <wp:extent cx="5401340" cy="3508744"/>
            <wp:effectExtent l="0" t="0" r="8890" b="15875"/>
            <wp:docPr id="44" name="Chart 44">
              <a:extLst xmlns:a="http://schemas.openxmlformats.org/drawingml/2006/main">
                <a:ext uri="{FF2B5EF4-FFF2-40B4-BE49-F238E27FC236}">
                  <a16:creationId xmlns:a16="http://schemas.microsoft.com/office/drawing/2014/main" id="{A43E7015-08CE-43FC-9B09-E8F9DBFBD8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122F30CD" w14:textId="30F2E8E0" w:rsidR="00CA254F" w:rsidRPr="00B55170" w:rsidRDefault="00CA254F" w:rsidP="00B55170">
      <w:pPr>
        <w:jc w:val="both"/>
        <w:rPr>
          <w:rFonts w:ascii="Arial" w:eastAsia="Times New Roman" w:hAnsi="Arial" w:cs="Arial"/>
          <w:sz w:val="24"/>
          <w:szCs w:val="20"/>
          <w:lang w:eastAsia="en-GB"/>
        </w:rPr>
      </w:pPr>
      <w:r>
        <w:rPr>
          <w:rFonts w:ascii="Arial" w:eastAsia="Times New Roman" w:hAnsi="Arial" w:cs="Arial"/>
          <w:sz w:val="24"/>
          <w:szCs w:val="20"/>
          <w:lang w:val="en-US" w:eastAsia="en-GB"/>
        </w:rPr>
        <w:t xml:space="preserve">According to YouTube </w:t>
      </w:r>
      <w:r w:rsidR="00F00EBE">
        <w:rPr>
          <w:rFonts w:ascii="Arial" w:eastAsia="Times New Roman" w:hAnsi="Arial" w:cs="Arial"/>
          <w:sz w:val="24"/>
          <w:szCs w:val="20"/>
          <w:lang w:val="en-US" w:eastAsia="en-GB"/>
        </w:rPr>
        <w:t>key performance metrics</w:t>
      </w:r>
      <w:r>
        <w:rPr>
          <w:rFonts w:ascii="Arial" w:eastAsia="Times New Roman" w:hAnsi="Arial" w:cs="Arial"/>
          <w:sz w:val="24"/>
          <w:szCs w:val="20"/>
          <w:lang w:val="en-US" w:eastAsia="en-GB"/>
        </w:rPr>
        <w:t>,</w:t>
      </w:r>
      <w:r w:rsidRPr="00CA254F">
        <w:rPr>
          <w:rFonts w:ascii="Arial" w:eastAsia="Times New Roman" w:hAnsi="Arial" w:cs="Arial"/>
          <w:sz w:val="24"/>
          <w:szCs w:val="20"/>
          <w:lang w:val="en-US" w:eastAsia="en-GB"/>
        </w:rPr>
        <w:t xml:space="preserve"> </w:t>
      </w:r>
      <w:r>
        <w:rPr>
          <w:rFonts w:ascii="Arial" w:eastAsia="Times New Roman" w:hAnsi="Arial" w:cs="Arial"/>
          <w:sz w:val="24"/>
          <w:szCs w:val="20"/>
          <w:lang w:val="en-US" w:eastAsia="en-GB"/>
        </w:rPr>
        <w:t>the official channel of the JU recorded</w:t>
      </w:r>
      <w:r w:rsidR="00F00EBE">
        <w:rPr>
          <w:rFonts w:ascii="Arial" w:eastAsia="Times New Roman" w:hAnsi="Arial" w:cs="Arial"/>
          <w:sz w:val="24"/>
          <w:szCs w:val="20"/>
          <w:lang w:val="en-US" w:eastAsia="en-GB"/>
        </w:rPr>
        <w:t xml:space="preserve"> increased figures in 2021: the number of views tripled (from </w:t>
      </w:r>
      <w:r w:rsidR="009D5B9F">
        <w:rPr>
          <w:rFonts w:ascii="Arial" w:eastAsia="Times New Roman" w:hAnsi="Arial" w:cs="Arial"/>
          <w:sz w:val="24"/>
          <w:szCs w:val="20"/>
          <w:lang w:val="en-US" w:eastAsia="en-GB"/>
        </w:rPr>
        <w:t>3912 in 2020 to 11.333 views in 2021). Additionally, the channel became more popular in 2021: the YouTube search engine reported 1.188 queries mentioning the name of the JU, compared to 428 in 2020.</w:t>
      </w:r>
    </w:p>
    <w:p w14:paraId="3B21C543" w14:textId="11366EF0" w:rsid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 xml:space="preserve"> </w:t>
      </w:r>
      <w:r w:rsidR="000F7D24" w:rsidRPr="008A4612">
        <w:rPr>
          <w:rFonts w:cs="Calibri"/>
          <w:noProof/>
          <w:lang w:eastAsia="en-GB"/>
        </w:rPr>
        <w:drawing>
          <wp:inline distT="0" distB="0" distL="0" distR="0" wp14:anchorId="1F19C4B7" wp14:editId="3A9C5B13">
            <wp:extent cx="5401310" cy="3284855"/>
            <wp:effectExtent l="0" t="0" r="8890" b="10795"/>
            <wp:docPr id="45" name="Chart 45">
              <a:extLst xmlns:a="http://schemas.openxmlformats.org/drawingml/2006/main">
                <a:ext uri="{FF2B5EF4-FFF2-40B4-BE49-F238E27FC236}">
                  <a16:creationId xmlns:a16="http://schemas.microsoft.com/office/drawing/2014/main" id="{8AC732DC-FB1A-46C2-B9EE-F7F3174302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704A99D8" w14:textId="23AECACC" w:rsidR="000F7D24" w:rsidRDefault="00BB6E0C" w:rsidP="00B55170">
      <w:pPr>
        <w:jc w:val="both"/>
        <w:rPr>
          <w:rFonts w:ascii="Arial" w:eastAsia="Times New Roman" w:hAnsi="Arial" w:cs="Arial"/>
          <w:sz w:val="24"/>
          <w:szCs w:val="20"/>
          <w:lang w:eastAsia="en-GB"/>
        </w:rPr>
      </w:pPr>
      <w:r>
        <w:rPr>
          <w:rFonts w:ascii="Arial" w:eastAsia="Times New Roman" w:hAnsi="Arial" w:cs="Arial"/>
          <w:sz w:val="24"/>
          <w:szCs w:val="20"/>
          <w:lang w:eastAsia="en-GB"/>
        </w:rPr>
        <w:t>The summary of the official Twitter account, as well as the breakdown of additional data indicated that in 2021, the JU published less tweets</w:t>
      </w:r>
      <w:r w:rsidR="00EF0E5C">
        <w:rPr>
          <w:rFonts w:ascii="Arial" w:eastAsia="Times New Roman" w:hAnsi="Arial" w:cs="Arial"/>
          <w:sz w:val="24"/>
          <w:szCs w:val="20"/>
          <w:lang w:eastAsia="en-GB"/>
        </w:rPr>
        <w:t xml:space="preserve"> per month</w:t>
      </w:r>
      <w:r>
        <w:rPr>
          <w:rFonts w:ascii="Arial" w:eastAsia="Times New Roman" w:hAnsi="Arial" w:cs="Arial"/>
          <w:sz w:val="24"/>
          <w:szCs w:val="20"/>
          <w:lang w:eastAsia="en-GB"/>
        </w:rPr>
        <w:t xml:space="preserve"> (an average of 22 </w:t>
      </w:r>
      <w:r>
        <w:rPr>
          <w:rFonts w:ascii="Arial" w:eastAsia="Times New Roman" w:hAnsi="Arial" w:cs="Arial"/>
          <w:sz w:val="24"/>
          <w:szCs w:val="20"/>
          <w:lang w:eastAsia="en-GB"/>
        </w:rPr>
        <w:lastRenderedPageBreak/>
        <w:t>posts)</w:t>
      </w:r>
      <w:r w:rsidR="00EF0E5C">
        <w:rPr>
          <w:rFonts w:ascii="Arial" w:eastAsia="Times New Roman" w:hAnsi="Arial" w:cs="Arial"/>
          <w:sz w:val="24"/>
          <w:szCs w:val="20"/>
          <w:lang w:eastAsia="en-GB"/>
        </w:rPr>
        <w:t>,</w:t>
      </w:r>
      <w:r>
        <w:rPr>
          <w:rFonts w:ascii="Arial" w:eastAsia="Times New Roman" w:hAnsi="Arial" w:cs="Arial"/>
          <w:sz w:val="24"/>
          <w:szCs w:val="20"/>
          <w:lang w:eastAsia="en-GB"/>
        </w:rPr>
        <w:t xml:space="preserve"> compared to 2020 (an average of 30 posts). As a result, the average number of impressions</w:t>
      </w:r>
      <w:r>
        <w:rPr>
          <w:rStyle w:val="FootnoteReference"/>
          <w:rFonts w:ascii="Arial" w:eastAsia="Times New Roman" w:hAnsi="Arial" w:cs="Arial"/>
          <w:sz w:val="24"/>
          <w:szCs w:val="20"/>
          <w:lang w:eastAsia="en-GB"/>
        </w:rPr>
        <w:footnoteReference w:id="90"/>
      </w:r>
      <w:r>
        <w:rPr>
          <w:rFonts w:ascii="Arial" w:eastAsia="Times New Roman" w:hAnsi="Arial" w:cs="Arial"/>
          <w:sz w:val="24"/>
          <w:szCs w:val="20"/>
          <w:lang w:eastAsia="en-GB"/>
        </w:rPr>
        <w:t xml:space="preserve"> </w:t>
      </w:r>
      <w:r w:rsidR="00EF0E5C">
        <w:rPr>
          <w:rFonts w:ascii="Arial" w:eastAsia="Times New Roman" w:hAnsi="Arial" w:cs="Arial"/>
          <w:sz w:val="24"/>
          <w:szCs w:val="20"/>
          <w:lang w:eastAsia="en-GB"/>
        </w:rPr>
        <w:t xml:space="preserve">decreased </w:t>
      </w:r>
      <w:r w:rsidR="00CA48CD">
        <w:rPr>
          <w:rFonts w:ascii="Arial" w:eastAsia="Times New Roman" w:hAnsi="Arial" w:cs="Arial"/>
          <w:sz w:val="24"/>
          <w:szCs w:val="20"/>
          <w:lang w:eastAsia="en-GB"/>
        </w:rPr>
        <w:t>approximately 44%.</w:t>
      </w:r>
    </w:p>
    <w:p w14:paraId="16D89061" w14:textId="03A6A74A" w:rsidR="000F7D24" w:rsidRDefault="000F7D24" w:rsidP="00B55170">
      <w:pPr>
        <w:jc w:val="both"/>
        <w:rPr>
          <w:rFonts w:ascii="Arial" w:eastAsia="Times New Roman" w:hAnsi="Arial" w:cs="Arial"/>
          <w:sz w:val="24"/>
          <w:szCs w:val="20"/>
          <w:lang w:eastAsia="en-GB"/>
        </w:rPr>
      </w:pPr>
      <w:r w:rsidRPr="008A4612">
        <w:rPr>
          <w:rFonts w:cs="Calibri"/>
          <w:noProof/>
          <w:lang w:eastAsia="en-GB"/>
        </w:rPr>
        <w:drawing>
          <wp:inline distT="0" distB="0" distL="0" distR="0" wp14:anchorId="0F22E79E" wp14:editId="491C6486">
            <wp:extent cx="5486400" cy="3253563"/>
            <wp:effectExtent l="0" t="0" r="0" b="4445"/>
            <wp:docPr id="46" name="Chart 46">
              <a:extLst xmlns:a="http://schemas.openxmlformats.org/drawingml/2006/main">
                <a:ext uri="{FF2B5EF4-FFF2-40B4-BE49-F238E27FC236}">
                  <a16:creationId xmlns:a16="http://schemas.microsoft.com/office/drawing/2014/main" id="{B36BFA6C-29E6-4285-8D26-F99CF1F392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2B6C77AF" w14:textId="4318EED7" w:rsidR="00CA48CD" w:rsidRPr="00B55170" w:rsidRDefault="00CA48CD" w:rsidP="00B55170">
      <w:pPr>
        <w:jc w:val="both"/>
        <w:rPr>
          <w:rFonts w:ascii="Arial" w:eastAsia="Times New Roman" w:hAnsi="Arial" w:cs="Arial"/>
          <w:sz w:val="24"/>
          <w:szCs w:val="20"/>
          <w:lang w:eastAsia="en-GB"/>
        </w:rPr>
      </w:pPr>
      <w:r>
        <w:rPr>
          <w:rFonts w:ascii="Arial" w:eastAsia="Times New Roman" w:hAnsi="Arial" w:cs="Arial"/>
          <w:sz w:val="24"/>
          <w:szCs w:val="20"/>
          <w:lang w:eastAsia="en-GB"/>
        </w:rPr>
        <w:t xml:space="preserve">Contrary to Twitter, less content shared on LinkedIn platform in 2021 attracted </w:t>
      </w:r>
      <w:r w:rsidR="00003DE6">
        <w:rPr>
          <w:rFonts w:ascii="Arial" w:eastAsia="Times New Roman" w:hAnsi="Arial" w:cs="Arial"/>
          <w:sz w:val="24"/>
          <w:szCs w:val="20"/>
          <w:lang w:eastAsia="en-GB"/>
        </w:rPr>
        <w:t>more traffic and more engagement from the online community. Although the impressions KPI remained constant over these two years, the reach</w:t>
      </w:r>
      <w:r w:rsidR="00987A9B">
        <w:rPr>
          <w:rStyle w:val="FootnoteReference"/>
          <w:rFonts w:ascii="Arial" w:eastAsia="Times New Roman" w:hAnsi="Arial" w:cs="Arial"/>
          <w:sz w:val="24"/>
          <w:szCs w:val="20"/>
          <w:lang w:eastAsia="en-GB"/>
        </w:rPr>
        <w:footnoteReference w:id="91"/>
      </w:r>
      <w:r w:rsidR="00003DE6">
        <w:rPr>
          <w:rFonts w:ascii="Arial" w:eastAsia="Times New Roman" w:hAnsi="Arial" w:cs="Arial"/>
          <w:sz w:val="24"/>
          <w:szCs w:val="20"/>
          <w:lang w:eastAsia="en-GB"/>
        </w:rPr>
        <w:t xml:space="preserve"> increased substantially from an average of 1540 clicks/post in 2020, to 1916 clicks/post in 2021.</w:t>
      </w:r>
    </w:p>
    <w:p w14:paraId="19996B71" w14:textId="77777777" w:rsidR="00B55170" w:rsidRPr="00B55170" w:rsidRDefault="00B55170" w:rsidP="00B55170">
      <w:pPr>
        <w:jc w:val="both"/>
        <w:rPr>
          <w:rFonts w:ascii="Arial" w:eastAsia="Times New Roman" w:hAnsi="Arial" w:cs="Arial"/>
          <w:sz w:val="24"/>
          <w:szCs w:val="20"/>
          <w:lang w:eastAsia="en-GB"/>
        </w:rPr>
      </w:pPr>
      <w:r w:rsidRPr="000F7D24">
        <w:rPr>
          <w:rFonts w:ascii="Arial" w:eastAsia="Times New Roman" w:hAnsi="Arial" w:cs="Arial"/>
          <w:b/>
          <w:bCs/>
          <w:sz w:val="24"/>
          <w:szCs w:val="20"/>
          <w:lang w:eastAsia="en-GB"/>
        </w:rPr>
        <w:t>Monthly newsletters</w:t>
      </w:r>
      <w:r w:rsidRPr="00B55170">
        <w:rPr>
          <w:rFonts w:ascii="Arial" w:eastAsia="Times New Roman" w:hAnsi="Arial" w:cs="Arial"/>
          <w:sz w:val="24"/>
          <w:szCs w:val="20"/>
          <w:lang w:eastAsia="en-GB"/>
        </w:rPr>
        <w:t xml:space="preserve"> have been sent throughout 2021 to a database of more than 11.000 subscribers. In December 2021, following the transition to the new website and the new visual identity, a new newsletter has been developed based on the Newsroom platform provided by the European Commission’s DG CONNECT. The first issue of the Clean Hydrogen Partnership newsletter was sent out to a database comprising over 12.000 subscribers. </w:t>
      </w:r>
    </w:p>
    <w:p w14:paraId="2DBB8832" w14:textId="4E162976"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lastRenderedPageBreak/>
        <w:t xml:space="preserve"> </w:t>
      </w:r>
      <w:r w:rsidR="000F7D24">
        <w:rPr>
          <w:rFonts w:cs="Calibri"/>
          <w:noProof/>
          <w:lang w:eastAsia="en-GB"/>
        </w:rPr>
        <w:drawing>
          <wp:inline distT="0" distB="0" distL="0" distR="0" wp14:anchorId="43416CBB" wp14:editId="3FF52C1B">
            <wp:extent cx="5720080" cy="377444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20080" cy="3774440"/>
                    </a:xfrm>
                    <a:prstGeom prst="rect">
                      <a:avLst/>
                    </a:prstGeom>
                    <a:noFill/>
                    <a:ln>
                      <a:noFill/>
                    </a:ln>
                  </pic:spPr>
                </pic:pic>
              </a:graphicData>
            </a:graphic>
          </wp:inline>
        </w:drawing>
      </w:r>
    </w:p>
    <w:p w14:paraId="0E64BE35" w14:textId="77777777" w:rsidR="00B55170" w:rsidRPr="00B55170" w:rsidRDefault="00B55170" w:rsidP="00B55170">
      <w:pPr>
        <w:jc w:val="both"/>
        <w:rPr>
          <w:rFonts w:ascii="Arial" w:eastAsia="Times New Roman" w:hAnsi="Arial" w:cs="Arial"/>
          <w:sz w:val="24"/>
          <w:szCs w:val="20"/>
          <w:lang w:eastAsia="en-GB"/>
        </w:rPr>
      </w:pPr>
    </w:p>
    <w:p w14:paraId="49E1BB23" w14:textId="77777777" w:rsidR="00B55170" w:rsidRPr="000F7D24" w:rsidRDefault="00B55170" w:rsidP="00B55170">
      <w:pPr>
        <w:jc w:val="both"/>
        <w:rPr>
          <w:rFonts w:ascii="Arial" w:eastAsia="Times New Roman" w:hAnsi="Arial" w:cs="Arial"/>
          <w:b/>
          <w:bCs/>
          <w:sz w:val="24"/>
          <w:szCs w:val="20"/>
          <w:lang w:eastAsia="en-GB"/>
        </w:rPr>
      </w:pPr>
      <w:r w:rsidRPr="00B55170">
        <w:rPr>
          <w:rFonts w:ascii="Arial" w:eastAsia="Times New Roman" w:hAnsi="Arial" w:cs="Arial"/>
          <w:sz w:val="24"/>
          <w:szCs w:val="20"/>
          <w:lang w:eastAsia="en-GB"/>
        </w:rPr>
        <w:t>2.1.4.</w:t>
      </w:r>
      <w:r w:rsidRPr="00B55170">
        <w:rPr>
          <w:rFonts w:ascii="Arial" w:eastAsia="Times New Roman" w:hAnsi="Arial" w:cs="Arial"/>
          <w:sz w:val="24"/>
          <w:szCs w:val="20"/>
          <w:lang w:eastAsia="en-GB"/>
        </w:rPr>
        <w:tab/>
      </w:r>
      <w:r w:rsidRPr="000F7D24">
        <w:rPr>
          <w:rFonts w:ascii="Arial" w:eastAsia="Times New Roman" w:hAnsi="Arial" w:cs="Arial"/>
          <w:b/>
          <w:bCs/>
          <w:sz w:val="24"/>
          <w:szCs w:val="20"/>
          <w:lang w:eastAsia="en-GB"/>
        </w:rPr>
        <w:t xml:space="preserve">European Hydrogen Week </w:t>
      </w:r>
    </w:p>
    <w:p w14:paraId="73D51D48" w14:textId="77777777"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The second edition of European Hydrogen Week brought together over 2 000 participants from the public and private sectors across Europe and beyond to review progress and look ahead to new opportunities for the production and use of hydrogen throughout the economy.</w:t>
      </w:r>
    </w:p>
    <w:p w14:paraId="51D13EC1" w14:textId="71DC9CA8"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 xml:space="preserve">The event marked the public launch of the Clean Hydrogen Partnership – as the successor of the </w:t>
      </w:r>
      <w:r w:rsidR="009B379E">
        <w:rPr>
          <w:rFonts w:ascii="Arial" w:eastAsia="Times New Roman" w:hAnsi="Arial" w:cs="Arial"/>
          <w:sz w:val="24"/>
          <w:szCs w:val="20"/>
          <w:lang w:eastAsia="en-GB"/>
        </w:rPr>
        <w:t>FCH 2 JU</w:t>
      </w:r>
      <w:r w:rsidRPr="00B55170">
        <w:rPr>
          <w:rFonts w:ascii="Arial" w:eastAsia="Times New Roman" w:hAnsi="Arial" w:cs="Arial"/>
          <w:sz w:val="24"/>
          <w:szCs w:val="20"/>
          <w:lang w:eastAsia="en-GB"/>
        </w:rPr>
        <w:t xml:space="preserve">, in the presence of the President of the European Commission, Ursula von der Leyen. </w:t>
      </w:r>
    </w:p>
    <w:p w14:paraId="636145A8" w14:textId="602F4E23"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 xml:space="preserve"> </w:t>
      </w:r>
      <w:r w:rsidR="000F7D24">
        <w:rPr>
          <w:i/>
          <w:iCs/>
          <w:noProof/>
          <w:lang w:eastAsia="en-GB"/>
        </w:rPr>
        <w:drawing>
          <wp:inline distT="0" distB="0" distL="0" distR="0" wp14:anchorId="11D582F0" wp14:editId="470CEC15">
            <wp:extent cx="2591435" cy="1727241"/>
            <wp:effectExtent l="0" t="0" r="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CH29_105048 (ID 12670551).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612556" cy="1741318"/>
                    </a:xfrm>
                    <a:prstGeom prst="rect">
                      <a:avLst/>
                    </a:prstGeom>
                  </pic:spPr>
                </pic:pic>
              </a:graphicData>
            </a:graphic>
          </wp:inline>
        </w:drawing>
      </w:r>
    </w:p>
    <w:p w14:paraId="25BA2C2E" w14:textId="7B67F42B"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w:t>
      </w:r>
      <w:r w:rsidRPr="000F7D24">
        <w:rPr>
          <w:rFonts w:ascii="Arial" w:eastAsia="Times New Roman" w:hAnsi="Arial" w:cs="Arial"/>
          <w:i/>
          <w:iCs/>
          <w:sz w:val="24"/>
          <w:szCs w:val="20"/>
          <w:lang w:eastAsia="en-GB"/>
        </w:rPr>
        <w:t xml:space="preserve">This new Partnership builds on years of cooperation promoted by the Fuel Cell and Hydrogen Joint Undertaking. And many thanks for that. And it brings that model to the </w:t>
      </w:r>
      <w:r w:rsidRPr="000F7D24">
        <w:rPr>
          <w:rFonts w:ascii="Arial" w:eastAsia="Times New Roman" w:hAnsi="Arial" w:cs="Arial"/>
          <w:i/>
          <w:iCs/>
          <w:sz w:val="24"/>
          <w:szCs w:val="20"/>
          <w:lang w:eastAsia="en-GB"/>
        </w:rPr>
        <w:lastRenderedPageBreak/>
        <w:t xml:space="preserve">next level. It is </w:t>
      </w:r>
      <w:proofErr w:type="gramStart"/>
      <w:r w:rsidRPr="000F7D24">
        <w:rPr>
          <w:rFonts w:ascii="Arial" w:eastAsia="Times New Roman" w:hAnsi="Arial" w:cs="Arial"/>
          <w:i/>
          <w:iCs/>
          <w:sz w:val="24"/>
          <w:szCs w:val="20"/>
          <w:lang w:eastAsia="en-GB"/>
        </w:rPr>
        <w:t>a new big</w:t>
      </w:r>
      <w:proofErr w:type="gramEnd"/>
      <w:r w:rsidRPr="000F7D24">
        <w:rPr>
          <w:rFonts w:ascii="Arial" w:eastAsia="Times New Roman" w:hAnsi="Arial" w:cs="Arial"/>
          <w:i/>
          <w:iCs/>
          <w:sz w:val="24"/>
          <w:szCs w:val="20"/>
          <w:lang w:eastAsia="en-GB"/>
        </w:rPr>
        <w:t xml:space="preserve"> step forward to bring innovative technologies from the laboratory to the factory and, ultimately, to European businesses and consumers" (..) "Clean hydrogen is the energy of the next generation", said President von der Leyen.</w:t>
      </w:r>
      <w:r w:rsidRPr="00B55170">
        <w:rPr>
          <w:rFonts w:ascii="Arial" w:eastAsia="Times New Roman" w:hAnsi="Arial" w:cs="Arial"/>
          <w:sz w:val="24"/>
          <w:szCs w:val="20"/>
          <w:lang w:eastAsia="en-GB"/>
        </w:rPr>
        <w:t xml:space="preserve"> </w:t>
      </w:r>
    </w:p>
    <w:p w14:paraId="723D94A2" w14:textId="77777777"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 xml:space="preserve">The event benefited from the participation of several high-level speakers from the European Commission as well other international organisations. Among these: Frans Timmermans, Executive Vice President of the European Commission, EU Commissioners for Energy, Kadri Simson and Transport, Adina Valean, Jean-Eric Paquet, Director General of DG </w:t>
      </w:r>
      <w:proofErr w:type="gramStart"/>
      <w:r w:rsidRPr="00B55170">
        <w:rPr>
          <w:rFonts w:ascii="Arial" w:eastAsia="Times New Roman" w:hAnsi="Arial" w:cs="Arial"/>
          <w:sz w:val="24"/>
          <w:szCs w:val="20"/>
          <w:lang w:eastAsia="en-GB"/>
        </w:rPr>
        <w:t>Research</w:t>
      </w:r>
      <w:proofErr w:type="gramEnd"/>
      <w:r w:rsidRPr="00B55170">
        <w:rPr>
          <w:rFonts w:ascii="Arial" w:eastAsia="Times New Roman" w:hAnsi="Arial" w:cs="Arial"/>
          <w:sz w:val="24"/>
          <w:szCs w:val="20"/>
          <w:lang w:eastAsia="en-GB"/>
        </w:rPr>
        <w:t xml:space="preserve"> and Innovation at the European Commission, Fatih Birol, Executive Director of International Energy Agency. </w:t>
      </w:r>
    </w:p>
    <w:p w14:paraId="3F7C0655" w14:textId="77777777"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Participants discussed among others the actions needed for a large-scale roll-out of clean hydrogen, hydrogen contribution to global climate mitigation actions, and the role of EU Member States in setting synergies and work jointly at EU, national, regional and city levels.</w:t>
      </w:r>
    </w:p>
    <w:p w14:paraId="140BD1E9" w14:textId="77777777"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 xml:space="preserve">Other topics included: education and skills needed for the hydrogen economy, renewable hydrogen production, distribution and storage, and ports role as drivers and beneficiaries of hydrogen technologies.  </w:t>
      </w:r>
    </w:p>
    <w:p w14:paraId="248081C2" w14:textId="77777777"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A day was dedicated to discussions on the scientific priorities of the new Clean Hydrogen Partnership.  All sectors, including the wider European scientific community, were invited to define the strategic scientific priorities for the hydrogen economy and ways to bridge the gaps between ready-to-market technology and large-scale uptake, while improving and diversifying the technological options.</w:t>
      </w:r>
    </w:p>
    <w:p w14:paraId="70FEA619" w14:textId="4211BD09" w:rsidR="00B55170" w:rsidRPr="00B55170" w:rsidRDefault="000F7D24" w:rsidP="00B55170">
      <w:pPr>
        <w:jc w:val="both"/>
        <w:rPr>
          <w:rFonts w:ascii="Arial" w:eastAsia="Times New Roman" w:hAnsi="Arial" w:cs="Arial"/>
          <w:sz w:val="24"/>
          <w:szCs w:val="20"/>
          <w:lang w:eastAsia="en-GB"/>
        </w:rPr>
      </w:pPr>
      <w:r>
        <w:rPr>
          <w:noProof/>
          <w:lang w:eastAsia="en-GB"/>
        </w:rPr>
        <w:lastRenderedPageBreak/>
        <w:drawing>
          <wp:inline distT="0" distB="0" distL="0" distR="0" wp14:anchorId="3D8DDDE8" wp14:editId="0686ECBE">
            <wp:extent cx="3522980" cy="4319270"/>
            <wp:effectExtent l="0" t="0" r="1270" b="5080"/>
            <wp:docPr id="51" name="image9.png" descr="Graphical user interface, text, application, chat or text message&#10;&#10;Description automatically generated"/>
            <wp:cNvGraphicFramePr/>
            <a:graphic xmlns:a="http://schemas.openxmlformats.org/drawingml/2006/main">
              <a:graphicData uri="http://schemas.openxmlformats.org/drawingml/2006/picture">
                <pic:pic xmlns:pic="http://schemas.openxmlformats.org/drawingml/2006/picture">
                  <pic:nvPicPr>
                    <pic:cNvPr id="10" name="image9.png"/>
                    <pic:cNvPicPr/>
                  </pic:nvPicPr>
                  <pic:blipFill>
                    <a:blip r:embed="rId73"/>
                    <a:srcRect/>
                    <a:stretch>
                      <a:fillRect/>
                    </a:stretch>
                  </pic:blipFill>
                  <pic:spPr>
                    <a:xfrm>
                      <a:off x="0" y="0"/>
                      <a:ext cx="3522980" cy="4319270"/>
                    </a:xfrm>
                    <a:prstGeom prst="rect">
                      <a:avLst/>
                    </a:prstGeom>
                    <a:ln/>
                  </pic:spPr>
                </pic:pic>
              </a:graphicData>
            </a:graphic>
          </wp:inline>
        </w:drawing>
      </w:r>
    </w:p>
    <w:p w14:paraId="7436F6E1" w14:textId="77777777"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 xml:space="preserve"> </w:t>
      </w:r>
    </w:p>
    <w:p w14:paraId="7BAA01DB" w14:textId="3F21396A"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 xml:space="preserve">Hydrogen week concluded with the FCH </w:t>
      </w:r>
      <w:r w:rsidR="009B379E">
        <w:rPr>
          <w:rFonts w:ascii="Arial" w:eastAsia="Times New Roman" w:hAnsi="Arial" w:cs="Arial"/>
          <w:sz w:val="24"/>
          <w:szCs w:val="20"/>
          <w:lang w:eastAsia="en-GB"/>
        </w:rPr>
        <w:t xml:space="preserve">2 </w:t>
      </w:r>
      <w:r w:rsidRPr="00B55170">
        <w:rPr>
          <w:rFonts w:ascii="Arial" w:eastAsia="Times New Roman" w:hAnsi="Arial" w:cs="Arial"/>
          <w:sz w:val="24"/>
          <w:szCs w:val="20"/>
          <w:lang w:eastAsia="en-GB"/>
        </w:rPr>
        <w:t xml:space="preserve">JU Programme Review Days, which presented the progress of FCH 2 JU supported projects and technological developments </w:t>
      </w:r>
      <w:r w:rsidRPr="00382360">
        <w:rPr>
          <w:rFonts w:ascii="Arial" w:eastAsia="Times New Roman" w:hAnsi="Arial" w:cs="Arial"/>
          <w:sz w:val="24"/>
          <w:szCs w:val="20"/>
          <w:lang w:eastAsia="en-GB"/>
        </w:rPr>
        <w:t>(more details in section</w:t>
      </w:r>
      <w:r w:rsidR="00382360" w:rsidRPr="00382360">
        <w:rPr>
          <w:rFonts w:ascii="Arial" w:eastAsia="Times New Roman" w:hAnsi="Arial" w:cs="Arial"/>
          <w:sz w:val="24"/>
          <w:szCs w:val="20"/>
          <w:lang w:eastAsia="en-GB"/>
        </w:rPr>
        <w:t xml:space="preserve"> 1.2</w:t>
      </w:r>
      <w:r w:rsidRPr="00382360">
        <w:rPr>
          <w:rFonts w:ascii="Arial" w:eastAsia="Times New Roman" w:hAnsi="Arial" w:cs="Arial"/>
          <w:sz w:val="24"/>
          <w:szCs w:val="20"/>
          <w:lang w:eastAsia="en-GB"/>
        </w:rPr>
        <w:t>)</w:t>
      </w:r>
      <w:r w:rsidR="00382360">
        <w:rPr>
          <w:rFonts w:ascii="Arial" w:eastAsia="Times New Roman" w:hAnsi="Arial" w:cs="Arial"/>
          <w:sz w:val="24"/>
          <w:szCs w:val="20"/>
          <w:lang w:eastAsia="en-GB"/>
        </w:rPr>
        <w:t>.</w:t>
      </w:r>
    </w:p>
    <w:p w14:paraId="441632F5" w14:textId="77777777" w:rsidR="00B55170" w:rsidRPr="00B55170" w:rsidRDefault="00B55170" w:rsidP="00B55170">
      <w:pPr>
        <w:jc w:val="both"/>
        <w:rPr>
          <w:rFonts w:ascii="Arial" w:eastAsia="Times New Roman" w:hAnsi="Arial" w:cs="Arial"/>
          <w:sz w:val="24"/>
          <w:szCs w:val="20"/>
          <w:lang w:eastAsia="en-GB"/>
        </w:rPr>
      </w:pPr>
    </w:p>
    <w:p w14:paraId="22ADB959" w14:textId="77777777" w:rsidR="00B55170" w:rsidRPr="00B55170" w:rsidRDefault="00B55170" w:rsidP="00B55170">
      <w:pPr>
        <w:jc w:val="both"/>
        <w:rPr>
          <w:rFonts w:ascii="Arial" w:eastAsia="Times New Roman" w:hAnsi="Arial" w:cs="Arial"/>
          <w:sz w:val="24"/>
          <w:szCs w:val="20"/>
          <w:lang w:eastAsia="en-GB"/>
        </w:rPr>
      </w:pPr>
    </w:p>
    <w:p w14:paraId="7DAC44B9" w14:textId="77777777" w:rsidR="00B55170" w:rsidRPr="00B55170" w:rsidRDefault="00B55170" w:rsidP="00B55170">
      <w:pPr>
        <w:jc w:val="both"/>
        <w:rPr>
          <w:rFonts w:ascii="Arial" w:eastAsia="Times New Roman" w:hAnsi="Arial" w:cs="Arial"/>
          <w:sz w:val="24"/>
          <w:szCs w:val="20"/>
          <w:lang w:eastAsia="en-GB"/>
        </w:rPr>
      </w:pPr>
    </w:p>
    <w:p w14:paraId="54D572A7" w14:textId="77777777" w:rsidR="00B55170" w:rsidRPr="000F7D24" w:rsidRDefault="00B55170" w:rsidP="00B55170">
      <w:pPr>
        <w:jc w:val="both"/>
        <w:rPr>
          <w:rFonts w:ascii="Arial" w:eastAsia="Times New Roman" w:hAnsi="Arial" w:cs="Arial"/>
          <w:b/>
          <w:bCs/>
          <w:sz w:val="24"/>
          <w:szCs w:val="20"/>
          <w:lang w:eastAsia="en-GB"/>
        </w:rPr>
      </w:pPr>
      <w:r w:rsidRPr="00B55170">
        <w:rPr>
          <w:rFonts w:ascii="Arial" w:eastAsia="Times New Roman" w:hAnsi="Arial" w:cs="Arial"/>
          <w:sz w:val="24"/>
          <w:szCs w:val="20"/>
          <w:lang w:eastAsia="en-GB"/>
        </w:rPr>
        <w:t>2.1.5.</w:t>
      </w:r>
      <w:r w:rsidRPr="00B55170">
        <w:rPr>
          <w:rFonts w:ascii="Arial" w:eastAsia="Times New Roman" w:hAnsi="Arial" w:cs="Arial"/>
          <w:sz w:val="24"/>
          <w:szCs w:val="20"/>
          <w:lang w:eastAsia="en-GB"/>
        </w:rPr>
        <w:tab/>
      </w:r>
      <w:r w:rsidRPr="000F7D24">
        <w:rPr>
          <w:rFonts w:ascii="Arial" w:eastAsia="Times New Roman" w:hAnsi="Arial" w:cs="Arial"/>
          <w:b/>
          <w:bCs/>
          <w:sz w:val="24"/>
          <w:szCs w:val="20"/>
          <w:lang w:eastAsia="en-GB"/>
        </w:rPr>
        <w:t xml:space="preserve">FCH JU AWARDS </w:t>
      </w:r>
    </w:p>
    <w:p w14:paraId="1B9C5DD7" w14:textId="6A4F7B27"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lastRenderedPageBreak/>
        <w:t xml:space="preserve"> </w:t>
      </w:r>
      <w:r w:rsidR="000F7D24">
        <w:rPr>
          <w:noProof/>
          <w:lang w:eastAsia="en-GB"/>
        </w:rPr>
        <w:drawing>
          <wp:inline distT="114300" distB="114300" distL="114300" distR="114300" wp14:anchorId="06347A26" wp14:editId="263EC00D">
            <wp:extent cx="3173724" cy="3443288"/>
            <wp:effectExtent l="0" t="0" r="0" b="0"/>
            <wp:docPr id="52" name="image5.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4"/>
                    <a:srcRect/>
                    <a:stretch>
                      <a:fillRect/>
                    </a:stretch>
                  </pic:blipFill>
                  <pic:spPr>
                    <a:xfrm>
                      <a:off x="0" y="0"/>
                      <a:ext cx="3173724" cy="3443288"/>
                    </a:xfrm>
                    <a:prstGeom prst="rect">
                      <a:avLst/>
                    </a:prstGeom>
                    <a:ln/>
                  </pic:spPr>
                </pic:pic>
              </a:graphicData>
            </a:graphic>
          </wp:inline>
        </w:drawing>
      </w:r>
    </w:p>
    <w:p w14:paraId="58C8CD88" w14:textId="77777777" w:rsidR="00B55170" w:rsidRPr="000F7D24" w:rsidRDefault="00B55170" w:rsidP="00B55170">
      <w:pPr>
        <w:jc w:val="both"/>
        <w:rPr>
          <w:rFonts w:ascii="Arial" w:eastAsia="Times New Roman" w:hAnsi="Arial" w:cs="Arial"/>
          <w:b/>
          <w:bCs/>
          <w:sz w:val="24"/>
          <w:szCs w:val="20"/>
          <w:lang w:eastAsia="en-GB"/>
        </w:rPr>
      </w:pPr>
      <w:r w:rsidRPr="000F7D24">
        <w:rPr>
          <w:rFonts w:ascii="Arial" w:eastAsia="Times New Roman" w:hAnsi="Arial" w:cs="Arial"/>
          <w:b/>
          <w:bCs/>
          <w:sz w:val="24"/>
          <w:szCs w:val="20"/>
          <w:lang w:eastAsia="en-GB"/>
        </w:rPr>
        <w:t>FCH JU awarded its trailblazing clean hydrogen energy projects during the Hydrogen Week</w:t>
      </w:r>
    </w:p>
    <w:p w14:paraId="2A81BEBD" w14:textId="35D087F3"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 xml:space="preserve">The JU acknowledged successful collaborations between research, </w:t>
      </w:r>
      <w:proofErr w:type="gramStart"/>
      <w:r w:rsidRPr="00B55170">
        <w:rPr>
          <w:rFonts w:ascii="Arial" w:eastAsia="Times New Roman" w:hAnsi="Arial" w:cs="Arial"/>
          <w:sz w:val="24"/>
          <w:szCs w:val="20"/>
          <w:lang w:eastAsia="en-GB"/>
        </w:rPr>
        <w:t>industry</w:t>
      </w:r>
      <w:proofErr w:type="gramEnd"/>
      <w:r w:rsidRPr="00B55170">
        <w:rPr>
          <w:rFonts w:ascii="Arial" w:eastAsia="Times New Roman" w:hAnsi="Arial" w:cs="Arial"/>
          <w:sz w:val="24"/>
          <w:szCs w:val="20"/>
          <w:lang w:eastAsia="en-GB"/>
        </w:rPr>
        <w:t xml:space="preserve"> and policymakers at its awards ceremony in Brussels on 29 November. The winning projects are delivering world-class solutions and accelerating the transition to a greener world. The JU introduced this award in 2018 as an additional incentive for project beneficiaries to excel.</w:t>
      </w:r>
    </w:p>
    <w:p w14:paraId="4E7F1474" w14:textId="77777777" w:rsidR="00B55170" w:rsidRPr="000F7D24" w:rsidRDefault="00B55170" w:rsidP="00B55170">
      <w:pPr>
        <w:jc w:val="both"/>
        <w:rPr>
          <w:rFonts w:ascii="Arial" w:eastAsia="Times New Roman" w:hAnsi="Arial" w:cs="Arial"/>
          <w:b/>
          <w:bCs/>
          <w:sz w:val="24"/>
          <w:szCs w:val="20"/>
          <w:lang w:eastAsia="en-GB"/>
        </w:rPr>
      </w:pPr>
      <w:r w:rsidRPr="000F7D24">
        <w:rPr>
          <w:rFonts w:ascii="Arial" w:eastAsia="Times New Roman" w:hAnsi="Arial" w:cs="Arial"/>
          <w:b/>
          <w:bCs/>
          <w:sz w:val="24"/>
          <w:szCs w:val="20"/>
          <w:lang w:eastAsia="en-GB"/>
        </w:rPr>
        <w:t>Best Innovation Award: EVERYWH2ERE</w:t>
      </w:r>
    </w:p>
    <w:p w14:paraId="7C407E07" w14:textId="77777777"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Proving that hydrogen power development is not only for industrial users, the winning project, EVERYWH2ERE is a demonstration-to-market project that developed portable fuel-cell units, or gensets. These can provide power to construction sites, music festivals and other temporary events in European cities, providing a solution to a real need. The gensets feature proton-exchange membrane fuel cells and safe, pressurised-hydrogen technology.</w:t>
      </w:r>
    </w:p>
    <w:p w14:paraId="512FD538" w14:textId="77777777"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The innovation has helped to bring hydrogen fuel cell technology closer to citizens, eliminating the noise and pollution of diesel generators. Receiving the award on behalf of the consortium, Rina project manager Stefano Barberis said: ‘Our project will increase social awareness of FCH technologies, which will be the backbone of future clean energy and a hydrogen-based EU society.’</w:t>
      </w:r>
    </w:p>
    <w:p w14:paraId="331396CB" w14:textId="77777777" w:rsidR="00B55170" w:rsidRPr="000F7D24" w:rsidRDefault="00B55170" w:rsidP="00B55170">
      <w:pPr>
        <w:jc w:val="both"/>
        <w:rPr>
          <w:rFonts w:ascii="Arial" w:eastAsia="Times New Roman" w:hAnsi="Arial" w:cs="Arial"/>
          <w:b/>
          <w:bCs/>
          <w:sz w:val="24"/>
          <w:szCs w:val="20"/>
          <w:lang w:eastAsia="en-GB"/>
        </w:rPr>
      </w:pPr>
      <w:r w:rsidRPr="000F7D24">
        <w:rPr>
          <w:rFonts w:ascii="Arial" w:eastAsia="Times New Roman" w:hAnsi="Arial" w:cs="Arial"/>
          <w:b/>
          <w:bCs/>
          <w:sz w:val="24"/>
          <w:szCs w:val="20"/>
          <w:lang w:eastAsia="en-GB"/>
        </w:rPr>
        <w:t>Best Success Story Award: Towards a sustainable and circular hydrogen economy</w:t>
      </w:r>
    </w:p>
    <w:p w14:paraId="118CAE3C" w14:textId="77777777"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lastRenderedPageBreak/>
        <w:t>This award, also introduced in 2018, goes to a group of projects that contributed to the circularity of the hydrogen sector. This year there were 13 finalists, with project achievements across the entire hydrogen value chain, ranging from hydrogen-powered aviation to hydrogen valleys.</w:t>
      </w:r>
    </w:p>
    <w:p w14:paraId="5D04E805" w14:textId="77777777"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 xml:space="preserve">Six projects contributed to the winning success </w:t>
      </w:r>
      <w:proofErr w:type="gramStart"/>
      <w:r w:rsidRPr="00B55170">
        <w:rPr>
          <w:rFonts w:ascii="Arial" w:eastAsia="Times New Roman" w:hAnsi="Arial" w:cs="Arial"/>
          <w:sz w:val="24"/>
          <w:szCs w:val="20"/>
          <w:lang w:eastAsia="en-GB"/>
        </w:rPr>
        <w:t>story</w:t>
      </w:r>
      <w:proofErr w:type="gramEnd"/>
      <w:r w:rsidRPr="00B55170">
        <w:rPr>
          <w:rFonts w:ascii="Arial" w:eastAsia="Times New Roman" w:hAnsi="Arial" w:cs="Arial"/>
          <w:sz w:val="24"/>
          <w:szCs w:val="20"/>
          <w:lang w:eastAsia="en-GB"/>
        </w:rPr>
        <w:t xml:space="preserve"> and each received the award: FC-HYGUIDE, SH2E, HYTECHCYCLING, BEST4HY, EGHOST and CERTIFHY.</w:t>
      </w:r>
    </w:p>
    <w:p w14:paraId="2045F8CF" w14:textId="38A50CE2"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 xml:space="preserve">The winning success story demonstrates that hydrogen power must not only deliver clean energy efficiently and </w:t>
      </w:r>
      <w:r w:rsidR="00382360" w:rsidRPr="00B55170">
        <w:rPr>
          <w:rFonts w:ascii="Arial" w:eastAsia="Times New Roman" w:hAnsi="Arial" w:cs="Arial"/>
          <w:sz w:val="24"/>
          <w:szCs w:val="20"/>
          <w:lang w:eastAsia="en-GB"/>
        </w:rPr>
        <w:t>cost-effectively but</w:t>
      </w:r>
      <w:r w:rsidRPr="00B55170">
        <w:rPr>
          <w:rFonts w:ascii="Arial" w:eastAsia="Times New Roman" w:hAnsi="Arial" w:cs="Arial"/>
          <w:sz w:val="24"/>
          <w:szCs w:val="20"/>
          <w:lang w:eastAsia="en-GB"/>
        </w:rPr>
        <w:t xml:space="preserve"> should also incorporate sustainability.</w:t>
      </w:r>
    </w:p>
    <w:p w14:paraId="3766F3BE" w14:textId="77777777"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The industrial partners and researchers involved in this success story are developing guidelines on materials sourcing, dismantling, and recycling in line with a circular, clean hydrogen economy.</w:t>
      </w:r>
    </w:p>
    <w:p w14:paraId="03A19200" w14:textId="77777777"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FC-HYGUIDE developed guidance, training materials and courses on how to use life cycle assessments. The SH2E project is building on this to include economic and social dimensions.</w:t>
      </w:r>
    </w:p>
    <w:p w14:paraId="686AB289" w14:textId="77777777"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 xml:space="preserve">HYTECHCYCLING and BEST4HY focused on recycling and dismantling, </w:t>
      </w:r>
      <w:proofErr w:type="gramStart"/>
      <w:r w:rsidRPr="00B55170">
        <w:rPr>
          <w:rFonts w:ascii="Arial" w:eastAsia="Times New Roman" w:hAnsi="Arial" w:cs="Arial"/>
          <w:sz w:val="24"/>
          <w:szCs w:val="20"/>
          <w:lang w:eastAsia="en-GB"/>
        </w:rPr>
        <w:t>recovery</w:t>
      </w:r>
      <w:proofErr w:type="gramEnd"/>
      <w:r w:rsidRPr="00B55170">
        <w:rPr>
          <w:rFonts w:ascii="Arial" w:eastAsia="Times New Roman" w:hAnsi="Arial" w:cs="Arial"/>
          <w:sz w:val="24"/>
          <w:szCs w:val="20"/>
          <w:lang w:eastAsia="en-GB"/>
        </w:rPr>
        <w:t xml:space="preserve"> and reuse of resources such as platinum. Currently, EGHOST is developing environmentally friendly design criteria in technology development.</w:t>
      </w:r>
    </w:p>
    <w:p w14:paraId="605015DF" w14:textId="77777777"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Finally, CERTIFHY created the first EU-wide guarantee of origin (GO) scheme for green and low-carbon hydrogen. The project’s current third phase includes building a market for GO trade and harmonisation across all Member States.</w:t>
      </w:r>
    </w:p>
    <w:p w14:paraId="7B63FF9F" w14:textId="77777777"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‘Without the backing of the FCH JU since 2014, CERTIFHY could have never achieved the leading role we now have worldwide on certification schemes. We are honoured to get this award. It boosts our enthusiasm to continue the project,’ said Wouter Vanhoudt, Director Europe and Asia at Hinicio, the coordinators of CERTIFHY.</w:t>
      </w:r>
    </w:p>
    <w:p w14:paraId="46528161" w14:textId="77777777" w:rsidR="00B55170" w:rsidRPr="000F7D24" w:rsidRDefault="00B55170" w:rsidP="00B55170">
      <w:pPr>
        <w:jc w:val="both"/>
        <w:rPr>
          <w:rFonts w:ascii="Arial" w:eastAsia="Times New Roman" w:hAnsi="Arial" w:cs="Arial"/>
          <w:b/>
          <w:bCs/>
          <w:sz w:val="24"/>
          <w:szCs w:val="20"/>
          <w:lang w:eastAsia="en-GB"/>
        </w:rPr>
      </w:pPr>
      <w:r w:rsidRPr="000F7D24">
        <w:rPr>
          <w:rFonts w:ascii="Arial" w:eastAsia="Times New Roman" w:hAnsi="Arial" w:cs="Arial"/>
          <w:b/>
          <w:bCs/>
          <w:sz w:val="24"/>
          <w:szCs w:val="20"/>
          <w:lang w:eastAsia="en-GB"/>
        </w:rPr>
        <w:t>Best Outreach Award: REFHYNE</w:t>
      </w:r>
    </w:p>
    <w:p w14:paraId="663A4193" w14:textId="77777777"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This award goes to a project for excellent public engagement and creative use of communication activities, to spread the word about the production of clean hydrogen. The 2021 winner is Clean Refinery Hydrogen for Europe (REFHYNE).</w:t>
      </w:r>
    </w:p>
    <w:p w14:paraId="63F28E59" w14:textId="77777777"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The five-year project began in 2018 and built a 10 MW Proton Exchange Membrane (PEM) electrolysis plant, the largest in Europe, at the Shell Rhineland Refinery in Wesseling, near Cologne, Germany. This electrolyser for industrial applications started operation this year in July and can produce up to four tonnes of hydrogen a day when running at full power. It can also help balance the refinery’s internal electricity grid, while selling Primary Control Reserve service to the German Transmission System Operators. Plans are underway to expand the capacity of the electrolysis plant to 100MW.</w:t>
      </w:r>
    </w:p>
    <w:p w14:paraId="6B4BE663" w14:textId="77777777"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lastRenderedPageBreak/>
        <w:t>Anders Ødegård of SINTEF, REFHYNE project coordinator concluded: "We are honoured to receive this award in recognition of our dissemination activities. We believe it is vital to share our experiences and learnings to accelerate the further scale up of clean hydrogen production. On behalf of the entire REFHYNE consortium, I want to thank the FCH JU for the support for our 10MW PEM electrolyser project and for this distinct outreach award".</w:t>
      </w:r>
    </w:p>
    <w:p w14:paraId="59D2600B" w14:textId="77777777" w:rsidR="00B55170" w:rsidRPr="000F7D24" w:rsidRDefault="00B55170" w:rsidP="00B55170">
      <w:pPr>
        <w:jc w:val="both"/>
        <w:rPr>
          <w:rFonts w:ascii="Arial" w:eastAsia="Times New Roman" w:hAnsi="Arial" w:cs="Arial"/>
          <w:b/>
          <w:bCs/>
          <w:sz w:val="24"/>
          <w:szCs w:val="20"/>
          <w:lang w:eastAsia="en-GB"/>
        </w:rPr>
      </w:pPr>
      <w:r w:rsidRPr="000F7D24">
        <w:rPr>
          <w:rFonts w:ascii="Arial" w:eastAsia="Times New Roman" w:hAnsi="Arial" w:cs="Arial"/>
          <w:b/>
          <w:bCs/>
          <w:sz w:val="24"/>
          <w:szCs w:val="20"/>
          <w:lang w:eastAsia="en-GB"/>
        </w:rPr>
        <w:t xml:space="preserve">FCH JU projects videos </w:t>
      </w:r>
    </w:p>
    <w:p w14:paraId="76BB7E67" w14:textId="42A44A67" w:rsidR="00B55170" w:rsidRPr="00B55170" w:rsidRDefault="00B55170" w:rsidP="00B55170">
      <w:pPr>
        <w:jc w:val="both"/>
        <w:rPr>
          <w:rFonts w:ascii="Arial" w:eastAsia="Times New Roman" w:hAnsi="Arial" w:cs="Arial"/>
          <w:sz w:val="24"/>
          <w:szCs w:val="20"/>
          <w:lang w:eastAsia="en-GB"/>
        </w:rPr>
      </w:pPr>
      <w:proofErr w:type="gramStart"/>
      <w:r w:rsidRPr="00B55170">
        <w:rPr>
          <w:rFonts w:ascii="Arial" w:eastAsia="Times New Roman" w:hAnsi="Arial" w:cs="Arial"/>
          <w:sz w:val="24"/>
          <w:szCs w:val="20"/>
          <w:lang w:eastAsia="en-GB"/>
        </w:rPr>
        <w:t>On the occasion of</w:t>
      </w:r>
      <w:proofErr w:type="gramEnd"/>
      <w:r w:rsidRPr="00B55170">
        <w:rPr>
          <w:rFonts w:ascii="Arial" w:eastAsia="Times New Roman" w:hAnsi="Arial" w:cs="Arial"/>
          <w:sz w:val="24"/>
          <w:szCs w:val="20"/>
          <w:lang w:eastAsia="en-GB"/>
        </w:rPr>
        <w:t xml:space="preserve"> the European Hydrogen Week, the JU produced three videos with a focus on three main topics: Hydrogen for decarbonising industry (steel industry), Hydrogen for transport and Hydrogen Valleys. Several projects have been featured in the respective videos, to showcase their activities through on-site interviews and presentations. </w:t>
      </w:r>
    </w:p>
    <w:p w14:paraId="11ED31A7" w14:textId="51CE7650"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 xml:space="preserve">  </w:t>
      </w:r>
      <w:r w:rsidR="000F7D24">
        <w:rPr>
          <w:noProof/>
          <w:lang w:eastAsia="en-GB"/>
        </w:rPr>
        <w:drawing>
          <wp:inline distT="0" distB="0" distL="0" distR="0" wp14:anchorId="789DCF0C" wp14:editId="591D0674">
            <wp:extent cx="5730875" cy="4168140"/>
            <wp:effectExtent l="0" t="0" r="3175"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30875" cy="4168140"/>
                    </a:xfrm>
                    <a:prstGeom prst="rect">
                      <a:avLst/>
                    </a:prstGeom>
                    <a:noFill/>
                    <a:ln>
                      <a:noFill/>
                    </a:ln>
                  </pic:spPr>
                </pic:pic>
              </a:graphicData>
            </a:graphic>
          </wp:inline>
        </w:drawing>
      </w:r>
    </w:p>
    <w:p w14:paraId="53968D70" w14:textId="77777777" w:rsidR="00B55170" w:rsidRPr="00B55170" w:rsidRDefault="00B55170" w:rsidP="00B55170">
      <w:pPr>
        <w:jc w:val="both"/>
        <w:rPr>
          <w:rFonts w:ascii="Arial" w:eastAsia="Times New Roman" w:hAnsi="Arial" w:cs="Arial"/>
          <w:sz w:val="24"/>
          <w:szCs w:val="20"/>
          <w:lang w:eastAsia="en-GB"/>
        </w:rPr>
      </w:pPr>
    </w:p>
    <w:p w14:paraId="51BCDD40" w14:textId="77777777" w:rsidR="00B55170" w:rsidRPr="000F7D24" w:rsidRDefault="00B55170" w:rsidP="00B55170">
      <w:pPr>
        <w:jc w:val="both"/>
        <w:rPr>
          <w:rFonts w:ascii="Arial" w:eastAsia="Times New Roman" w:hAnsi="Arial" w:cs="Arial"/>
          <w:b/>
          <w:bCs/>
          <w:sz w:val="24"/>
          <w:szCs w:val="20"/>
          <w:lang w:eastAsia="en-GB"/>
        </w:rPr>
      </w:pPr>
      <w:r w:rsidRPr="00B55170">
        <w:rPr>
          <w:rFonts w:ascii="Arial" w:eastAsia="Times New Roman" w:hAnsi="Arial" w:cs="Arial"/>
          <w:sz w:val="24"/>
          <w:szCs w:val="20"/>
          <w:lang w:eastAsia="en-GB"/>
        </w:rPr>
        <w:t>2.1.6.</w:t>
      </w:r>
      <w:r w:rsidRPr="000F7D24">
        <w:rPr>
          <w:rFonts w:ascii="Arial" w:eastAsia="Times New Roman" w:hAnsi="Arial" w:cs="Arial"/>
          <w:b/>
          <w:bCs/>
          <w:sz w:val="24"/>
          <w:szCs w:val="20"/>
          <w:lang w:eastAsia="en-GB"/>
        </w:rPr>
        <w:tab/>
        <w:t xml:space="preserve">EVENTS </w:t>
      </w:r>
    </w:p>
    <w:p w14:paraId="5580B8BD" w14:textId="7C434417" w:rsidR="00B55170" w:rsidRPr="000F7D24" w:rsidRDefault="00B55170" w:rsidP="00B55170">
      <w:pPr>
        <w:jc w:val="both"/>
        <w:rPr>
          <w:rFonts w:ascii="Arial" w:eastAsia="Times New Roman" w:hAnsi="Arial" w:cs="Arial"/>
          <w:b/>
          <w:bCs/>
          <w:sz w:val="24"/>
          <w:szCs w:val="20"/>
          <w:u w:val="single"/>
          <w:lang w:eastAsia="en-GB"/>
        </w:rPr>
      </w:pPr>
      <w:r w:rsidRPr="000F7D24">
        <w:rPr>
          <w:rFonts w:ascii="Arial" w:eastAsia="Times New Roman" w:hAnsi="Arial" w:cs="Arial"/>
          <w:b/>
          <w:bCs/>
          <w:sz w:val="24"/>
          <w:szCs w:val="20"/>
          <w:u w:val="single"/>
          <w:lang w:eastAsia="en-GB"/>
        </w:rPr>
        <w:t xml:space="preserve">FCH </w:t>
      </w:r>
      <w:r w:rsidR="00382360">
        <w:rPr>
          <w:rFonts w:ascii="Arial" w:eastAsia="Times New Roman" w:hAnsi="Arial" w:cs="Arial"/>
          <w:b/>
          <w:bCs/>
          <w:sz w:val="24"/>
          <w:szCs w:val="20"/>
          <w:u w:val="single"/>
          <w:lang w:eastAsia="en-GB"/>
        </w:rPr>
        <w:t xml:space="preserve">2 </w:t>
      </w:r>
      <w:r w:rsidRPr="000F7D24">
        <w:rPr>
          <w:rFonts w:ascii="Arial" w:eastAsia="Times New Roman" w:hAnsi="Arial" w:cs="Arial"/>
          <w:b/>
          <w:bCs/>
          <w:sz w:val="24"/>
          <w:szCs w:val="20"/>
          <w:u w:val="single"/>
          <w:lang w:eastAsia="en-GB"/>
        </w:rPr>
        <w:t xml:space="preserve">JU Webinars </w:t>
      </w:r>
    </w:p>
    <w:p w14:paraId="463C185B" w14:textId="4CAB5D0B"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 xml:space="preserve">The JU organised a series of 4 webinars, covering a variety of topics. The online events have reached more than 2300 participants in total. </w:t>
      </w:r>
    </w:p>
    <w:p w14:paraId="0A7F31E7" w14:textId="6DCE673E" w:rsidR="00B55170" w:rsidRPr="000F7D24" w:rsidRDefault="00B55170" w:rsidP="00B55170">
      <w:pPr>
        <w:jc w:val="both"/>
        <w:rPr>
          <w:rFonts w:ascii="Arial" w:eastAsia="Times New Roman" w:hAnsi="Arial" w:cs="Arial"/>
          <w:b/>
          <w:bCs/>
          <w:i/>
          <w:iCs/>
          <w:sz w:val="24"/>
          <w:szCs w:val="20"/>
          <w:lang w:eastAsia="en-GB"/>
        </w:rPr>
      </w:pPr>
      <w:r w:rsidRPr="000F7D24">
        <w:rPr>
          <w:rFonts w:ascii="Arial" w:eastAsia="Times New Roman" w:hAnsi="Arial" w:cs="Arial"/>
          <w:b/>
          <w:bCs/>
          <w:i/>
          <w:iCs/>
          <w:sz w:val="24"/>
          <w:szCs w:val="20"/>
          <w:lang w:eastAsia="en-GB"/>
        </w:rPr>
        <w:lastRenderedPageBreak/>
        <w:t>Launch of Hydrogen Valleys Mission Innovation Platform</w:t>
      </w:r>
      <w:r w:rsidR="008005FC">
        <w:rPr>
          <w:rStyle w:val="FootnoteReference"/>
          <w:rFonts w:ascii="Arial" w:eastAsia="Times New Roman" w:hAnsi="Arial" w:cs="Arial"/>
          <w:b/>
          <w:bCs/>
          <w:i/>
          <w:iCs/>
          <w:sz w:val="24"/>
          <w:szCs w:val="20"/>
          <w:lang w:eastAsia="en-GB"/>
        </w:rPr>
        <w:footnoteReference w:id="92"/>
      </w:r>
      <w:r w:rsidRPr="000F7D24">
        <w:rPr>
          <w:rFonts w:ascii="Arial" w:eastAsia="Times New Roman" w:hAnsi="Arial" w:cs="Arial"/>
          <w:b/>
          <w:bCs/>
          <w:i/>
          <w:iCs/>
          <w:sz w:val="24"/>
          <w:szCs w:val="20"/>
          <w:lang w:eastAsia="en-GB"/>
        </w:rPr>
        <w:t xml:space="preserve"> </w:t>
      </w:r>
    </w:p>
    <w:p w14:paraId="4CAA3266" w14:textId="429A36E2"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 xml:space="preserve">The launch event of the Hydrogen Valley Mission Innovation Platform took place on 19 January 2021 and included keynote speakers from the Mission Innovation IC8 Co-Leads Australia, the European Commission and Germany. The event featured presentations from the developers of the platform, Roland Berger and Inycom, which presented the platform's functionalities as well as key findings of the global analysis of Hydrogen Valleys. The Mission Innovation </w:t>
      </w:r>
      <w:hyperlink r:id="rId76" w:history="1">
        <w:r w:rsidRPr="00382360">
          <w:rPr>
            <w:rStyle w:val="Hyperlink"/>
            <w:rFonts w:ascii="Arial" w:eastAsia="Times New Roman" w:hAnsi="Arial" w:cs="Arial"/>
            <w:sz w:val="24"/>
            <w:szCs w:val="20"/>
            <w:lang w:eastAsia="en-GB"/>
          </w:rPr>
          <w:t>Hydrogen Valley Platform</w:t>
        </w:r>
      </w:hyperlink>
      <w:r w:rsidRPr="00B55170">
        <w:rPr>
          <w:rFonts w:ascii="Arial" w:eastAsia="Times New Roman" w:hAnsi="Arial" w:cs="Arial"/>
          <w:sz w:val="24"/>
          <w:szCs w:val="20"/>
          <w:lang w:eastAsia="en-GB"/>
        </w:rPr>
        <w:t xml:space="preserve"> was developed under the </w:t>
      </w:r>
      <w:hyperlink r:id="rId77" w:history="1">
        <w:r w:rsidRPr="00382360">
          <w:rPr>
            <w:rStyle w:val="Hyperlink"/>
            <w:rFonts w:ascii="Arial" w:eastAsia="Times New Roman" w:hAnsi="Arial" w:cs="Arial"/>
            <w:sz w:val="24"/>
            <w:szCs w:val="20"/>
            <w:lang w:eastAsia="en-GB"/>
          </w:rPr>
          <w:t>Mission Innovation</w:t>
        </w:r>
      </w:hyperlink>
      <w:r w:rsidRPr="00B55170">
        <w:rPr>
          <w:rFonts w:ascii="Arial" w:eastAsia="Times New Roman" w:hAnsi="Arial" w:cs="Arial"/>
          <w:sz w:val="24"/>
          <w:szCs w:val="20"/>
          <w:lang w:eastAsia="en-GB"/>
        </w:rPr>
        <w:t xml:space="preserve"> </w:t>
      </w:r>
      <w:r w:rsidR="008005FC">
        <w:rPr>
          <w:rFonts w:ascii="Arial" w:eastAsia="Times New Roman" w:hAnsi="Arial" w:cs="Arial"/>
          <w:sz w:val="24"/>
          <w:szCs w:val="20"/>
          <w:lang w:eastAsia="en-GB"/>
        </w:rPr>
        <w:t xml:space="preserve">- </w:t>
      </w:r>
      <w:r w:rsidRPr="00B55170">
        <w:rPr>
          <w:rFonts w:ascii="Arial" w:eastAsia="Times New Roman" w:hAnsi="Arial" w:cs="Arial"/>
          <w:sz w:val="24"/>
          <w:szCs w:val="20"/>
          <w:lang w:eastAsia="en-GB"/>
        </w:rPr>
        <w:t>Innovation Challenge 8 (IC8) "</w:t>
      </w:r>
      <w:hyperlink r:id="rId78" w:history="1">
        <w:r w:rsidRPr="00382360">
          <w:rPr>
            <w:rStyle w:val="Hyperlink"/>
            <w:rFonts w:ascii="Arial" w:eastAsia="Times New Roman" w:hAnsi="Arial" w:cs="Arial"/>
            <w:sz w:val="24"/>
            <w:szCs w:val="20"/>
            <w:lang w:eastAsia="en-GB"/>
          </w:rPr>
          <w:t>Renewable and Clean Hydrogen</w:t>
        </w:r>
      </w:hyperlink>
      <w:r w:rsidRPr="00B55170">
        <w:rPr>
          <w:rFonts w:ascii="Arial" w:eastAsia="Times New Roman" w:hAnsi="Arial" w:cs="Arial"/>
          <w:sz w:val="24"/>
          <w:szCs w:val="20"/>
          <w:lang w:eastAsia="en-GB"/>
        </w:rPr>
        <w:t>”. The platform features comprehensive insights into the most advanced and ambitious Hydrogen Valleys around the globe.</w:t>
      </w:r>
    </w:p>
    <w:p w14:paraId="385C57D6" w14:textId="653D9C1B" w:rsidR="00B55170" w:rsidRPr="000F7D24" w:rsidRDefault="00B55170" w:rsidP="00B55170">
      <w:pPr>
        <w:jc w:val="both"/>
        <w:rPr>
          <w:rFonts w:ascii="Arial" w:eastAsia="Times New Roman" w:hAnsi="Arial" w:cs="Arial"/>
          <w:b/>
          <w:bCs/>
          <w:i/>
          <w:iCs/>
          <w:sz w:val="24"/>
          <w:szCs w:val="20"/>
          <w:lang w:eastAsia="en-GB"/>
        </w:rPr>
      </w:pPr>
      <w:r w:rsidRPr="000F7D24">
        <w:rPr>
          <w:rFonts w:ascii="Arial" w:eastAsia="Times New Roman" w:hAnsi="Arial" w:cs="Arial"/>
          <w:b/>
          <w:bCs/>
          <w:i/>
          <w:iCs/>
          <w:sz w:val="24"/>
          <w:szCs w:val="20"/>
          <w:lang w:eastAsia="en-GB"/>
        </w:rPr>
        <w:t>Hydrogen Certification</w:t>
      </w:r>
      <w:r w:rsidR="008005FC">
        <w:rPr>
          <w:rStyle w:val="FootnoteReference"/>
          <w:rFonts w:ascii="Arial" w:eastAsia="Times New Roman" w:hAnsi="Arial" w:cs="Arial"/>
          <w:b/>
          <w:bCs/>
          <w:i/>
          <w:iCs/>
          <w:sz w:val="24"/>
          <w:szCs w:val="20"/>
          <w:lang w:eastAsia="en-GB"/>
        </w:rPr>
        <w:footnoteReference w:id="93"/>
      </w:r>
    </w:p>
    <w:p w14:paraId="49A26BFB" w14:textId="2F26EF6D"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 xml:space="preserve">By showcasing the results from the </w:t>
      </w:r>
      <w:hyperlink r:id="rId79" w:history="1">
        <w:r w:rsidRPr="00382360">
          <w:rPr>
            <w:rStyle w:val="Hyperlink"/>
            <w:rFonts w:ascii="Arial" w:eastAsia="Times New Roman" w:hAnsi="Arial" w:cs="Arial"/>
            <w:sz w:val="24"/>
            <w:szCs w:val="20"/>
            <w:lang w:eastAsia="en-GB"/>
          </w:rPr>
          <w:t>CertifHy</w:t>
        </w:r>
      </w:hyperlink>
      <w:r w:rsidRPr="00B55170">
        <w:rPr>
          <w:rFonts w:ascii="Arial" w:eastAsia="Times New Roman" w:hAnsi="Arial" w:cs="Arial"/>
          <w:sz w:val="24"/>
          <w:szCs w:val="20"/>
          <w:lang w:eastAsia="en-GB"/>
        </w:rPr>
        <w:t xml:space="preserve"> initiative supported by the</w:t>
      </w:r>
      <w:r w:rsidR="007C3AEF">
        <w:rPr>
          <w:rFonts w:ascii="Arial" w:eastAsia="Times New Roman" w:hAnsi="Arial" w:cs="Arial"/>
          <w:sz w:val="24"/>
          <w:szCs w:val="20"/>
          <w:lang w:eastAsia="en-GB"/>
        </w:rPr>
        <w:t xml:space="preserve"> </w:t>
      </w:r>
      <w:r w:rsidRPr="00B55170">
        <w:rPr>
          <w:rFonts w:ascii="Arial" w:eastAsia="Times New Roman" w:hAnsi="Arial" w:cs="Arial"/>
          <w:sz w:val="24"/>
          <w:szCs w:val="20"/>
          <w:lang w:eastAsia="en-GB"/>
        </w:rPr>
        <w:t>JU, European policy makers, industry representatives and NGOs had the opportunity to debate on 21 May 2021 what is needed to harmonize hydrogen GO schemes around Europe and beyond.</w:t>
      </w:r>
    </w:p>
    <w:p w14:paraId="771561B5" w14:textId="5ACB217E" w:rsidR="00B55170" w:rsidRPr="000F7D24" w:rsidRDefault="00B55170" w:rsidP="00B55170">
      <w:pPr>
        <w:jc w:val="both"/>
        <w:rPr>
          <w:rFonts w:ascii="Arial" w:eastAsia="Times New Roman" w:hAnsi="Arial" w:cs="Arial"/>
          <w:b/>
          <w:bCs/>
          <w:i/>
          <w:iCs/>
          <w:sz w:val="24"/>
          <w:szCs w:val="20"/>
          <w:lang w:eastAsia="en-GB"/>
        </w:rPr>
      </w:pPr>
      <w:r w:rsidRPr="000F7D24">
        <w:rPr>
          <w:rFonts w:ascii="Arial" w:eastAsia="Times New Roman" w:hAnsi="Arial" w:cs="Arial"/>
          <w:b/>
          <w:bCs/>
          <w:i/>
          <w:iCs/>
          <w:sz w:val="24"/>
          <w:szCs w:val="20"/>
          <w:lang w:eastAsia="en-GB"/>
        </w:rPr>
        <w:t>Ani</w:t>
      </w:r>
      <w:r w:rsidR="00C76CBA">
        <w:rPr>
          <w:rFonts w:ascii="Arial" w:eastAsia="Times New Roman" w:hAnsi="Arial" w:cs="Arial"/>
          <w:b/>
          <w:bCs/>
          <w:i/>
          <w:iCs/>
          <w:sz w:val="24"/>
          <w:szCs w:val="20"/>
          <w:lang w:eastAsia="en-GB"/>
        </w:rPr>
        <w:t>o</w:t>
      </w:r>
      <w:r w:rsidRPr="000F7D24">
        <w:rPr>
          <w:rFonts w:ascii="Arial" w:eastAsia="Times New Roman" w:hAnsi="Arial" w:cs="Arial"/>
          <w:b/>
          <w:bCs/>
          <w:i/>
          <w:iCs/>
          <w:sz w:val="24"/>
          <w:szCs w:val="20"/>
          <w:lang w:eastAsia="en-GB"/>
        </w:rPr>
        <w:t>n Exchange Membrane Electrolyser</w:t>
      </w:r>
      <w:r w:rsidR="008005FC">
        <w:rPr>
          <w:rStyle w:val="FootnoteReference"/>
          <w:rFonts w:ascii="Arial" w:eastAsia="Times New Roman" w:hAnsi="Arial" w:cs="Arial"/>
          <w:b/>
          <w:bCs/>
          <w:i/>
          <w:iCs/>
          <w:sz w:val="24"/>
          <w:szCs w:val="20"/>
          <w:lang w:eastAsia="en-GB"/>
        </w:rPr>
        <w:footnoteReference w:id="94"/>
      </w:r>
    </w:p>
    <w:p w14:paraId="0A5261AE" w14:textId="0E077107"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 xml:space="preserve">Still in early development stage, AEMEL have the potential of combining the strengths of alkaline and PEM electrolysers. Since 2020 the JU has supported the three cutting-edge projects on this research field: </w:t>
      </w:r>
      <w:hyperlink r:id="rId80" w:history="1">
        <w:r w:rsidRPr="00382360">
          <w:rPr>
            <w:rStyle w:val="Hyperlink"/>
            <w:rFonts w:ascii="Arial" w:eastAsia="Times New Roman" w:hAnsi="Arial" w:cs="Arial"/>
            <w:sz w:val="24"/>
            <w:szCs w:val="20"/>
            <w:lang w:eastAsia="en-GB"/>
          </w:rPr>
          <w:t>ANIONE</w:t>
        </w:r>
      </w:hyperlink>
      <w:r w:rsidRPr="00B55170">
        <w:rPr>
          <w:rFonts w:ascii="Arial" w:eastAsia="Times New Roman" w:hAnsi="Arial" w:cs="Arial"/>
          <w:sz w:val="24"/>
          <w:szCs w:val="20"/>
          <w:lang w:eastAsia="en-GB"/>
        </w:rPr>
        <w:t xml:space="preserve">, </w:t>
      </w:r>
      <w:hyperlink r:id="rId81" w:history="1">
        <w:r w:rsidRPr="00382360">
          <w:rPr>
            <w:rStyle w:val="Hyperlink"/>
            <w:rFonts w:ascii="Arial" w:eastAsia="Times New Roman" w:hAnsi="Arial" w:cs="Arial"/>
            <w:sz w:val="24"/>
            <w:szCs w:val="20"/>
            <w:lang w:eastAsia="en-GB"/>
          </w:rPr>
          <w:t>CHANNEL</w:t>
        </w:r>
      </w:hyperlink>
      <w:r w:rsidRPr="00B55170">
        <w:rPr>
          <w:rFonts w:ascii="Arial" w:eastAsia="Times New Roman" w:hAnsi="Arial" w:cs="Arial"/>
          <w:sz w:val="24"/>
          <w:szCs w:val="20"/>
          <w:lang w:eastAsia="en-GB"/>
        </w:rPr>
        <w:t xml:space="preserve"> and </w:t>
      </w:r>
      <w:hyperlink r:id="rId82" w:history="1">
        <w:r w:rsidRPr="00382360">
          <w:rPr>
            <w:rStyle w:val="Hyperlink"/>
            <w:rFonts w:ascii="Arial" w:eastAsia="Times New Roman" w:hAnsi="Arial" w:cs="Arial"/>
            <w:sz w:val="24"/>
            <w:szCs w:val="20"/>
            <w:lang w:eastAsia="en-GB"/>
          </w:rPr>
          <w:t>NEWELY</w:t>
        </w:r>
      </w:hyperlink>
      <w:r w:rsidRPr="00B55170">
        <w:rPr>
          <w:rFonts w:ascii="Arial" w:eastAsia="Times New Roman" w:hAnsi="Arial" w:cs="Arial"/>
          <w:sz w:val="24"/>
          <w:szCs w:val="20"/>
          <w:lang w:eastAsia="en-GB"/>
        </w:rPr>
        <w:t>. The projects showcased their achievements and challenges in developing 2kW prototypes of AEMEL. The presentations followed by a discussion on the steps needed to upscale AEMEL, including EU support.</w:t>
      </w:r>
    </w:p>
    <w:p w14:paraId="157A0CAE" w14:textId="7C9BEEE2" w:rsidR="00B55170" w:rsidRPr="000F7D24" w:rsidRDefault="00B55170" w:rsidP="00B55170">
      <w:pPr>
        <w:jc w:val="both"/>
        <w:rPr>
          <w:rFonts w:ascii="Arial" w:eastAsia="Times New Roman" w:hAnsi="Arial" w:cs="Arial"/>
          <w:b/>
          <w:bCs/>
          <w:i/>
          <w:iCs/>
          <w:sz w:val="24"/>
          <w:szCs w:val="20"/>
          <w:lang w:eastAsia="en-GB"/>
        </w:rPr>
      </w:pPr>
      <w:r w:rsidRPr="000F7D24">
        <w:rPr>
          <w:rFonts w:ascii="Arial" w:eastAsia="Times New Roman" w:hAnsi="Arial" w:cs="Arial"/>
          <w:b/>
          <w:bCs/>
          <w:i/>
          <w:iCs/>
          <w:sz w:val="24"/>
          <w:szCs w:val="20"/>
          <w:lang w:eastAsia="en-GB"/>
        </w:rPr>
        <w:t>Project Development Assistance</w:t>
      </w:r>
      <w:r w:rsidR="008005FC">
        <w:rPr>
          <w:rStyle w:val="FootnoteReference"/>
          <w:rFonts w:ascii="Arial" w:eastAsia="Times New Roman" w:hAnsi="Arial" w:cs="Arial"/>
          <w:b/>
          <w:bCs/>
          <w:i/>
          <w:iCs/>
          <w:sz w:val="24"/>
          <w:szCs w:val="20"/>
          <w:lang w:eastAsia="en-GB"/>
        </w:rPr>
        <w:footnoteReference w:id="95"/>
      </w:r>
    </w:p>
    <w:p w14:paraId="06453918" w14:textId="77777777"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The final report of the PDA and the major achievements of this initiative were presented on 19 October 2021, during an exclusive webinar with the participation of some of the regions involved and the representatives of the European Commission, and the European Investment Bank.</w:t>
      </w:r>
    </w:p>
    <w:p w14:paraId="65743B9C" w14:textId="77777777" w:rsidR="008005FC" w:rsidRDefault="008005FC" w:rsidP="00B55170">
      <w:pPr>
        <w:jc w:val="both"/>
        <w:rPr>
          <w:rFonts w:ascii="Arial" w:eastAsia="Times New Roman" w:hAnsi="Arial" w:cs="Arial"/>
          <w:b/>
          <w:bCs/>
          <w:sz w:val="24"/>
          <w:szCs w:val="20"/>
          <w:u w:val="single"/>
          <w:lang w:eastAsia="en-GB"/>
        </w:rPr>
      </w:pPr>
    </w:p>
    <w:p w14:paraId="59CFDD8C" w14:textId="77777777" w:rsidR="008005FC" w:rsidRDefault="008005FC" w:rsidP="00B55170">
      <w:pPr>
        <w:jc w:val="both"/>
        <w:rPr>
          <w:rFonts w:ascii="Arial" w:eastAsia="Times New Roman" w:hAnsi="Arial" w:cs="Arial"/>
          <w:b/>
          <w:bCs/>
          <w:sz w:val="24"/>
          <w:szCs w:val="20"/>
          <w:u w:val="single"/>
          <w:lang w:eastAsia="en-GB"/>
        </w:rPr>
      </w:pPr>
    </w:p>
    <w:p w14:paraId="28AC04F1" w14:textId="371FCB87" w:rsidR="00B55170" w:rsidRPr="00C76CBA" w:rsidRDefault="00B55170" w:rsidP="00B55170">
      <w:pPr>
        <w:jc w:val="both"/>
        <w:rPr>
          <w:rFonts w:ascii="Arial" w:eastAsia="Times New Roman" w:hAnsi="Arial" w:cs="Arial"/>
          <w:b/>
          <w:bCs/>
          <w:sz w:val="24"/>
          <w:szCs w:val="20"/>
          <w:u w:val="single"/>
          <w:lang w:eastAsia="en-GB"/>
        </w:rPr>
      </w:pPr>
      <w:r w:rsidRPr="00C76CBA">
        <w:rPr>
          <w:rFonts w:ascii="Arial" w:eastAsia="Times New Roman" w:hAnsi="Arial" w:cs="Arial"/>
          <w:b/>
          <w:bCs/>
          <w:sz w:val="24"/>
          <w:szCs w:val="20"/>
          <w:u w:val="single"/>
          <w:lang w:eastAsia="en-GB"/>
        </w:rPr>
        <w:lastRenderedPageBreak/>
        <w:t xml:space="preserve">Project events </w:t>
      </w:r>
    </w:p>
    <w:p w14:paraId="71723987" w14:textId="316F6C93" w:rsidR="008005FC" w:rsidRPr="00C76CBA" w:rsidRDefault="00B55170" w:rsidP="00B55170">
      <w:pPr>
        <w:jc w:val="both"/>
        <w:rPr>
          <w:rFonts w:ascii="Arial" w:eastAsia="Times New Roman" w:hAnsi="Arial" w:cs="Arial"/>
          <w:b/>
          <w:bCs/>
          <w:sz w:val="24"/>
          <w:szCs w:val="20"/>
          <w:lang w:eastAsia="en-GB"/>
        </w:rPr>
      </w:pPr>
      <w:r w:rsidRPr="00C76CBA">
        <w:rPr>
          <w:rFonts w:ascii="Arial" w:eastAsia="Times New Roman" w:hAnsi="Arial" w:cs="Arial"/>
          <w:b/>
          <w:bCs/>
          <w:sz w:val="24"/>
          <w:szCs w:val="20"/>
          <w:lang w:eastAsia="en-GB"/>
        </w:rPr>
        <w:t>GrinHy2.0 - Salzgitter</w:t>
      </w:r>
      <w:r w:rsidR="008005FC">
        <w:rPr>
          <w:rStyle w:val="FootnoteReference"/>
          <w:rFonts w:ascii="Arial" w:eastAsia="Times New Roman" w:hAnsi="Arial" w:cs="Arial"/>
          <w:b/>
          <w:bCs/>
          <w:sz w:val="24"/>
          <w:szCs w:val="20"/>
          <w:lang w:eastAsia="en-GB"/>
        </w:rPr>
        <w:footnoteReference w:id="96"/>
      </w:r>
      <w:r w:rsidRPr="00C76CBA">
        <w:rPr>
          <w:rFonts w:ascii="Arial" w:eastAsia="Times New Roman" w:hAnsi="Arial" w:cs="Arial"/>
          <w:b/>
          <w:bCs/>
          <w:sz w:val="24"/>
          <w:szCs w:val="20"/>
          <w:lang w:eastAsia="en-GB"/>
        </w:rPr>
        <w:t xml:space="preserve">  </w:t>
      </w:r>
    </w:p>
    <w:p w14:paraId="6A46665E" w14:textId="04FCCDDD" w:rsid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 xml:space="preserve">On July 14, the JU Executive Director, Bart Biebuyck was a guest of the GrInHy2.0 project, to discuss the progress of the project and the operation of the world's most powerful high temperature electrolyser.  </w:t>
      </w:r>
    </w:p>
    <w:p w14:paraId="46710020" w14:textId="781EB32C" w:rsidR="000F7D24" w:rsidRPr="00B55170" w:rsidRDefault="000F7D24" w:rsidP="00B55170">
      <w:pPr>
        <w:jc w:val="both"/>
        <w:rPr>
          <w:rFonts w:ascii="Arial" w:eastAsia="Times New Roman" w:hAnsi="Arial" w:cs="Arial"/>
          <w:sz w:val="24"/>
          <w:szCs w:val="20"/>
          <w:lang w:eastAsia="en-GB"/>
        </w:rPr>
      </w:pPr>
      <w:r>
        <w:rPr>
          <w:rFonts w:ascii="Source Sans Pro" w:hAnsi="Source Sans Pro"/>
          <w:noProof/>
          <w:color w:val="2B2B2B"/>
          <w:sz w:val="27"/>
          <w:szCs w:val="27"/>
          <w:shd w:val="clear" w:color="auto" w:fill="FFFFFF"/>
          <w:lang w:eastAsia="en-GB"/>
        </w:rPr>
        <w:drawing>
          <wp:inline distT="0" distB="0" distL="0" distR="0" wp14:anchorId="4CCCA03C" wp14:editId="612C045F">
            <wp:extent cx="5731510" cy="3863975"/>
            <wp:effectExtent l="0" t="0" r="2540" b="3175"/>
            <wp:docPr id="54" name="Picture 5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sm_GrInHy2.0_FCHJU_COMPILATION_b439eb46a3.png"/>
                    <pic:cNvPicPr/>
                  </pic:nvPicPr>
                  <pic:blipFill>
                    <a:blip r:embed="rId83">
                      <a:extLst>
                        <a:ext uri="{28A0092B-C50C-407E-A947-70E740481C1C}">
                          <a14:useLocalDpi xmlns:a14="http://schemas.microsoft.com/office/drawing/2010/main" val="0"/>
                        </a:ext>
                      </a:extLst>
                    </a:blip>
                    <a:stretch>
                      <a:fillRect/>
                    </a:stretch>
                  </pic:blipFill>
                  <pic:spPr>
                    <a:xfrm>
                      <a:off x="0" y="0"/>
                      <a:ext cx="5731510" cy="3863975"/>
                    </a:xfrm>
                    <a:prstGeom prst="rect">
                      <a:avLst/>
                    </a:prstGeom>
                  </pic:spPr>
                </pic:pic>
              </a:graphicData>
            </a:graphic>
          </wp:inline>
        </w:drawing>
      </w:r>
    </w:p>
    <w:p w14:paraId="29D215AB" w14:textId="6B1BBDAE" w:rsidR="00B55170" w:rsidRPr="000F7D24" w:rsidRDefault="00B55170" w:rsidP="00B55170">
      <w:pPr>
        <w:jc w:val="both"/>
        <w:rPr>
          <w:rFonts w:ascii="Arial" w:eastAsia="Times New Roman" w:hAnsi="Arial" w:cs="Arial"/>
          <w:b/>
          <w:bCs/>
          <w:sz w:val="24"/>
          <w:szCs w:val="20"/>
          <w:lang w:eastAsia="en-GB"/>
        </w:rPr>
      </w:pPr>
      <w:r w:rsidRPr="000F7D24">
        <w:rPr>
          <w:rFonts w:ascii="Arial" w:eastAsia="Times New Roman" w:hAnsi="Arial" w:cs="Arial"/>
          <w:b/>
          <w:bCs/>
          <w:sz w:val="24"/>
          <w:szCs w:val="20"/>
          <w:lang w:eastAsia="en-GB"/>
        </w:rPr>
        <w:t>Inauguration of Europe’s largest PEM electrolysis plant - Refhyne project</w:t>
      </w:r>
      <w:r w:rsidR="008005FC">
        <w:rPr>
          <w:rStyle w:val="FootnoteReference"/>
          <w:rFonts w:ascii="Arial" w:eastAsia="Times New Roman" w:hAnsi="Arial" w:cs="Arial"/>
          <w:b/>
          <w:bCs/>
          <w:sz w:val="24"/>
          <w:szCs w:val="20"/>
          <w:lang w:eastAsia="en-GB"/>
        </w:rPr>
        <w:footnoteReference w:id="97"/>
      </w:r>
    </w:p>
    <w:p w14:paraId="7B95FBB6" w14:textId="48EB4058"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 xml:space="preserve">The REFHYNE project is at the forefront of the effort to supply green hydrogen for Europe. Europe’s largest Polymer electrolyte membrane (PEM) water electrolyser began operations at Shell’s Energy and Chemicals Park in Rhineland near Cologne, producing green hydrogen. As part of the </w:t>
      </w:r>
      <w:hyperlink r:id="rId84" w:history="1">
        <w:r w:rsidRPr="00382360">
          <w:rPr>
            <w:rStyle w:val="Hyperlink"/>
            <w:rFonts w:ascii="Arial" w:eastAsia="Times New Roman" w:hAnsi="Arial" w:cs="Arial"/>
            <w:sz w:val="24"/>
            <w:szCs w:val="20"/>
            <w:lang w:eastAsia="en-GB"/>
          </w:rPr>
          <w:t>REFHYNE</w:t>
        </w:r>
      </w:hyperlink>
      <w:r w:rsidRPr="00B55170">
        <w:rPr>
          <w:rFonts w:ascii="Arial" w:eastAsia="Times New Roman" w:hAnsi="Arial" w:cs="Arial"/>
          <w:sz w:val="24"/>
          <w:szCs w:val="20"/>
          <w:lang w:eastAsia="en-GB"/>
        </w:rPr>
        <w:t xml:space="preserve"> European consortium and with EU funding through the JU, the fully operational plant is the first to use this technology at such a large scale in a refinery.</w:t>
      </w:r>
    </w:p>
    <w:p w14:paraId="43E676F8" w14:textId="00BE326F" w:rsidR="00B55170" w:rsidRPr="00B55170" w:rsidRDefault="00B55170" w:rsidP="00B55170">
      <w:pPr>
        <w:jc w:val="both"/>
        <w:rPr>
          <w:rFonts w:ascii="Arial" w:eastAsia="Times New Roman" w:hAnsi="Arial" w:cs="Arial"/>
          <w:sz w:val="24"/>
          <w:szCs w:val="20"/>
          <w:lang w:eastAsia="en-GB"/>
        </w:rPr>
      </w:pPr>
      <w:r w:rsidRPr="000F7D24">
        <w:rPr>
          <w:rFonts w:ascii="Arial" w:eastAsia="Times New Roman" w:hAnsi="Arial" w:cs="Arial"/>
          <w:b/>
          <w:bCs/>
          <w:sz w:val="24"/>
          <w:szCs w:val="20"/>
          <w:lang w:eastAsia="en-GB"/>
        </w:rPr>
        <w:t>EUSEW 2022</w:t>
      </w:r>
      <w:r w:rsidRPr="00B55170">
        <w:rPr>
          <w:rFonts w:ascii="Arial" w:eastAsia="Times New Roman" w:hAnsi="Arial" w:cs="Arial"/>
          <w:sz w:val="24"/>
          <w:szCs w:val="20"/>
          <w:lang w:eastAsia="en-GB"/>
        </w:rPr>
        <w:t xml:space="preserve">:  The </w:t>
      </w:r>
      <w:r w:rsidR="009B379E">
        <w:rPr>
          <w:rFonts w:ascii="Arial" w:eastAsia="Times New Roman" w:hAnsi="Arial" w:cs="Arial"/>
          <w:sz w:val="24"/>
          <w:szCs w:val="20"/>
          <w:lang w:eastAsia="en-GB"/>
        </w:rPr>
        <w:t>JU</w:t>
      </w:r>
      <w:r w:rsidRPr="00B55170">
        <w:rPr>
          <w:rFonts w:ascii="Arial" w:eastAsia="Times New Roman" w:hAnsi="Arial" w:cs="Arial"/>
          <w:sz w:val="24"/>
          <w:szCs w:val="20"/>
          <w:lang w:eastAsia="en-GB"/>
        </w:rPr>
        <w:t xml:space="preserve"> has co-hosted 3 high-level EUSEW sessions on greening European industry, to showcase ground-breaking JU-funded projects and initiatives. </w:t>
      </w:r>
    </w:p>
    <w:p w14:paraId="26A27E2A" w14:textId="1E884373" w:rsidR="00090DC4"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lastRenderedPageBreak/>
        <w:t>1.</w:t>
      </w:r>
      <w:r w:rsidRPr="00B55170">
        <w:rPr>
          <w:rFonts w:ascii="Arial" w:eastAsia="Times New Roman" w:hAnsi="Arial" w:cs="Arial"/>
          <w:sz w:val="24"/>
          <w:szCs w:val="20"/>
          <w:lang w:eastAsia="en-GB"/>
        </w:rPr>
        <w:tab/>
      </w:r>
      <w:r w:rsidRPr="00C76CBA">
        <w:rPr>
          <w:rFonts w:ascii="Arial" w:eastAsia="Times New Roman" w:hAnsi="Arial" w:cs="Arial"/>
          <w:b/>
          <w:bCs/>
          <w:sz w:val="24"/>
          <w:szCs w:val="20"/>
          <w:lang w:eastAsia="en-GB"/>
        </w:rPr>
        <w:t>Hydrogen and its potential to decarbonise industrial hubs through ports (14</w:t>
      </w:r>
      <w:r w:rsidR="008005FC" w:rsidRPr="00C76CBA">
        <w:rPr>
          <w:rFonts w:ascii="Arial" w:eastAsia="Times New Roman" w:hAnsi="Arial" w:cs="Arial"/>
          <w:b/>
          <w:bCs/>
          <w:sz w:val="24"/>
          <w:szCs w:val="20"/>
          <w:lang w:eastAsia="en-GB"/>
        </w:rPr>
        <w:t xml:space="preserve"> October 2021</w:t>
      </w:r>
      <w:r w:rsidRPr="00C76CBA">
        <w:rPr>
          <w:rFonts w:ascii="Arial" w:eastAsia="Times New Roman" w:hAnsi="Arial" w:cs="Arial"/>
          <w:b/>
          <w:bCs/>
          <w:sz w:val="24"/>
          <w:szCs w:val="20"/>
          <w:lang w:eastAsia="en-GB"/>
        </w:rPr>
        <w:t>)</w:t>
      </w:r>
      <w:r w:rsidR="00090DC4">
        <w:rPr>
          <w:rStyle w:val="FootnoteReference"/>
          <w:rFonts w:ascii="Arial" w:eastAsia="Times New Roman" w:hAnsi="Arial" w:cs="Arial"/>
          <w:b/>
          <w:bCs/>
          <w:sz w:val="24"/>
          <w:szCs w:val="20"/>
          <w:lang w:eastAsia="en-GB"/>
        </w:rPr>
        <w:footnoteReference w:id="98"/>
      </w:r>
    </w:p>
    <w:p w14:paraId="7B6ED9B0" w14:textId="1820351E"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 xml:space="preserve">This session brough together policy makers, industry representatives and regional authorities to talk about their experiences and share their visions on how ports can play a key role towards a green hydrogen economy. </w:t>
      </w:r>
    </w:p>
    <w:p w14:paraId="5B25B36D" w14:textId="5210B710" w:rsidR="00090DC4"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2.</w:t>
      </w:r>
      <w:r w:rsidRPr="00B55170">
        <w:rPr>
          <w:rFonts w:ascii="Arial" w:eastAsia="Times New Roman" w:hAnsi="Arial" w:cs="Arial"/>
          <w:sz w:val="24"/>
          <w:szCs w:val="20"/>
          <w:lang w:eastAsia="en-GB"/>
        </w:rPr>
        <w:tab/>
      </w:r>
      <w:r w:rsidRPr="00C76CBA">
        <w:rPr>
          <w:rFonts w:ascii="Arial" w:eastAsia="Times New Roman" w:hAnsi="Arial" w:cs="Arial"/>
          <w:b/>
          <w:bCs/>
          <w:sz w:val="24"/>
          <w:szCs w:val="20"/>
          <w:lang w:eastAsia="en-GB"/>
        </w:rPr>
        <w:t>Clean Steel with Hydrogen (18</w:t>
      </w:r>
      <w:r w:rsidR="008005FC" w:rsidRPr="00C76CBA">
        <w:rPr>
          <w:rFonts w:ascii="Arial" w:eastAsia="Times New Roman" w:hAnsi="Arial" w:cs="Arial"/>
          <w:b/>
          <w:bCs/>
          <w:sz w:val="24"/>
          <w:szCs w:val="20"/>
          <w:lang w:eastAsia="en-GB"/>
        </w:rPr>
        <w:t xml:space="preserve"> October 2021</w:t>
      </w:r>
      <w:r w:rsidRPr="00C76CBA">
        <w:rPr>
          <w:rFonts w:ascii="Arial" w:eastAsia="Times New Roman" w:hAnsi="Arial" w:cs="Arial"/>
          <w:b/>
          <w:bCs/>
          <w:sz w:val="24"/>
          <w:szCs w:val="20"/>
          <w:lang w:eastAsia="en-GB"/>
        </w:rPr>
        <w:t>)</w:t>
      </w:r>
      <w:r w:rsidR="00090DC4">
        <w:rPr>
          <w:rStyle w:val="FootnoteReference"/>
          <w:rFonts w:ascii="Arial" w:eastAsia="Times New Roman" w:hAnsi="Arial" w:cs="Arial"/>
          <w:b/>
          <w:bCs/>
          <w:sz w:val="24"/>
          <w:szCs w:val="20"/>
          <w:lang w:eastAsia="en-GB"/>
        </w:rPr>
        <w:footnoteReference w:id="99"/>
      </w:r>
    </w:p>
    <w:p w14:paraId="66A22DB8" w14:textId="664BD2C7" w:rsidR="00B55170" w:rsidRPr="00B55170" w:rsidRDefault="00090DC4" w:rsidP="00B55170">
      <w:pPr>
        <w:jc w:val="both"/>
        <w:rPr>
          <w:rFonts w:ascii="Arial" w:eastAsia="Times New Roman" w:hAnsi="Arial" w:cs="Arial"/>
          <w:sz w:val="24"/>
          <w:szCs w:val="20"/>
          <w:lang w:eastAsia="en-GB"/>
        </w:rPr>
      </w:pPr>
      <w:r>
        <w:rPr>
          <w:rFonts w:ascii="Arial" w:eastAsia="Times New Roman" w:hAnsi="Arial" w:cs="Arial"/>
          <w:sz w:val="24"/>
          <w:szCs w:val="20"/>
          <w:lang w:eastAsia="en-GB"/>
        </w:rPr>
        <w:t>A</w:t>
      </w:r>
      <w:r w:rsidR="00B55170" w:rsidRPr="00B55170">
        <w:rPr>
          <w:rFonts w:ascii="Arial" w:eastAsia="Times New Roman" w:hAnsi="Arial" w:cs="Arial"/>
          <w:sz w:val="24"/>
          <w:szCs w:val="20"/>
          <w:lang w:eastAsia="en-GB"/>
        </w:rPr>
        <w:t xml:space="preserve">chieving climate-neutrality in the next 30 years requires radical changes in the way steel is produced: a higher level of circular economy and the integration of renewable energy sources directly or indirectly through hydrogen. Participants discussed technology and policy issues related to the decarbonisation of the steel industry through hydrogen. </w:t>
      </w:r>
    </w:p>
    <w:p w14:paraId="76C0E48D" w14:textId="58ABF443" w:rsidR="00B55170" w:rsidRDefault="00B55170" w:rsidP="00B55170">
      <w:pPr>
        <w:jc w:val="both"/>
        <w:rPr>
          <w:rFonts w:ascii="Arial" w:eastAsia="Times New Roman" w:hAnsi="Arial" w:cs="Arial"/>
          <w:b/>
          <w:bCs/>
          <w:sz w:val="24"/>
          <w:szCs w:val="20"/>
          <w:lang w:eastAsia="en-GB"/>
        </w:rPr>
      </w:pPr>
      <w:r w:rsidRPr="00B55170">
        <w:rPr>
          <w:rFonts w:ascii="Arial" w:eastAsia="Times New Roman" w:hAnsi="Arial" w:cs="Arial"/>
          <w:sz w:val="24"/>
          <w:szCs w:val="20"/>
          <w:lang w:eastAsia="en-GB"/>
        </w:rPr>
        <w:t>3.</w:t>
      </w:r>
      <w:r w:rsidRPr="00B55170">
        <w:rPr>
          <w:rFonts w:ascii="Arial" w:eastAsia="Times New Roman" w:hAnsi="Arial" w:cs="Arial"/>
          <w:sz w:val="24"/>
          <w:szCs w:val="20"/>
          <w:lang w:eastAsia="en-GB"/>
        </w:rPr>
        <w:tab/>
      </w:r>
      <w:r w:rsidRPr="00C76CBA">
        <w:rPr>
          <w:rFonts w:ascii="Arial" w:eastAsia="Times New Roman" w:hAnsi="Arial" w:cs="Arial"/>
          <w:b/>
          <w:bCs/>
          <w:sz w:val="24"/>
          <w:szCs w:val="20"/>
          <w:lang w:eastAsia="en-GB"/>
        </w:rPr>
        <w:t>The key role of European regions in kick-starting and advancing the clean hydrogen economy (26 October</w:t>
      </w:r>
      <w:r w:rsidR="008005FC" w:rsidRPr="00C76CBA">
        <w:rPr>
          <w:rFonts w:ascii="Arial" w:eastAsia="Times New Roman" w:hAnsi="Arial" w:cs="Arial"/>
          <w:b/>
          <w:bCs/>
          <w:sz w:val="24"/>
          <w:szCs w:val="20"/>
          <w:lang w:eastAsia="en-GB"/>
        </w:rPr>
        <w:t xml:space="preserve"> 2021</w:t>
      </w:r>
      <w:r w:rsidRPr="00C76CBA">
        <w:rPr>
          <w:rFonts w:ascii="Arial" w:eastAsia="Times New Roman" w:hAnsi="Arial" w:cs="Arial"/>
          <w:b/>
          <w:bCs/>
          <w:sz w:val="24"/>
          <w:szCs w:val="20"/>
          <w:lang w:eastAsia="en-GB"/>
        </w:rPr>
        <w:t>)</w:t>
      </w:r>
      <w:r w:rsidR="00825D61">
        <w:rPr>
          <w:rStyle w:val="FootnoteReference"/>
          <w:rFonts w:ascii="Arial" w:eastAsia="Times New Roman" w:hAnsi="Arial" w:cs="Arial"/>
          <w:b/>
          <w:bCs/>
          <w:sz w:val="24"/>
          <w:szCs w:val="20"/>
          <w:lang w:eastAsia="en-GB"/>
        </w:rPr>
        <w:footnoteReference w:id="100"/>
      </w:r>
    </w:p>
    <w:p w14:paraId="57C6A194" w14:textId="2B9A0D15" w:rsidR="00825D61" w:rsidRDefault="00825D61" w:rsidP="00B55170">
      <w:pPr>
        <w:jc w:val="both"/>
        <w:rPr>
          <w:rFonts w:ascii="Arial" w:eastAsia="Times New Roman" w:hAnsi="Arial" w:cs="Arial"/>
          <w:sz w:val="24"/>
          <w:szCs w:val="20"/>
          <w:lang w:eastAsia="en-GB"/>
        </w:rPr>
      </w:pPr>
      <w:r w:rsidRPr="00C76CBA">
        <w:rPr>
          <w:rFonts w:ascii="Arial" w:eastAsia="Times New Roman" w:hAnsi="Arial" w:cs="Arial"/>
          <w:sz w:val="24"/>
          <w:szCs w:val="20"/>
          <w:lang w:eastAsia="en-GB"/>
        </w:rPr>
        <w:t xml:space="preserve">The increasing importance of clean hydrogen in the energy mix provides opportunities and raises as much if not more questions. The entire clean hydrogen value chain can support sustainable regional development, increase </w:t>
      </w:r>
      <w:proofErr w:type="gramStart"/>
      <w:r w:rsidRPr="00C76CBA">
        <w:rPr>
          <w:rFonts w:ascii="Arial" w:eastAsia="Times New Roman" w:hAnsi="Arial" w:cs="Arial"/>
          <w:sz w:val="24"/>
          <w:szCs w:val="20"/>
          <w:lang w:eastAsia="en-GB"/>
        </w:rPr>
        <w:t>growth</w:t>
      </w:r>
      <w:proofErr w:type="gramEnd"/>
      <w:r w:rsidRPr="00C76CBA">
        <w:rPr>
          <w:rFonts w:ascii="Arial" w:eastAsia="Times New Roman" w:hAnsi="Arial" w:cs="Arial"/>
          <w:sz w:val="24"/>
          <w:szCs w:val="20"/>
          <w:lang w:eastAsia="en-GB"/>
        </w:rPr>
        <w:t xml:space="preserve"> and provide long-term employment. The speakers and panelists shared their experience and views with the audience in developing a hydrogen economy.</w:t>
      </w:r>
    </w:p>
    <w:p w14:paraId="4FF4A536" w14:textId="77777777" w:rsidR="00825D61" w:rsidRPr="00B55170" w:rsidRDefault="00825D61" w:rsidP="00B55170">
      <w:pPr>
        <w:jc w:val="both"/>
        <w:rPr>
          <w:rFonts w:ascii="Arial" w:eastAsia="Times New Roman" w:hAnsi="Arial" w:cs="Arial"/>
          <w:sz w:val="24"/>
          <w:szCs w:val="20"/>
          <w:lang w:eastAsia="en-GB"/>
        </w:rPr>
      </w:pPr>
    </w:p>
    <w:p w14:paraId="610CE6F6" w14:textId="05E200B3" w:rsidR="00B55170" w:rsidRPr="000F7D24" w:rsidRDefault="00B55170" w:rsidP="00B55170">
      <w:pPr>
        <w:jc w:val="both"/>
        <w:rPr>
          <w:rFonts w:ascii="Arial" w:eastAsia="Times New Roman" w:hAnsi="Arial" w:cs="Arial"/>
          <w:b/>
          <w:bCs/>
          <w:sz w:val="24"/>
          <w:szCs w:val="20"/>
          <w:u w:val="single"/>
          <w:lang w:eastAsia="en-GB"/>
        </w:rPr>
      </w:pPr>
      <w:r w:rsidRPr="000F7D24">
        <w:rPr>
          <w:rFonts w:ascii="Arial" w:eastAsia="Times New Roman" w:hAnsi="Arial" w:cs="Arial"/>
          <w:b/>
          <w:bCs/>
          <w:sz w:val="24"/>
          <w:szCs w:val="20"/>
          <w:u w:val="single"/>
          <w:lang w:eastAsia="en-GB"/>
        </w:rPr>
        <w:t xml:space="preserve">Other events with JU participation </w:t>
      </w:r>
    </w:p>
    <w:p w14:paraId="47056161" w14:textId="4DB1AEC1" w:rsidR="00B55170" w:rsidRDefault="00B55170" w:rsidP="00B55170">
      <w:pPr>
        <w:jc w:val="both"/>
        <w:rPr>
          <w:rFonts w:ascii="Arial" w:eastAsia="Times New Roman" w:hAnsi="Arial" w:cs="Arial"/>
          <w:b/>
          <w:bCs/>
          <w:sz w:val="24"/>
          <w:szCs w:val="20"/>
          <w:lang w:eastAsia="en-GB"/>
        </w:rPr>
      </w:pPr>
      <w:r w:rsidRPr="00C76CBA">
        <w:rPr>
          <w:rFonts w:ascii="Arial" w:eastAsia="Times New Roman" w:hAnsi="Arial" w:cs="Arial"/>
          <w:b/>
          <w:bCs/>
          <w:sz w:val="24"/>
          <w:szCs w:val="20"/>
          <w:lang w:eastAsia="en-GB"/>
        </w:rPr>
        <w:t xml:space="preserve">EU Regions Week: Youth Engagement for the European Green Deal and a Carbon-Neutral Society with Hydrogen </w:t>
      </w:r>
      <w:r w:rsidR="00B33680">
        <w:rPr>
          <w:rFonts w:ascii="Arial" w:eastAsia="Times New Roman" w:hAnsi="Arial" w:cs="Arial"/>
          <w:b/>
          <w:bCs/>
          <w:sz w:val="24"/>
          <w:szCs w:val="20"/>
          <w:lang w:eastAsia="en-GB"/>
        </w:rPr>
        <w:t>(13 October 2021)</w:t>
      </w:r>
      <w:r w:rsidR="002729B9">
        <w:rPr>
          <w:rStyle w:val="FootnoteReference"/>
          <w:rFonts w:ascii="Arial" w:eastAsia="Times New Roman" w:hAnsi="Arial" w:cs="Arial"/>
          <w:b/>
          <w:bCs/>
          <w:sz w:val="24"/>
          <w:szCs w:val="20"/>
          <w:lang w:eastAsia="en-GB"/>
        </w:rPr>
        <w:footnoteReference w:id="101"/>
      </w:r>
    </w:p>
    <w:p w14:paraId="03966B90" w14:textId="77777777" w:rsidR="00B33680" w:rsidRPr="00C76CBA" w:rsidRDefault="00B33680" w:rsidP="00C76CBA">
      <w:pPr>
        <w:spacing w:after="180" w:line="240" w:lineRule="auto"/>
        <w:jc w:val="both"/>
        <w:textAlignment w:val="baseline"/>
        <w:rPr>
          <w:rFonts w:ascii="Arial" w:eastAsia="Times New Roman" w:hAnsi="Arial" w:cs="Arial"/>
          <w:sz w:val="24"/>
          <w:szCs w:val="20"/>
          <w:lang w:eastAsia="en-GB"/>
        </w:rPr>
      </w:pPr>
      <w:r w:rsidRPr="00C76CBA">
        <w:rPr>
          <w:rFonts w:ascii="Arial" w:eastAsia="Times New Roman" w:hAnsi="Arial" w:cs="Arial"/>
          <w:sz w:val="24"/>
          <w:szCs w:val="20"/>
          <w:lang w:eastAsia="en-GB"/>
        </w:rPr>
        <w:t xml:space="preserve">At the core of the European Green Deal lies the need to fight climate change. Hydrogen technologies are an important part of the overall solution for meeting the 2050 climate-neutrality goal of the European Green Deal. The involvement and support of the younger generation is essential </w:t>
      </w:r>
      <w:proofErr w:type="gramStart"/>
      <w:r w:rsidRPr="00C76CBA">
        <w:rPr>
          <w:rFonts w:ascii="Arial" w:eastAsia="Times New Roman" w:hAnsi="Arial" w:cs="Arial"/>
          <w:sz w:val="24"/>
          <w:szCs w:val="20"/>
          <w:lang w:eastAsia="en-GB"/>
        </w:rPr>
        <w:t>in order to</w:t>
      </w:r>
      <w:proofErr w:type="gramEnd"/>
      <w:r w:rsidRPr="00C76CBA">
        <w:rPr>
          <w:rFonts w:ascii="Arial" w:eastAsia="Times New Roman" w:hAnsi="Arial" w:cs="Arial"/>
          <w:sz w:val="24"/>
          <w:szCs w:val="20"/>
          <w:lang w:eastAsia="en-GB"/>
        </w:rPr>
        <w:t xml:space="preserve"> increase confidence in and acceptance of these new technologies.</w:t>
      </w:r>
    </w:p>
    <w:p w14:paraId="3CA91F85" w14:textId="77777777" w:rsidR="00B33680" w:rsidRPr="00C76CBA" w:rsidRDefault="00B33680" w:rsidP="00C76CBA">
      <w:pPr>
        <w:spacing w:after="180" w:line="240" w:lineRule="auto"/>
        <w:jc w:val="both"/>
        <w:textAlignment w:val="baseline"/>
        <w:rPr>
          <w:rFonts w:ascii="Arial" w:eastAsia="Times New Roman" w:hAnsi="Arial" w:cs="Arial"/>
          <w:sz w:val="24"/>
          <w:szCs w:val="20"/>
          <w:lang w:eastAsia="en-GB"/>
        </w:rPr>
      </w:pPr>
      <w:r w:rsidRPr="00C76CBA">
        <w:rPr>
          <w:rFonts w:ascii="Arial" w:eastAsia="Times New Roman" w:hAnsi="Arial" w:cs="Arial"/>
          <w:sz w:val="24"/>
          <w:szCs w:val="20"/>
          <w:lang w:eastAsia="en-GB"/>
        </w:rPr>
        <w:t>The workshop brought together local and regional authorities, industry and business sectors and young people to learn from each other and see the impact that young people can have and their possibilities to influence the decision-making process.</w:t>
      </w:r>
    </w:p>
    <w:p w14:paraId="68A4B361" w14:textId="77777777" w:rsidR="00B33680" w:rsidRPr="00C76CBA" w:rsidRDefault="00B33680" w:rsidP="00B55170">
      <w:pPr>
        <w:jc w:val="both"/>
        <w:rPr>
          <w:rFonts w:ascii="Arial" w:eastAsia="Times New Roman" w:hAnsi="Arial" w:cs="Arial"/>
          <w:b/>
          <w:bCs/>
          <w:sz w:val="24"/>
          <w:szCs w:val="20"/>
          <w:lang w:eastAsia="en-GB"/>
        </w:rPr>
      </w:pPr>
    </w:p>
    <w:p w14:paraId="3475A34D" w14:textId="511C3A27" w:rsidR="00B55170" w:rsidRDefault="00B55170" w:rsidP="00B55170">
      <w:pPr>
        <w:jc w:val="both"/>
        <w:rPr>
          <w:rFonts w:ascii="Arial" w:eastAsia="Times New Roman" w:hAnsi="Arial" w:cs="Arial"/>
          <w:sz w:val="24"/>
          <w:szCs w:val="20"/>
          <w:lang w:eastAsia="en-GB"/>
        </w:rPr>
      </w:pPr>
      <w:r w:rsidRPr="000F7D24">
        <w:rPr>
          <w:rFonts w:ascii="Arial" w:eastAsia="Times New Roman" w:hAnsi="Arial" w:cs="Arial"/>
          <w:b/>
          <w:bCs/>
          <w:sz w:val="24"/>
          <w:szCs w:val="20"/>
          <w:lang w:eastAsia="en-GB"/>
        </w:rPr>
        <w:t>COP 26 event</w:t>
      </w:r>
      <w:r w:rsidRPr="00B55170">
        <w:rPr>
          <w:rFonts w:ascii="Arial" w:eastAsia="Times New Roman" w:hAnsi="Arial" w:cs="Arial"/>
          <w:sz w:val="24"/>
          <w:szCs w:val="20"/>
          <w:lang w:eastAsia="en-GB"/>
        </w:rPr>
        <w:t xml:space="preserve">: the JU was part of the programme of the Science, technology, research, and innovation Day at COP26, which took place on </w:t>
      </w:r>
      <w:r w:rsidR="002729B9">
        <w:rPr>
          <w:rFonts w:ascii="Arial" w:eastAsia="Times New Roman" w:hAnsi="Arial" w:cs="Arial"/>
          <w:sz w:val="24"/>
          <w:szCs w:val="20"/>
          <w:lang w:eastAsia="en-GB"/>
        </w:rPr>
        <w:t>1 November 2021</w:t>
      </w:r>
      <w:r w:rsidRPr="00B55170">
        <w:rPr>
          <w:rFonts w:ascii="Arial" w:eastAsia="Times New Roman" w:hAnsi="Arial" w:cs="Arial"/>
          <w:sz w:val="24"/>
          <w:szCs w:val="20"/>
          <w:lang w:eastAsia="en-GB"/>
        </w:rPr>
        <w:t>. The session highlighted how R&amp;I funding, corporate companies, start-ups, and local authorities can work together to make the hydrogen transformation become a reality.</w:t>
      </w:r>
    </w:p>
    <w:p w14:paraId="75A8DBFB" w14:textId="1CE0F475" w:rsidR="002729B9" w:rsidRPr="002729B9" w:rsidRDefault="002729B9" w:rsidP="00B55170">
      <w:pPr>
        <w:jc w:val="both"/>
        <w:rPr>
          <w:rFonts w:ascii="Arial" w:eastAsia="Times New Roman" w:hAnsi="Arial" w:cs="Arial"/>
          <w:sz w:val="24"/>
          <w:szCs w:val="20"/>
          <w:lang w:eastAsia="en-GB"/>
        </w:rPr>
      </w:pPr>
      <w:r w:rsidRPr="002729B9">
        <w:rPr>
          <w:rFonts w:ascii="Arial" w:eastAsia="Times New Roman" w:hAnsi="Arial" w:cs="Arial"/>
          <w:sz w:val="24"/>
          <w:szCs w:val="20"/>
          <w:lang w:eastAsia="en-GB"/>
        </w:rPr>
        <w:t>In</w:t>
      </w:r>
      <w:r w:rsidRPr="00C76CBA">
        <w:rPr>
          <w:rFonts w:ascii="Arial" w:eastAsia="Times New Roman" w:hAnsi="Arial" w:cs="Arial"/>
          <w:sz w:val="24"/>
          <w:szCs w:val="20"/>
          <w:lang w:eastAsia="en-GB"/>
        </w:rPr>
        <w:t xml:space="preserve"> addition, </w:t>
      </w:r>
      <w:r w:rsidRPr="00B55170">
        <w:rPr>
          <w:rFonts w:ascii="Arial" w:eastAsia="Times New Roman" w:hAnsi="Arial" w:cs="Arial"/>
          <w:sz w:val="24"/>
          <w:szCs w:val="20"/>
          <w:lang w:eastAsia="en-GB"/>
        </w:rPr>
        <w:t>the JU presented the new policy and finance models for ‘hydrogen valleys</w:t>
      </w:r>
      <w:r>
        <w:rPr>
          <w:rFonts w:ascii="Arial" w:eastAsia="Times New Roman" w:hAnsi="Arial" w:cs="Arial"/>
          <w:sz w:val="24"/>
          <w:szCs w:val="20"/>
          <w:lang w:eastAsia="en-GB"/>
        </w:rPr>
        <w:t xml:space="preserve"> at </w:t>
      </w:r>
      <w:r w:rsidRPr="00B55170">
        <w:rPr>
          <w:rFonts w:ascii="Arial" w:eastAsia="Times New Roman" w:hAnsi="Arial" w:cs="Arial"/>
          <w:sz w:val="24"/>
          <w:szCs w:val="20"/>
          <w:lang w:eastAsia="en-GB"/>
        </w:rPr>
        <w:t xml:space="preserve">the </w:t>
      </w:r>
      <w:r w:rsidRPr="000F7D24">
        <w:rPr>
          <w:rFonts w:ascii="Arial" w:eastAsia="Times New Roman" w:hAnsi="Arial" w:cs="Arial"/>
          <w:b/>
          <w:bCs/>
          <w:sz w:val="24"/>
          <w:szCs w:val="20"/>
          <w:lang w:eastAsia="en-GB"/>
        </w:rPr>
        <w:t>H2 Transition Forum in Glasgow</w:t>
      </w:r>
      <w:r>
        <w:rPr>
          <w:rStyle w:val="FootnoteReference"/>
          <w:rFonts w:ascii="Arial" w:eastAsia="Times New Roman" w:hAnsi="Arial" w:cs="Arial"/>
          <w:b/>
          <w:bCs/>
          <w:sz w:val="24"/>
          <w:szCs w:val="20"/>
          <w:lang w:eastAsia="en-GB"/>
        </w:rPr>
        <w:footnoteReference w:id="102"/>
      </w:r>
      <w:r w:rsidRPr="00B55170">
        <w:rPr>
          <w:rFonts w:ascii="Arial" w:eastAsia="Times New Roman" w:hAnsi="Arial" w:cs="Arial"/>
          <w:sz w:val="24"/>
          <w:szCs w:val="20"/>
          <w:lang w:eastAsia="en-GB"/>
        </w:rPr>
        <w:t>, which took place on 11 November 2021</w:t>
      </w:r>
      <w:r>
        <w:rPr>
          <w:rFonts w:ascii="Arial" w:eastAsia="Times New Roman" w:hAnsi="Arial" w:cs="Arial"/>
          <w:sz w:val="24"/>
          <w:szCs w:val="20"/>
          <w:lang w:eastAsia="en-GB"/>
        </w:rPr>
        <w:t>.</w:t>
      </w:r>
    </w:p>
    <w:p w14:paraId="20068B61" w14:textId="4D42B4CB" w:rsidR="00B55170" w:rsidRPr="00487E79" w:rsidRDefault="00B55170" w:rsidP="00B55170">
      <w:pPr>
        <w:jc w:val="both"/>
        <w:rPr>
          <w:rFonts w:ascii="Arial" w:eastAsia="Times New Roman" w:hAnsi="Arial" w:cs="Arial"/>
          <w:b/>
          <w:bCs/>
          <w:sz w:val="24"/>
          <w:szCs w:val="20"/>
          <w:lang w:eastAsia="en-GB"/>
        </w:rPr>
      </w:pPr>
      <w:r w:rsidRPr="00487E79">
        <w:rPr>
          <w:rFonts w:ascii="Arial" w:eastAsia="Times New Roman" w:hAnsi="Arial" w:cs="Arial"/>
          <w:b/>
          <w:bCs/>
          <w:sz w:val="24"/>
          <w:szCs w:val="20"/>
          <w:lang w:eastAsia="en-GB"/>
        </w:rPr>
        <w:t>Expo Dubai 2021 – Swedish Pavilion</w:t>
      </w:r>
      <w:r w:rsidR="002729B9">
        <w:rPr>
          <w:rStyle w:val="FootnoteReference"/>
          <w:rFonts w:ascii="Arial" w:eastAsia="Times New Roman" w:hAnsi="Arial" w:cs="Arial"/>
          <w:b/>
          <w:bCs/>
          <w:sz w:val="24"/>
          <w:szCs w:val="20"/>
          <w:lang w:eastAsia="en-GB"/>
        </w:rPr>
        <w:footnoteReference w:id="103"/>
      </w:r>
    </w:p>
    <w:p w14:paraId="361DC9E0" w14:textId="76DC7D0C" w:rsidR="00B55170" w:rsidRPr="00B55170"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On 3-4 October 2021</w:t>
      </w:r>
      <w:r w:rsidR="00382360">
        <w:rPr>
          <w:rFonts w:ascii="Arial" w:eastAsia="Times New Roman" w:hAnsi="Arial" w:cs="Arial"/>
          <w:sz w:val="24"/>
          <w:szCs w:val="20"/>
          <w:lang w:eastAsia="en-GB"/>
        </w:rPr>
        <w:t>,</w:t>
      </w:r>
      <w:r w:rsidRPr="00B55170">
        <w:rPr>
          <w:rFonts w:ascii="Arial" w:eastAsia="Times New Roman" w:hAnsi="Arial" w:cs="Arial"/>
          <w:sz w:val="24"/>
          <w:szCs w:val="20"/>
          <w:lang w:eastAsia="en-GB"/>
        </w:rPr>
        <w:t xml:space="preserve"> </w:t>
      </w:r>
      <w:r w:rsidR="00382360">
        <w:rPr>
          <w:rFonts w:ascii="Arial" w:eastAsia="Times New Roman" w:hAnsi="Arial" w:cs="Arial"/>
          <w:sz w:val="24"/>
          <w:szCs w:val="20"/>
          <w:lang w:eastAsia="en-GB"/>
        </w:rPr>
        <w:t>t</w:t>
      </w:r>
      <w:r w:rsidRPr="00B55170">
        <w:rPr>
          <w:rFonts w:ascii="Arial" w:eastAsia="Times New Roman" w:hAnsi="Arial" w:cs="Arial"/>
          <w:sz w:val="24"/>
          <w:szCs w:val="20"/>
          <w:lang w:eastAsia="en-GB"/>
        </w:rPr>
        <w:t xml:space="preserve">he JU </w:t>
      </w:r>
      <w:r w:rsidR="00302998">
        <w:rPr>
          <w:rFonts w:ascii="Arial" w:eastAsia="Times New Roman" w:hAnsi="Arial" w:cs="Arial"/>
          <w:sz w:val="24"/>
          <w:szCs w:val="20"/>
          <w:lang w:eastAsia="en-GB"/>
        </w:rPr>
        <w:t>E</w:t>
      </w:r>
      <w:r w:rsidRPr="00B55170">
        <w:rPr>
          <w:rFonts w:ascii="Arial" w:eastAsia="Times New Roman" w:hAnsi="Arial" w:cs="Arial"/>
          <w:sz w:val="24"/>
          <w:szCs w:val="20"/>
          <w:lang w:eastAsia="en-GB"/>
        </w:rPr>
        <w:t xml:space="preserve">xecutive </w:t>
      </w:r>
      <w:r w:rsidR="00302998">
        <w:rPr>
          <w:rFonts w:ascii="Arial" w:eastAsia="Times New Roman" w:hAnsi="Arial" w:cs="Arial"/>
          <w:sz w:val="24"/>
          <w:szCs w:val="20"/>
          <w:lang w:eastAsia="en-GB"/>
        </w:rPr>
        <w:t>D</w:t>
      </w:r>
      <w:r w:rsidRPr="00B55170">
        <w:rPr>
          <w:rFonts w:ascii="Arial" w:eastAsia="Times New Roman" w:hAnsi="Arial" w:cs="Arial"/>
          <w:sz w:val="24"/>
          <w:szCs w:val="20"/>
          <w:lang w:eastAsia="en-GB"/>
        </w:rPr>
        <w:t>irector, Bart Biebuyck, participated in a high</w:t>
      </w:r>
      <w:r w:rsidR="002729B9">
        <w:rPr>
          <w:rFonts w:ascii="Arial" w:eastAsia="Times New Roman" w:hAnsi="Arial" w:cs="Arial"/>
          <w:sz w:val="24"/>
          <w:szCs w:val="20"/>
          <w:lang w:eastAsia="en-GB"/>
        </w:rPr>
        <w:t>-</w:t>
      </w:r>
      <w:r w:rsidRPr="00B55170">
        <w:rPr>
          <w:rFonts w:ascii="Arial" w:eastAsia="Times New Roman" w:hAnsi="Arial" w:cs="Arial"/>
          <w:sz w:val="24"/>
          <w:szCs w:val="20"/>
          <w:lang w:eastAsia="en-GB"/>
        </w:rPr>
        <w:t xml:space="preserve">level event organised in the framework of Expo2020 which aimed to highlight the EU’s excellence in research and innovation as a tool towards climate neutrality and sustainability. The high-level event brought together policy makers and innovators from the EU and the world to present the new EU research and innovation programme (Horizon Europe) and the Mission Innovation initiative. It was also an occasion to showcase some of the JU projects. </w:t>
      </w:r>
    </w:p>
    <w:p w14:paraId="394B5EA9" w14:textId="17F6ACBA" w:rsidR="002729B9" w:rsidRDefault="00B55170" w:rsidP="00B55170">
      <w:pPr>
        <w:jc w:val="both"/>
        <w:rPr>
          <w:rFonts w:ascii="Arial" w:eastAsia="Times New Roman" w:hAnsi="Arial" w:cs="Arial"/>
          <w:sz w:val="24"/>
          <w:szCs w:val="20"/>
          <w:lang w:eastAsia="en-GB"/>
        </w:rPr>
      </w:pPr>
      <w:r w:rsidRPr="00B55170">
        <w:rPr>
          <w:rFonts w:ascii="Arial" w:eastAsia="Times New Roman" w:hAnsi="Arial" w:cs="Arial"/>
          <w:sz w:val="24"/>
          <w:szCs w:val="20"/>
          <w:lang w:eastAsia="en-GB"/>
        </w:rPr>
        <w:t xml:space="preserve">The JU also participated in two events organised jointly with the EU Council Presidencies of 2021:  </w:t>
      </w:r>
    </w:p>
    <w:p w14:paraId="25566B5B" w14:textId="419D21A4" w:rsidR="002729B9" w:rsidRDefault="00886492" w:rsidP="00B55170">
      <w:pPr>
        <w:jc w:val="both"/>
        <w:rPr>
          <w:rFonts w:ascii="Arial" w:eastAsia="Times New Roman" w:hAnsi="Arial" w:cs="Arial"/>
          <w:sz w:val="24"/>
          <w:szCs w:val="20"/>
          <w:lang w:eastAsia="en-GB"/>
        </w:rPr>
      </w:pPr>
      <w:r>
        <w:rPr>
          <w:rFonts w:ascii="Arial" w:eastAsia="Times New Roman" w:hAnsi="Arial" w:cs="Arial"/>
          <w:sz w:val="24"/>
          <w:szCs w:val="20"/>
          <w:lang w:eastAsia="en-GB"/>
        </w:rPr>
        <w:t>The</w:t>
      </w:r>
      <w:r w:rsidR="002729B9">
        <w:rPr>
          <w:rFonts w:ascii="Arial" w:eastAsia="Times New Roman" w:hAnsi="Arial" w:cs="Arial"/>
          <w:sz w:val="24"/>
          <w:szCs w:val="20"/>
          <w:lang w:eastAsia="en-GB"/>
        </w:rPr>
        <w:t xml:space="preserve"> </w:t>
      </w:r>
      <w:r w:rsidR="00B55170" w:rsidRPr="00C76CBA">
        <w:rPr>
          <w:rFonts w:ascii="Arial" w:eastAsia="Times New Roman" w:hAnsi="Arial" w:cs="Arial"/>
          <w:b/>
          <w:bCs/>
          <w:sz w:val="24"/>
          <w:szCs w:val="20"/>
          <w:lang w:eastAsia="en-GB"/>
        </w:rPr>
        <w:t>Conference on a Hydrogen ecosystem for North Adriatic</w:t>
      </w:r>
      <w:r>
        <w:rPr>
          <w:rStyle w:val="FootnoteReference"/>
          <w:rFonts w:ascii="Arial" w:eastAsia="Times New Roman" w:hAnsi="Arial" w:cs="Arial"/>
          <w:b/>
          <w:bCs/>
          <w:sz w:val="24"/>
          <w:szCs w:val="20"/>
          <w:lang w:eastAsia="en-GB"/>
        </w:rPr>
        <w:footnoteReference w:id="104"/>
      </w:r>
      <w:r w:rsidR="002729B9">
        <w:rPr>
          <w:rFonts w:ascii="Arial" w:eastAsia="Times New Roman" w:hAnsi="Arial" w:cs="Arial"/>
          <w:sz w:val="24"/>
          <w:szCs w:val="20"/>
          <w:lang w:eastAsia="en-GB"/>
        </w:rPr>
        <w:t xml:space="preserve"> </w:t>
      </w:r>
      <w:r w:rsidR="00B55170" w:rsidRPr="00B55170">
        <w:rPr>
          <w:rFonts w:ascii="Arial" w:eastAsia="Times New Roman" w:hAnsi="Arial" w:cs="Arial"/>
          <w:sz w:val="24"/>
          <w:szCs w:val="20"/>
          <w:lang w:eastAsia="en-GB"/>
        </w:rPr>
        <w:t xml:space="preserve">on </w:t>
      </w:r>
      <w:r w:rsidR="002729B9">
        <w:rPr>
          <w:rFonts w:ascii="Arial" w:eastAsia="Times New Roman" w:hAnsi="Arial" w:cs="Arial"/>
          <w:sz w:val="24"/>
          <w:szCs w:val="20"/>
          <w:lang w:eastAsia="en-GB"/>
        </w:rPr>
        <w:t xml:space="preserve">24 </w:t>
      </w:r>
      <w:r w:rsidR="00B55170" w:rsidRPr="00B55170">
        <w:rPr>
          <w:rFonts w:ascii="Arial" w:eastAsia="Times New Roman" w:hAnsi="Arial" w:cs="Arial"/>
          <w:sz w:val="24"/>
          <w:szCs w:val="20"/>
          <w:lang w:eastAsia="en-GB"/>
        </w:rPr>
        <w:t>November 2021</w:t>
      </w:r>
      <w:r>
        <w:rPr>
          <w:rFonts w:ascii="Arial" w:eastAsia="Times New Roman" w:hAnsi="Arial" w:cs="Arial"/>
          <w:sz w:val="24"/>
          <w:szCs w:val="20"/>
          <w:lang w:eastAsia="en-GB"/>
        </w:rPr>
        <w:t xml:space="preserve"> </w:t>
      </w:r>
      <w:r w:rsidR="002729B9">
        <w:rPr>
          <w:rFonts w:ascii="Arial" w:eastAsia="Times New Roman" w:hAnsi="Arial" w:cs="Arial"/>
          <w:sz w:val="24"/>
          <w:szCs w:val="20"/>
          <w:lang w:eastAsia="en-GB"/>
        </w:rPr>
        <w:t xml:space="preserve">was part </w:t>
      </w:r>
      <w:r w:rsidR="002729B9" w:rsidRPr="002729B9">
        <w:rPr>
          <w:rFonts w:ascii="Arial" w:eastAsia="Times New Roman" w:hAnsi="Arial" w:cs="Arial"/>
          <w:sz w:val="24"/>
          <w:szCs w:val="20"/>
          <w:lang w:eastAsia="en-GB"/>
        </w:rPr>
        <w:t>of the agenda of Slovenian presidency of the Council of the European Union,</w:t>
      </w:r>
      <w:r w:rsidR="002729B9">
        <w:rPr>
          <w:rFonts w:ascii="Arial" w:eastAsia="Times New Roman" w:hAnsi="Arial" w:cs="Arial"/>
          <w:sz w:val="24"/>
          <w:szCs w:val="20"/>
          <w:lang w:eastAsia="en-GB"/>
        </w:rPr>
        <w:t xml:space="preserve"> </w:t>
      </w:r>
      <w:r w:rsidR="002729B9" w:rsidRPr="002729B9">
        <w:rPr>
          <w:rFonts w:ascii="Arial" w:eastAsia="Times New Roman" w:hAnsi="Arial" w:cs="Arial"/>
          <w:sz w:val="24"/>
          <w:szCs w:val="20"/>
          <w:lang w:eastAsia="en-GB"/>
        </w:rPr>
        <w:t>and a side event to the 15th SET PLAN Conference Bled</w:t>
      </w:r>
      <w:r w:rsidR="002729B9">
        <w:rPr>
          <w:rFonts w:ascii="Arial" w:eastAsia="Times New Roman" w:hAnsi="Arial" w:cs="Arial"/>
          <w:sz w:val="24"/>
          <w:szCs w:val="20"/>
          <w:lang w:eastAsia="en-GB"/>
        </w:rPr>
        <w:t>.</w:t>
      </w:r>
    </w:p>
    <w:p w14:paraId="4CE0E4B6" w14:textId="67D5F24B" w:rsidR="00B55170" w:rsidRPr="00B55170" w:rsidRDefault="00886492" w:rsidP="00B55170">
      <w:pPr>
        <w:jc w:val="both"/>
        <w:rPr>
          <w:rFonts w:ascii="Arial" w:eastAsia="Times New Roman" w:hAnsi="Arial" w:cs="Arial"/>
          <w:sz w:val="24"/>
          <w:szCs w:val="20"/>
          <w:lang w:eastAsia="en-GB"/>
        </w:rPr>
      </w:pPr>
      <w:r>
        <w:rPr>
          <w:rFonts w:ascii="Arial" w:eastAsia="Times New Roman" w:hAnsi="Arial" w:cs="Arial"/>
          <w:sz w:val="24"/>
          <w:szCs w:val="20"/>
          <w:lang w:eastAsia="en-GB"/>
        </w:rPr>
        <w:t>The</w:t>
      </w:r>
      <w:r w:rsidR="00B55170" w:rsidRPr="00B55170">
        <w:rPr>
          <w:rFonts w:ascii="Arial" w:eastAsia="Times New Roman" w:hAnsi="Arial" w:cs="Arial"/>
          <w:sz w:val="24"/>
          <w:szCs w:val="20"/>
          <w:lang w:eastAsia="en-GB"/>
        </w:rPr>
        <w:t xml:space="preserve"> High-Level Conference on </w:t>
      </w:r>
      <w:r w:rsidR="00B55170" w:rsidRPr="00C76CBA">
        <w:rPr>
          <w:rFonts w:ascii="Arial" w:eastAsia="Times New Roman" w:hAnsi="Arial" w:cs="Arial"/>
          <w:b/>
          <w:bCs/>
          <w:sz w:val="24"/>
          <w:szCs w:val="20"/>
          <w:lang w:eastAsia="en-GB"/>
        </w:rPr>
        <w:t>“Hydrogen in Society - Bridging the Gaps</w:t>
      </w:r>
      <w:r>
        <w:rPr>
          <w:rStyle w:val="FootnoteReference"/>
          <w:rFonts w:ascii="Arial" w:eastAsia="Times New Roman" w:hAnsi="Arial" w:cs="Arial"/>
          <w:b/>
          <w:bCs/>
          <w:sz w:val="24"/>
          <w:szCs w:val="20"/>
          <w:lang w:eastAsia="en-GB"/>
        </w:rPr>
        <w:footnoteReference w:id="105"/>
      </w:r>
      <w:r w:rsidR="00B55170" w:rsidRPr="00C76CBA">
        <w:rPr>
          <w:rFonts w:ascii="Arial" w:eastAsia="Times New Roman" w:hAnsi="Arial" w:cs="Arial"/>
          <w:b/>
          <w:bCs/>
          <w:sz w:val="24"/>
          <w:szCs w:val="20"/>
          <w:lang w:eastAsia="en-GB"/>
        </w:rPr>
        <w:t>”,</w:t>
      </w:r>
      <w:r w:rsidR="00B55170" w:rsidRPr="00B55170">
        <w:rPr>
          <w:rFonts w:ascii="Arial" w:eastAsia="Times New Roman" w:hAnsi="Arial" w:cs="Arial"/>
          <w:sz w:val="24"/>
          <w:szCs w:val="20"/>
          <w:lang w:eastAsia="en-GB"/>
        </w:rPr>
        <w:t xml:space="preserve"> organised </w:t>
      </w:r>
      <w:r w:rsidR="00487E79">
        <w:rPr>
          <w:rFonts w:ascii="Arial" w:eastAsia="Times New Roman" w:hAnsi="Arial" w:cs="Arial"/>
          <w:sz w:val="24"/>
          <w:szCs w:val="20"/>
          <w:lang w:eastAsia="en-GB"/>
        </w:rPr>
        <w:t>in collaboration with</w:t>
      </w:r>
      <w:r w:rsidR="00487E79" w:rsidRPr="00B55170">
        <w:rPr>
          <w:rFonts w:ascii="Arial" w:eastAsia="Times New Roman" w:hAnsi="Arial" w:cs="Arial"/>
          <w:sz w:val="24"/>
          <w:szCs w:val="20"/>
          <w:lang w:eastAsia="en-GB"/>
        </w:rPr>
        <w:t xml:space="preserve"> </w:t>
      </w:r>
      <w:r w:rsidR="00B55170" w:rsidRPr="00B55170">
        <w:rPr>
          <w:rFonts w:ascii="Arial" w:eastAsia="Times New Roman" w:hAnsi="Arial" w:cs="Arial"/>
          <w:sz w:val="24"/>
          <w:szCs w:val="20"/>
          <w:lang w:eastAsia="en-GB"/>
        </w:rPr>
        <w:t>the Portuguese Presidency</w:t>
      </w:r>
      <w:r>
        <w:rPr>
          <w:rFonts w:ascii="Arial" w:eastAsia="Times New Roman" w:hAnsi="Arial" w:cs="Arial"/>
          <w:sz w:val="24"/>
          <w:szCs w:val="20"/>
          <w:lang w:eastAsia="en-GB"/>
        </w:rPr>
        <w:t xml:space="preserve"> of the Council of the European Union took place on 7 April 2021</w:t>
      </w:r>
      <w:r w:rsidR="00B55170" w:rsidRPr="00B55170">
        <w:rPr>
          <w:rFonts w:ascii="Arial" w:eastAsia="Times New Roman" w:hAnsi="Arial" w:cs="Arial"/>
          <w:sz w:val="24"/>
          <w:szCs w:val="20"/>
          <w:lang w:eastAsia="en-GB"/>
        </w:rPr>
        <w:t>.</w:t>
      </w:r>
    </w:p>
    <w:p w14:paraId="12B663D2" w14:textId="011F58AF" w:rsidR="00147608" w:rsidRPr="00811A62" w:rsidRDefault="005D3D86" w:rsidP="00147608">
      <w:pPr>
        <w:pStyle w:val="Heading3"/>
        <w:numPr>
          <w:ilvl w:val="1"/>
          <w:numId w:val="1"/>
        </w:numPr>
        <w:jc w:val="both"/>
        <w:rPr>
          <w:rFonts w:ascii="Arial" w:hAnsi="Arial" w:cs="Arial"/>
        </w:rPr>
      </w:pPr>
      <w:r w:rsidRPr="00792B39">
        <w:rPr>
          <w:rFonts w:ascii="Arial" w:hAnsi="Arial" w:cs="Arial"/>
        </w:rPr>
        <w:t xml:space="preserve"> </w:t>
      </w:r>
      <w:bookmarkStart w:id="144" w:name="_Toc98496352"/>
      <w:bookmarkStart w:id="145" w:name="_Toc101516073"/>
      <w:r w:rsidR="0054406E" w:rsidRPr="00811A62">
        <w:rPr>
          <w:rFonts w:ascii="Arial" w:hAnsi="Arial" w:cs="Arial"/>
        </w:rPr>
        <w:t>Legal and financial framework</w:t>
      </w:r>
      <w:bookmarkEnd w:id="144"/>
      <w:bookmarkEnd w:id="145"/>
    </w:p>
    <w:p w14:paraId="6D9E8DC3" w14:textId="77777777" w:rsidR="00147608" w:rsidRDefault="00147608" w:rsidP="00147608">
      <w:r>
        <w:t>During 2021, the following procedures were drafted or updated and adopted:</w:t>
      </w:r>
    </w:p>
    <w:p w14:paraId="76B17021" w14:textId="77777777" w:rsidR="00147608" w:rsidRDefault="00147608" w:rsidP="002672A0">
      <w:pPr>
        <w:pStyle w:val="ListParagraph"/>
        <w:numPr>
          <w:ilvl w:val="0"/>
          <w:numId w:val="14"/>
        </w:numPr>
        <w:jc w:val="both"/>
        <w:rPr>
          <w:rFonts w:asciiTheme="minorHAnsi" w:hAnsiTheme="minorHAnsi" w:cstheme="minorHAnsi"/>
          <w:b/>
        </w:rPr>
      </w:pPr>
      <w:r w:rsidRPr="003D2E1E">
        <w:rPr>
          <w:rFonts w:asciiTheme="minorHAnsi" w:hAnsiTheme="minorHAnsi" w:cstheme="minorHAnsi"/>
          <w:b/>
        </w:rPr>
        <w:t xml:space="preserve">Decision of the Governing Board of the </w:t>
      </w:r>
      <w:r>
        <w:rPr>
          <w:rFonts w:asciiTheme="minorHAnsi" w:hAnsiTheme="minorHAnsi" w:cstheme="minorHAnsi"/>
          <w:b/>
        </w:rPr>
        <w:t>Clean Hydrogen</w:t>
      </w:r>
      <w:r w:rsidRPr="003D2E1E">
        <w:rPr>
          <w:rFonts w:asciiTheme="minorHAnsi" w:hAnsiTheme="minorHAnsi" w:cstheme="minorHAnsi"/>
          <w:b/>
        </w:rPr>
        <w:t xml:space="preserve"> Joint Undertaking </w:t>
      </w:r>
      <w:r>
        <w:rPr>
          <w:rFonts w:asciiTheme="minorHAnsi" w:hAnsiTheme="minorHAnsi" w:cstheme="minorHAnsi"/>
          <w:b/>
        </w:rPr>
        <w:t>no</w:t>
      </w:r>
      <w:r w:rsidRPr="003D2E1E">
        <w:t xml:space="preserve"> </w:t>
      </w:r>
      <w:r>
        <w:rPr>
          <w:rFonts w:asciiTheme="minorHAnsi" w:hAnsiTheme="minorHAnsi" w:cstheme="minorHAnsi"/>
          <w:b/>
        </w:rPr>
        <w:t>CleanHydrogen</w:t>
      </w:r>
      <w:r w:rsidRPr="003D2E1E">
        <w:rPr>
          <w:rFonts w:asciiTheme="minorHAnsi" w:hAnsiTheme="minorHAnsi" w:cstheme="minorHAnsi"/>
          <w:b/>
        </w:rPr>
        <w:t>-GB-202</w:t>
      </w:r>
      <w:r>
        <w:rPr>
          <w:rFonts w:asciiTheme="minorHAnsi" w:hAnsiTheme="minorHAnsi" w:cstheme="minorHAnsi"/>
          <w:b/>
        </w:rPr>
        <w:t>1</w:t>
      </w:r>
      <w:r w:rsidRPr="003D2E1E">
        <w:rPr>
          <w:rFonts w:asciiTheme="minorHAnsi" w:hAnsiTheme="minorHAnsi" w:cstheme="minorHAnsi"/>
          <w:b/>
        </w:rPr>
        <w:t>-0</w:t>
      </w:r>
      <w:r>
        <w:rPr>
          <w:rFonts w:asciiTheme="minorHAnsi" w:hAnsiTheme="minorHAnsi" w:cstheme="minorHAnsi"/>
          <w:b/>
        </w:rPr>
        <w:t xml:space="preserve">3 adopting the transfer of decisions of the Fuel Cells and Hydrogen 2 Joint Undertaking’s Governing Board to Clean Hydrogen Joint Undertaking. </w:t>
      </w:r>
    </w:p>
    <w:p w14:paraId="10279502" w14:textId="77777777" w:rsidR="00147608" w:rsidRDefault="00147608" w:rsidP="00147608">
      <w:pPr>
        <w:jc w:val="both"/>
        <w:rPr>
          <w:rFonts w:asciiTheme="minorHAnsi" w:hAnsiTheme="minorHAnsi" w:cstheme="minorHAnsi"/>
        </w:rPr>
      </w:pPr>
      <w:r w:rsidRPr="00F345E0">
        <w:rPr>
          <w:rFonts w:asciiTheme="minorHAnsi" w:hAnsiTheme="minorHAnsi" w:cstheme="minorHAnsi"/>
        </w:rPr>
        <w:t xml:space="preserve">In accordance with Article </w:t>
      </w:r>
      <w:r>
        <w:rPr>
          <w:rFonts w:asciiTheme="minorHAnsi" w:hAnsiTheme="minorHAnsi" w:cstheme="minorHAnsi"/>
        </w:rPr>
        <w:t>174</w:t>
      </w:r>
      <w:r w:rsidRPr="00F345E0">
        <w:rPr>
          <w:rFonts w:asciiTheme="minorHAnsi" w:hAnsiTheme="minorHAnsi" w:cstheme="minorHAnsi"/>
        </w:rPr>
        <w:t>(1</w:t>
      </w:r>
      <w:r>
        <w:rPr>
          <w:rFonts w:asciiTheme="minorHAnsi" w:hAnsiTheme="minorHAnsi" w:cstheme="minorHAnsi"/>
        </w:rPr>
        <w:t>2</w:t>
      </w:r>
      <w:r w:rsidRPr="00F345E0">
        <w:rPr>
          <w:rFonts w:asciiTheme="minorHAnsi" w:hAnsiTheme="minorHAnsi" w:cstheme="minorHAnsi"/>
        </w:rPr>
        <w:t>) of Regulation (EU) 20</w:t>
      </w:r>
      <w:r>
        <w:rPr>
          <w:rFonts w:asciiTheme="minorHAnsi" w:hAnsiTheme="minorHAnsi" w:cstheme="minorHAnsi"/>
        </w:rPr>
        <w:t>21</w:t>
      </w:r>
      <w:r w:rsidRPr="00F345E0">
        <w:rPr>
          <w:rFonts w:asciiTheme="minorHAnsi" w:hAnsiTheme="minorHAnsi" w:cstheme="minorHAnsi"/>
        </w:rPr>
        <w:t>/</w:t>
      </w:r>
      <w:r>
        <w:rPr>
          <w:rFonts w:asciiTheme="minorHAnsi" w:hAnsiTheme="minorHAnsi" w:cstheme="minorHAnsi"/>
        </w:rPr>
        <w:t>2085,</w:t>
      </w:r>
      <w:r w:rsidRPr="00F345E0">
        <w:rPr>
          <w:rFonts w:asciiTheme="minorHAnsi" w:hAnsiTheme="minorHAnsi" w:cstheme="minorHAnsi"/>
        </w:rPr>
        <w:t xml:space="preserve"> </w:t>
      </w:r>
      <w:r>
        <w:rPr>
          <w:rFonts w:asciiTheme="minorHAnsi" w:hAnsiTheme="minorHAnsi" w:cstheme="minorHAnsi"/>
        </w:rPr>
        <w:t>i</w:t>
      </w:r>
      <w:r w:rsidRPr="00876CB0">
        <w:rPr>
          <w:rFonts w:asciiTheme="minorHAnsi" w:hAnsiTheme="minorHAnsi" w:cstheme="minorHAnsi"/>
        </w:rPr>
        <w:t xml:space="preserve">n its first meeting, the Governing Board of each joint undertaking shall adopt a list of decisions adopted by the Governing Board of the </w:t>
      </w:r>
      <w:r w:rsidRPr="00876CB0">
        <w:rPr>
          <w:rFonts w:asciiTheme="minorHAnsi" w:hAnsiTheme="minorHAnsi" w:cstheme="minorHAnsi"/>
        </w:rPr>
        <w:lastRenderedPageBreak/>
        <w:t>preceding joint undertakings that shall continue to apply for the joint undertaking concerned established by th</w:t>
      </w:r>
      <w:r>
        <w:rPr>
          <w:rFonts w:asciiTheme="minorHAnsi" w:hAnsiTheme="minorHAnsi" w:cstheme="minorHAnsi"/>
        </w:rPr>
        <w:t>e</w:t>
      </w:r>
      <w:r w:rsidRPr="00876CB0">
        <w:rPr>
          <w:rFonts w:asciiTheme="minorHAnsi" w:hAnsiTheme="minorHAnsi" w:cstheme="minorHAnsi"/>
        </w:rPr>
        <w:t xml:space="preserve"> Regulation.</w:t>
      </w:r>
    </w:p>
    <w:p w14:paraId="598C1A4F" w14:textId="77777777" w:rsidR="00147608" w:rsidRDefault="00147608" w:rsidP="00147608">
      <w:pPr>
        <w:jc w:val="both"/>
        <w:rPr>
          <w:rFonts w:asciiTheme="minorHAnsi" w:hAnsiTheme="minorHAnsi" w:cstheme="minorHAnsi"/>
        </w:rPr>
      </w:pPr>
      <w:r>
        <w:rPr>
          <w:rFonts w:asciiTheme="minorHAnsi" w:hAnsiTheme="minorHAnsi" w:cstheme="minorHAnsi"/>
        </w:rPr>
        <w:t>the Governing Board Decision comprises in its annex all previous decision that shall continue to apply.</w:t>
      </w:r>
    </w:p>
    <w:p w14:paraId="6EDA2575" w14:textId="77777777" w:rsidR="00147608" w:rsidRPr="00FF2A0A" w:rsidRDefault="00147608" w:rsidP="002672A0">
      <w:pPr>
        <w:pStyle w:val="ListParagraph"/>
        <w:numPr>
          <w:ilvl w:val="0"/>
          <w:numId w:val="14"/>
        </w:numPr>
        <w:jc w:val="both"/>
        <w:rPr>
          <w:rFonts w:asciiTheme="minorHAnsi" w:hAnsiTheme="minorHAnsi" w:cstheme="minorHAnsi"/>
        </w:rPr>
      </w:pPr>
      <w:r w:rsidRPr="00876CB0">
        <w:rPr>
          <w:rFonts w:asciiTheme="minorHAnsi" w:hAnsiTheme="minorHAnsi" w:cstheme="minorHAnsi"/>
          <w:b/>
        </w:rPr>
        <w:t>Decision of the Governing Board of the Clean Hydrogen Joint Undertaking no</w:t>
      </w:r>
      <w:r w:rsidRPr="003D2E1E">
        <w:t xml:space="preserve"> </w:t>
      </w:r>
      <w:r w:rsidRPr="00876CB0">
        <w:rPr>
          <w:rFonts w:asciiTheme="minorHAnsi" w:hAnsiTheme="minorHAnsi" w:cstheme="minorHAnsi"/>
          <w:b/>
        </w:rPr>
        <w:t>CleanHydrogen-GB-2021-0</w:t>
      </w:r>
      <w:r>
        <w:rPr>
          <w:rFonts w:asciiTheme="minorHAnsi" w:hAnsiTheme="minorHAnsi" w:cstheme="minorHAnsi"/>
          <w:b/>
        </w:rPr>
        <w:t>2 adopting the rules of procedure of the Governing Board.</w:t>
      </w:r>
    </w:p>
    <w:p w14:paraId="41DBF4C3" w14:textId="77777777" w:rsidR="00147608" w:rsidRPr="00876CB0" w:rsidRDefault="00147608" w:rsidP="00147608">
      <w:pPr>
        <w:pStyle w:val="ListParagraph"/>
        <w:jc w:val="both"/>
        <w:rPr>
          <w:rFonts w:asciiTheme="minorHAnsi" w:hAnsiTheme="minorHAnsi" w:cstheme="minorHAnsi"/>
        </w:rPr>
      </w:pPr>
    </w:p>
    <w:p w14:paraId="2E49AF0A" w14:textId="77777777" w:rsidR="00147608" w:rsidRPr="00EC4D1F" w:rsidRDefault="00147608" w:rsidP="00147608">
      <w:pPr>
        <w:jc w:val="both"/>
        <w:rPr>
          <w:b/>
        </w:rPr>
      </w:pPr>
      <w:r w:rsidRPr="00EC4D1F">
        <w:rPr>
          <w:b/>
        </w:rPr>
        <w:t>Data protection</w:t>
      </w:r>
    </w:p>
    <w:p w14:paraId="5BCCD013" w14:textId="40CCB1CB" w:rsidR="00147608" w:rsidRDefault="00147608" w:rsidP="00147608">
      <w:pPr>
        <w:jc w:val="both"/>
      </w:pPr>
      <w:r>
        <w:t>As an EU body applying Regulation (EU) 2018/1725</w:t>
      </w:r>
      <w:r>
        <w:rPr>
          <w:rStyle w:val="FootnoteReference"/>
        </w:rPr>
        <w:footnoteReference w:id="106"/>
      </w:r>
      <w:r>
        <w:t>, in the course of 2021, the JU continues its data protection activities as follows:</w:t>
      </w:r>
    </w:p>
    <w:p w14:paraId="5B5740A4" w14:textId="06FC04BF" w:rsidR="00147608" w:rsidRDefault="00147608" w:rsidP="00147608">
      <w:pPr>
        <w:ind w:firstLine="720"/>
        <w:jc w:val="both"/>
      </w:pPr>
      <w:r>
        <w:t>- further implementation of mitigating measures that resulted of the data protection impact assessment do</w:t>
      </w:r>
      <w:r w:rsidR="00BD7FE1">
        <w:rPr>
          <w:lang w:val="en-US"/>
        </w:rPr>
        <w:t>n</w:t>
      </w:r>
      <w:r>
        <w:t xml:space="preserve">e in the previous year; as apart of the mitigating measures, the JU has adopted a </w:t>
      </w:r>
      <w:r w:rsidRPr="001F4591">
        <w:t xml:space="preserve">Manual </w:t>
      </w:r>
      <w:r>
        <w:t>f</w:t>
      </w:r>
      <w:r w:rsidRPr="001F4591">
        <w:t xml:space="preserve">or Handling Sensitive Data </w:t>
      </w:r>
      <w:proofErr w:type="gramStart"/>
      <w:r w:rsidRPr="001F4591">
        <w:t>In</w:t>
      </w:r>
      <w:proofErr w:type="gramEnd"/>
      <w:r w:rsidRPr="001F4591">
        <w:t xml:space="preserve"> Microsoft Tools</w:t>
      </w:r>
      <w:r>
        <w:t xml:space="preserve"> - i</w:t>
      </w:r>
      <w:r w:rsidRPr="00FF2A0A">
        <w:t xml:space="preserve">t is a practical guidance to be followed each time </w:t>
      </w:r>
      <w:r>
        <w:t xml:space="preserve">the </w:t>
      </w:r>
      <w:r w:rsidRPr="00FF2A0A">
        <w:t>JU processes sensitive personal data, ensuring internal harmonised practices.</w:t>
      </w:r>
    </w:p>
    <w:p w14:paraId="2A99E979" w14:textId="77777777" w:rsidR="00147608" w:rsidRPr="00147608" w:rsidRDefault="00147608" w:rsidP="00147608"/>
    <w:bookmarkEnd w:id="140"/>
    <w:p w14:paraId="50CF5F9F" w14:textId="77777777" w:rsidR="0054406E" w:rsidRPr="00811A62" w:rsidRDefault="0054406E" w:rsidP="00B45034">
      <w:pPr>
        <w:pStyle w:val="Heading3"/>
        <w:numPr>
          <w:ilvl w:val="1"/>
          <w:numId w:val="1"/>
        </w:numPr>
        <w:jc w:val="both"/>
        <w:rPr>
          <w:rFonts w:ascii="Arial" w:hAnsi="Arial" w:cs="Arial"/>
        </w:rPr>
      </w:pPr>
      <w:r w:rsidRPr="00F02950">
        <w:rPr>
          <w:rFonts w:ascii="Arial" w:hAnsi="Arial" w:cs="Arial"/>
        </w:rPr>
        <w:t xml:space="preserve"> </w:t>
      </w:r>
      <w:bookmarkStart w:id="146" w:name="_Toc98496353"/>
      <w:bookmarkStart w:id="147" w:name="_Toc101516074"/>
      <w:r w:rsidRPr="00811A62">
        <w:rPr>
          <w:rFonts w:ascii="Arial" w:hAnsi="Arial" w:cs="Arial"/>
        </w:rPr>
        <w:t>Budgetary and financial management</w:t>
      </w:r>
      <w:bookmarkEnd w:id="146"/>
      <w:r w:rsidRPr="00811A62">
        <w:rPr>
          <w:rFonts w:ascii="Arial" w:hAnsi="Arial" w:cs="Arial"/>
        </w:rPr>
        <w:t xml:space="preserve"> </w:t>
      </w:r>
      <w:bookmarkEnd w:id="147"/>
    </w:p>
    <w:p w14:paraId="13CC0A84" w14:textId="50C4261C" w:rsidR="00801E0D" w:rsidRPr="00F02950" w:rsidRDefault="00801E0D" w:rsidP="00F02950">
      <w:pPr>
        <w:pStyle w:val="Heading4"/>
        <w:ind w:left="567"/>
        <w:rPr>
          <w:rFonts w:ascii="Arial" w:hAnsi="Arial" w:cs="Arial"/>
          <w:b/>
          <w:bCs/>
          <w:i w:val="0"/>
          <w:iCs w:val="0"/>
          <w:color w:val="auto"/>
        </w:rPr>
      </w:pPr>
      <w:r w:rsidRPr="00F02950">
        <w:rPr>
          <w:rFonts w:ascii="Arial" w:hAnsi="Arial" w:cs="Arial"/>
          <w:b/>
          <w:bCs/>
          <w:i w:val="0"/>
          <w:iCs w:val="0"/>
          <w:color w:val="auto"/>
        </w:rPr>
        <w:t>2.3.1 BUDGET</w:t>
      </w:r>
    </w:p>
    <w:p w14:paraId="535AF4FF" w14:textId="7A5C87E7" w:rsidR="00801E0D" w:rsidRPr="00801E0D" w:rsidRDefault="00801E0D" w:rsidP="00801E0D">
      <w:pPr>
        <w:ind w:left="720"/>
        <w:jc w:val="both"/>
        <w:rPr>
          <w:rFonts w:ascii="Arial" w:hAnsi="Arial" w:cs="Arial"/>
          <w:sz w:val="20"/>
          <w:szCs w:val="20"/>
        </w:rPr>
      </w:pPr>
      <w:r w:rsidRPr="00801E0D">
        <w:rPr>
          <w:rFonts w:ascii="Arial" w:hAnsi="Arial" w:cs="Arial"/>
          <w:sz w:val="20"/>
          <w:szCs w:val="20"/>
        </w:rPr>
        <w:t>The JU budget comprises revenue and expenditure. On the expenditure side, the budget is divided into three titles:</w:t>
      </w:r>
    </w:p>
    <w:p w14:paraId="377C6844" w14:textId="29D2089C" w:rsidR="00801E0D" w:rsidRPr="00801E0D" w:rsidRDefault="00801E0D" w:rsidP="00801E0D">
      <w:pPr>
        <w:ind w:left="720"/>
        <w:jc w:val="both"/>
        <w:rPr>
          <w:rFonts w:ascii="Arial" w:hAnsi="Arial" w:cs="Arial"/>
          <w:sz w:val="20"/>
          <w:szCs w:val="20"/>
        </w:rPr>
      </w:pPr>
      <w:r w:rsidRPr="00801E0D">
        <w:rPr>
          <w:rFonts w:ascii="Arial" w:hAnsi="Arial" w:cs="Arial"/>
          <w:sz w:val="20"/>
          <w:szCs w:val="20"/>
        </w:rPr>
        <w:t xml:space="preserve">• Title 1 covers staff expenditure, such as salaries, allowances and benefits, </w:t>
      </w:r>
      <w:proofErr w:type="gramStart"/>
      <w:r w:rsidRPr="00801E0D">
        <w:rPr>
          <w:rFonts w:ascii="Arial" w:hAnsi="Arial" w:cs="Arial"/>
          <w:sz w:val="20"/>
          <w:szCs w:val="20"/>
        </w:rPr>
        <w:t>contributions</w:t>
      </w:r>
      <w:proofErr w:type="gramEnd"/>
      <w:r w:rsidRPr="00801E0D">
        <w:rPr>
          <w:rFonts w:ascii="Arial" w:hAnsi="Arial" w:cs="Arial"/>
          <w:sz w:val="20"/>
          <w:szCs w:val="20"/>
        </w:rPr>
        <w:t xml:space="preserve"> and taxes. In addition, it includes expenses</w:t>
      </w:r>
      <w:r>
        <w:rPr>
          <w:rFonts w:ascii="Arial" w:hAnsi="Arial" w:cs="Arial"/>
          <w:sz w:val="20"/>
          <w:szCs w:val="20"/>
        </w:rPr>
        <w:t xml:space="preserve"> </w:t>
      </w:r>
      <w:r w:rsidRPr="00801E0D">
        <w:rPr>
          <w:rFonts w:ascii="Arial" w:hAnsi="Arial" w:cs="Arial"/>
          <w:sz w:val="20"/>
          <w:szCs w:val="20"/>
        </w:rPr>
        <w:t xml:space="preserve">for training, missions and medical services as well as the costs associated with the recruitment procedure and representational </w:t>
      </w:r>
      <w:proofErr w:type="gramStart"/>
      <w:r w:rsidRPr="00801E0D">
        <w:rPr>
          <w:rFonts w:ascii="Arial" w:hAnsi="Arial" w:cs="Arial"/>
          <w:sz w:val="20"/>
          <w:szCs w:val="20"/>
        </w:rPr>
        <w:t>costs;</w:t>
      </w:r>
      <w:proofErr w:type="gramEnd"/>
    </w:p>
    <w:p w14:paraId="5F1BB40C" w14:textId="543584F4" w:rsidR="00801E0D" w:rsidRPr="00801E0D" w:rsidRDefault="00801E0D" w:rsidP="00801E0D">
      <w:pPr>
        <w:ind w:left="720"/>
        <w:jc w:val="both"/>
        <w:rPr>
          <w:rFonts w:ascii="Arial" w:hAnsi="Arial" w:cs="Arial"/>
          <w:sz w:val="20"/>
          <w:szCs w:val="20"/>
        </w:rPr>
      </w:pPr>
      <w:r w:rsidRPr="00801E0D">
        <w:rPr>
          <w:rFonts w:ascii="Arial" w:hAnsi="Arial" w:cs="Arial"/>
          <w:sz w:val="20"/>
          <w:szCs w:val="20"/>
        </w:rPr>
        <w:t xml:space="preserve">• Title 2 covers the costs associated with the functioning of the </w:t>
      </w:r>
      <w:r>
        <w:rPr>
          <w:rFonts w:ascii="Arial" w:hAnsi="Arial" w:cs="Arial"/>
          <w:sz w:val="20"/>
          <w:szCs w:val="20"/>
        </w:rPr>
        <w:t>Programme Office (PO)</w:t>
      </w:r>
      <w:r w:rsidRPr="00801E0D">
        <w:rPr>
          <w:rFonts w:ascii="Arial" w:hAnsi="Arial" w:cs="Arial"/>
          <w:sz w:val="20"/>
          <w:szCs w:val="20"/>
        </w:rPr>
        <w:t>, such as renting premises, IT needs, expenses related to communications, experts’ fees</w:t>
      </w:r>
      <w:r w:rsidR="00876EAC">
        <w:rPr>
          <w:rFonts w:ascii="Arial" w:hAnsi="Arial" w:cs="Arial"/>
          <w:sz w:val="20"/>
          <w:szCs w:val="20"/>
        </w:rPr>
        <w:t>,</w:t>
      </w:r>
      <w:r w:rsidRPr="00801E0D">
        <w:rPr>
          <w:rFonts w:ascii="Arial" w:hAnsi="Arial" w:cs="Arial"/>
          <w:sz w:val="20"/>
          <w:szCs w:val="20"/>
        </w:rPr>
        <w:t xml:space="preserve"> </w:t>
      </w:r>
      <w:r w:rsidR="00876EAC">
        <w:rPr>
          <w:rFonts w:ascii="Arial" w:hAnsi="Arial" w:cs="Arial"/>
          <w:sz w:val="20"/>
          <w:szCs w:val="20"/>
        </w:rPr>
        <w:t xml:space="preserve">other service contracts and various office </w:t>
      </w:r>
      <w:proofErr w:type="gramStart"/>
      <w:r w:rsidR="00876EAC">
        <w:rPr>
          <w:rFonts w:ascii="Arial" w:hAnsi="Arial" w:cs="Arial"/>
          <w:sz w:val="20"/>
          <w:szCs w:val="20"/>
        </w:rPr>
        <w:t>supplies</w:t>
      </w:r>
      <w:r w:rsidRPr="00801E0D">
        <w:rPr>
          <w:rFonts w:ascii="Arial" w:hAnsi="Arial" w:cs="Arial"/>
          <w:sz w:val="20"/>
          <w:szCs w:val="20"/>
        </w:rPr>
        <w:t>;</w:t>
      </w:r>
      <w:proofErr w:type="gramEnd"/>
    </w:p>
    <w:p w14:paraId="0FF6EB8C" w14:textId="21AFCDE5" w:rsidR="00801E0D" w:rsidRPr="00801E0D" w:rsidRDefault="00801E0D" w:rsidP="00801E0D">
      <w:pPr>
        <w:ind w:left="720"/>
        <w:jc w:val="both"/>
        <w:rPr>
          <w:rFonts w:ascii="Arial" w:hAnsi="Arial" w:cs="Arial"/>
          <w:sz w:val="20"/>
          <w:szCs w:val="20"/>
        </w:rPr>
      </w:pPr>
      <w:r w:rsidRPr="00801E0D">
        <w:rPr>
          <w:rFonts w:ascii="Arial" w:hAnsi="Arial" w:cs="Arial"/>
          <w:sz w:val="20"/>
          <w:szCs w:val="20"/>
        </w:rPr>
        <w:t>• Title 3 covers the operational activities for both the FP7 and H2020 programmes.</w:t>
      </w:r>
    </w:p>
    <w:p w14:paraId="3E05A398" w14:textId="600505FA" w:rsidR="009845C2" w:rsidRDefault="00876EAC" w:rsidP="009A3494">
      <w:pPr>
        <w:ind w:left="720"/>
        <w:jc w:val="both"/>
        <w:rPr>
          <w:rFonts w:ascii="Arial" w:hAnsi="Arial" w:cs="Arial"/>
          <w:sz w:val="20"/>
          <w:szCs w:val="20"/>
        </w:rPr>
      </w:pPr>
      <w:r w:rsidRPr="00876EAC">
        <w:rPr>
          <w:rFonts w:ascii="Arial" w:hAnsi="Arial" w:cs="Arial"/>
          <w:sz w:val="20"/>
          <w:szCs w:val="20"/>
        </w:rPr>
        <w:t>Compared to 20</w:t>
      </w:r>
      <w:r>
        <w:rPr>
          <w:rFonts w:ascii="Arial" w:hAnsi="Arial" w:cs="Arial"/>
          <w:sz w:val="20"/>
          <w:szCs w:val="20"/>
        </w:rPr>
        <w:t>20</w:t>
      </w:r>
      <w:r w:rsidRPr="00876EAC">
        <w:rPr>
          <w:rFonts w:ascii="Arial" w:hAnsi="Arial" w:cs="Arial"/>
          <w:sz w:val="20"/>
          <w:szCs w:val="20"/>
        </w:rPr>
        <w:t>, the 202</w:t>
      </w:r>
      <w:r>
        <w:rPr>
          <w:rFonts w:ascii="Arial" w:hAnsi="Arial" w:cs="Arial"/>
          <w:sz w:val="20"/>
          <w:szCs w:val="20"/>
        </w:rPr>
        <w:t xml:space="preserve">1 </w:t>
      </w:r>
      <w:r w:rsidRPr="00876EAC">
        <w:rPr>
          <w:rFonts w:ascii="Arial" w:hAnsi="Arial" w:cs="Arial"/>
          <w:sz w:val="20"/>
          <w:szCs w:val="20"/>
        </w:rPr>
        <w:t xml:space="preserve">appropriations </w:t>
      </w:r>
      <w:r>
        <w:rPr>
          <w:rFonts w:ascii="Arial" w:hAnsi="Arial" w:cs="Arial"/>
          <w:sz w:val="20"/>
          <w:szCs w:val="20"/>
        </w:rPr>
        <w:t xml:space="preserve">decreased by 85% in terms of commitments and by 46% in terms of payments. </w:t>
      </w:r>
      <w:r w:rsidR="009845C2" w:rsidRPr="009845C2">
        <w:rPr>
          <w:rFonts w:ascii="Arial" w:hAnsi="Arial" w:cs="Arial"/>
          <w:sz w:val="20"/>
          <w:szCs w:val="20"/>
        </w:rPr>
        <w:t>The decrease in 2021 budget was due to the absence of calls launched in 2021. In addition, no pre-financing was foreseen in 2021.</w:t>
      </w:r>
    </w:p>
    <w:p w14:paraId="281C84CF" w14:textId="553209FF" w:rsidR="00876EAC" w:rsidRDefault="00876EAC" w:rsidP="009A3494">
      <w:pPr>
        <w:ind w:left="720"/>
        <w:jc w:val="both"/>
        <w:rPr>
          <w:rFonts w:ascii="Arial" w:hAnsi="Arial" w:cs="Arial"/>
          <w:sz w:val="20"/>
          <w:szCs w:val="20"/>
        </w:rPr>
      </w:pPr>
      <w:r w:rsidRPr="00876EAC">
        <w:rPr>
          <w:rFonts w:ascii="Arial" w:hAnsi="Arial" w:cs="Arial"/>
          <w:sz w:val="20"/>
          <w:szCs w:val="20"/>
        </w:rPr>
        <w:t xml:space="preserve">There were </w:t>
      </w:r>
      <w:r w:rsidR="009845C2">
        <w:rPr>
          <w:rFonts w:ascii="Arial" w:hAnsi="Arial" w:cs="Arial"/>
          <w:sz w:val="20"/>
          <w:szCs w:val="20"/>
        </w:rPr>
        <w:t>3</w:t>
      </w:r>
      <w:r w:rsidRPr="00876EAC">
        <w:rPr>
          <w:rFonts w:ascii="Arial" w:hAnsi="Arial" w:cs="Arial"/>
          <w:sz w:val="20"/>
          <w:szCs w:val="20"/>
        </w:rPr>
        <w:t xml:space="preserve"> budget </w:t>
      </w:r>
      <w:r w:rsidR="009845C2">
        <w:rPr>
          <w:rFonts w:ascii="Arial" w:hAnsi="Arial" w:cs="Arial"/>
          <w:sz w:val="20"/>
          <w:szCs w:val="20"/>
        </w:rPr>
        <w:t>amendments and 3 budget transfers</w:t>
      </w:r>
      <w:r w:rsidRPr="00876EAC">
        <w:rPr>
          <w:rFonts w:ascii="Arial" w:hAnsi="Arial" w:cs="Arial"/>
          <w:sz w:val="20"/>
          <w:szCs w:val="20"/>
        </w:rPr>
        <w:t xml:space="preserve"> in 202</w:t>
      </w:r>
      <w:r w:rsidR="009845C2">
        <w:rPr>
          <w:rFonts w:ascii="Arial" w:hAnsi="Arial" w:cs="Arial"/>
          <w:sz w:val="20"/>
          <w:szCs w:val="20"/>
        </w:rPr>
        <w:t>1</w:t>
      </w:r>
      <w:r w:rsidRPr="00876EAC">
        <w:rPr>
          <w:rFonts w:ascii="Arial" w:hAnsi="Arial" w:cs="Arial"/>
          <w:sz w:val="20"/>
          <w:szCs w:val="20"/>
        </w:rPr>
        <w:t xml:space="preserve">. The </w:t>
      </w:r>
      <w:r w:rsidR="009845C2">
        <w:rPr>
          <w:rFonts w:ascii="Arial" w:hAnsi="Arial" w:cs="Arial"/>
          <w:sz w:val="20"/>
          <w:szCs w:val="20"/>
        </w:rPr>
        <w:t xml:space="preserve">first 2 </w:t>
      </w:r>
      <w:r w:rsidRPr="00876EAC">
        <w:rPr>
          <w:rFonts w:ascii="Arial" w:hAnsi="Arial" w:cs="Arial"/>
          <w:sz w:val="20"/>
          <w:szCs w:val="20"/>
        </w:rPr>
        <w:t>amendment</w:t>
      </w:r>
      <w:r w:rsidR="009845C2">
        <w:rPr>
          <w:rFonts w:ascii="Arial" w:hAnsi="Arial" w:cs="Arial"/>
          <w:sz w:val="20"/>
          <w:szCs w:val="20"/>
        </w:rPr>
        <w:t>s introduced unused</w:t>
      </w:r>
      <w:r w:rsidRPr="00876EAC">
        <w:rPr>
          <w:rFonts w:ascii="Arial" w:hAnsi="Arial" w:cs="Arial"/>
          <w:sz w:val="20"/>
          <w:szCs w:val="20"/>
        </w:rPr>
        <w:t xml:space="preserve"> administrative </w:t>
      </w:r>
      <w:r w:rsidR="009845C2">
        <w:rPr>
          <w:rFonts w:ascii="Arial" w:hAnsi="Arial" w:cs="Arial"/>
          <w:sz w:val="20"/>
          <w:szCs w:val="20"/>
        </w:rPr>
        <w:t xml:space="preserve">payment appropriations as well as unused </w:t>
      </w:r>
      <w:r w:rsidRPr="00876EAC">
        <w:rPr>
          <w:rFonts w:ascii="Arial" w:hAnsi="Arial" w:cs="Arial"/>
          <w:sz w:val="20"/>
          <w:szCs w:val="20"/>
        </w:rPr>
        <w:t xml:space="preserve">operational </w:t>
      </w:r>
      <w:r w:rsidR="009845C2">
        <w:rPr>
          <w:rFonts w:ascii="Arial" w:hAnsi="Arial" w:cs="Arial"/>
          <w:sz w:val="20"/>
          <w:szCs w:val="20"/>
        </w:rPr>
        <w:t xml:space="preserve">commitment and </w:t>
      </w:r>
      <w:r w:rsidRPr="00876EAC">
        <w:rPr>
          <w:rFonts w:ascii="Arial" w:hAnsi="Arial" w:cs="Arial"/>
          <w:sz w:val="20"/>
          <w:szCs w:val="20"/>
        </w:rPr>
        <w:t>payment appropriations</w:t>
      </w:r>
      <w:r w:rsidR="009845C2">
        <w:rPr>
          <w:rFonts w:ascii="Arial" w:hAnsi="Arial" w:cs="Arial"/>
          <w:sz w:val="20"/>
          <w:szCs w:val="20"/>
        </w:rPr>
        <w:t>, whereas the 3</w:t>
      </w:r>
      <w:r w:rsidR="009845C2" w:rsidRPr="009845C2">
        <w:rPr>
          <w:rFonts w:ascii="Arial" w:hAnsi="Arial" w:cs="Arial"/>
          <w:sz w:val="20"/>
          <w:szCs w:val="20"/>
          <w:vertAlign w:val="superscript"/>
        </w:rPr>
        <w:t>rd</w:t>
      </w:r>
      <w:r w:rsidR="009845C2">
        <w:rPr>
          <w:rFonts w:ascii="Arial" w:hAnsi="Arial" w:cs="Arial"/>
          <w:sz w:val="20"/>
          <w:szCs w:val="20"/>
        </w:rPr>
        <w:t xml:space="preserve"> one decreased FP7 and H2020 operational payment appropriations in the context</w:t>
      </w:r>
      <w:r w:rsidR="009845C2" w:rsidRPr="009845C2">
        <w:rPr>
          <w:rFonts w:ascii="Arial" w:hAnsi="Arial" w:cs="Arial"/>
          <w:sz w:val="20"/>
          <w:szCs w:val="20"/>
        </w:rPr>
        <w:t xml:space="preserve"> of the Global Transfer of Appropriations</w:t>
      </w:r>
      <w:r w:rsidRPr="00876EAC">
        <w:rPr>
          <w:rFonts w:ascii="Arial" w:hAnsi="Arial" w:cs="Arial"/>
          <w:sz w:val="20"/>
          <w:szCs w:val="20"/>
        </w:rPr>
        <w:t xml:space="preserve">. An overview of the initial budget, the amendments and transfers </w:t>
      </w:r>
      <w:proofErr w:type="gramStart"/>
      <w:r w:rsidRPr="00876EAC">
        <w:rPr>
          <w:rFonts w:ascii="Arial" w:hAnsi="Arial" w:cs="Arial"/>
          <w:sz w:val="20"/>
          <w:szCs w:val="20"/>
        </w:rPr>
        <w:t>is</w:t>
      </w:r>
      <w:proofErr w:type="gramEnd"/>
      <w:r w:rsidRPr="00876EAC">
        <w:rPr>
          <w:rFonts w:ascii="Arial" w:hAnsi="Arial" w:cs="Arial"/>
          <w:sz w:val="20"/>
          <w:szCs w:val="20"/>
        </w:rPr>
        <w:t xml:space="preserve"> presented below:</w:t>
      </w:r>
    </w:p>
    <w:p w14:paraId="7BB64F67" w14:textId="1C112578" w:rsidR="00F02950" w:rsidRDefault="00F02950" w:rsidP="009A3494">
      <w:pPr>
        <w:ind w:left="720"/>
        <w:jc w:val="both"/>
        <w:rPr>
          <w:rFonts w:ascii="Arial" w:hAnsi="Arial" w:cs="Arial"/>
          <w:sz w:val="20"/>
          <w:szCs w:val="20"/>
        </w:rPr>
      </w:pPr>
    </w:p>
    <w:p w14:paraId="58D73A98" w14:textId="53EFB66E" w:rsidR="00F02950" w:rsidRDefault="00F02950" w:rsidP="009A3494">
      <w:pPr>
        <w:ind w:left="720"/>
        <w:jc w:val="both"/>
        <w:rPr>
          <w:rFonts w:ascii="Arial" w:hAnsi="Arial" w:cs="Arial"/>
          <w:sz w:val="20"/>
          <w:szCs w:val="20"/>
        </w:rPr>
      </w:pPr>
    </w:p>
    <w:p w14:paraId="2E36724E" w14:textId="79CBD3BA" w:rsidR="00F02950" w:rsidRDefault="00F02950" w:rsidP="009A3494">
      <w:pPr>
        <w:ind w:left="720"/>
        <w:jc w:val="both"/>
        <w:rPr>
          <w:rFonts w:ascii="Arial" w:hAnsi="Arial" w:cs="Arial"/>
          <w:sz w:val="20"/>
          <w:szCs w:val="20"/>
        </w:rPr>
      </w:pPr>
    </w:p>
    <w:p w14:paraId="1B868C05" w14:textId="13B662A0" w:rsidR="00F02950" w:rsidRDefault="00F02950" w:rsidP="009A3494">
      <w:pPr>
        <w:ind w:left="720"/>
        <w:jc w:val="both"/>
        <w:rPr>
          <w:rFonts w:ascii="Arial" w:hAnsi="Arial" w:cs="Arial"/>
          <w:sz w:val="20"/>
          <w:szCs w:val="20"/>
        </w:rPr>
      </w:pPr>
    </w:p>
    <w:p w14:paraId="56F2608D" w14:textId="2B6EE58E" w:rsidR="00F02950" w:rsidRDefault="00F02950" w:rsidP="009A3494">
      <w:pPr>
        <w:ind w:left="720"/>
        <w:jc w:val="both"/>
        <w:rPr>
          <w:rFonts w:ascii="Arial" w:hAnsi="Arial" w:cs="Arial"/>
          <w:sz w:val="20"/>
          <w:szCs w:val="20"/>
        </w:rPr>
      </w:pPr>
    </w:p>
    <w:p w14:paraId="58693461" w14:textId="570B4521" w:rsidR="00F02950" w:rsidRDefault="00F02950" w:rsidP="009A3494">
      <w:pPr>
        <w:ind w:left="720"/>
        <w:jc w:val="both"/>
        <w:rPr>
          <w:rFonts w:ascii="Arial" w:hAnsi="Arial" w:cs="Arial"/>
          <w:sz w:val="20"/>
          <w:szCs w:val="20"/>
        </w:rPr>
      </w:pPr>
    </w:p>
    <w:p w14:paraId="6667DF4C" w14:textId="39EE5E6C" w:rsidR="00F02950" w:rsidRDefault="00F02950" w:rsidP="009A3494">
      <w:pPr>
        <w:ind w:left="720"/>
        <w:jc w:val="both"/>
        <w:rPr>
          <w:rFonts w:ascii="Arial" w:hAnsi="Arial" w:cs="Arial"/>
          <w:sz w:val="20"/>
          <w:szCs w:val="20"/>
        </w:rPr>
      </w:pPr>
    </w:p>
    <w:p w14:paraId="08A919B9" w14:textId="5A4C826E" w:rsidR="00F02950" w:rsidRDefault="00F02950" w:rsidP="009A3494">
      <w:pPr>
        <w:ind w:left="720"/>
        <w:jc w:val="both"/>
        <w:rPr>
          <w:rFonts w:ascii="Arial" w:hAnsi="Arial" w:cs="Arial"/>
          <w:sz w:val="20"/>
          <w:szCs w:val="20"/>
        </w:rPr>
      </w:pPr>
    </w:p>
    <w:p w14:paraId="4434A6F4" w14:textId="32F5B52F" w:rsidR="00F02950" w:rsidRDefault="00F02950" w:rsidP="009A3494">
      <w:pPr>
        <w:ind w:left="720"/>
        <w:jc w:val="both"/>
        <w:rPr>
          <w:rFonts w:ascii="Arial" w:hAnsi="Arial" w:cs="Arial"/>
          <w:sz w:val="20"/>
          <w:szCs w:val="20"/>
        </w:rPr>
      </w:pPr>
    </w:p>
    <w:p w14:paraId="17349E0C" w14:textId="58A00142" w:rsidR="00F02950" w:rsidRDefault="00F02950" w:rsidP="009A3494">
      <w:pPr>
        <w:ind w:left="720"/>
        <w:jc w:val="both"/>
        <w:rPr>
          <w:rFonts w:ascii="Arial" w:hAnsi="Arial" w:cs="Arial"/>
          <w:sz w:val="20"/>
          <w:szCs w:val="20"/>
        </w:rPr>
      </w:pPr>
    </w:p>
    <w:p w14:paraId="0D5D2516" w14:textId="496463E1" w:rsidR="00F02950" w:rsidRDefault="00F02950" w:rsidP="009A3494">
      <w:pPr>
        <w:ind w:left="720"/>
        <w:jc w:val="both"/>
        <w:rPr>
          <w:rFonts w:ascii="Arial" w:hAnsi="Arial" w:cs="Arial"/>
          <w:sz w:val="20"/>
          <w:szCs w:val="20"/>
        </w:rPr>
      </w:pPr>
    </w:p>
    <w:p w14:paraId="2B5892FE" w14:textId="000BF577" w:rsidR="00F02950" w:rsidRDefault="00F02950" w:rsidP="009A3494">
      <w:pPr>
        <w:ind w:left="720"/>
        <w:jc w:val="both"/>
        <w:rPr>
          <w:rFonts w:ascii="Arial" w:hAnsi="Arial" w:cs="Arial"/>
          <w:sz w:val="20"/>
          <w:szCs w:val="20"/>
        </w:rPr>
      </w:pPr>
    </w:p>
    <w:p w14:paraId="65D48BE1" w14:textId="260712AE" w:rsidR="00F02950" w:rsidRDefault="00F02950" w:rsidP="009A3494">
      <w:pPr>
        <w:ind w:left="720"/>
        <w:jc w:val="both"/>
        <w:rPr>
          <w:rFonts w:ascii="Arial" w:hAnsi="Arial" w:cs="Arial"/>
          <w:sz w:val="20"/>
          <w:szCs w:val="20"/>
        </w:rPr>
      </w:pPr>
    </w:p>
    <w:p w14:paraId="78645973" w14:textId="3CC8927B" w:rsidR="00F02950" w:rsidRDefault="00F02950" w:rsidP="009A3494">
      <w:pPr>
        <w:ind w:left="720"/>
        <w:jc w:val="both"/>
        <w:rPr>
          <w:rFonts w:ascii="Arial" w:hAnsi="Arial" w:cs="Arial"/>
          <w:sz w:val="20"/>
          <w:szCs w:val="20"/>
        </w:rPr>
      </w:pPr>
    </w:p>
    <w:p w14:paraId="75A83C57" w14:textId="77777777" w:rsidR="00F02950" w:rsidRDefault="00F02950" w:rsidP="009A3494">
      <w:pPr>
        <w:ind w:left="720"/>
        <w:jc w:val="both"/>
        <w:rPr>
          <w:rFonts w:ascii="Arial" w:hAnsi="Arial" w:cs="Arial"/>
          <w:sz w:val="20"/>
          <w:szCs w:val="20"/>
        </w:rPr>
      </w:pPr>
    </w:p>
    <w:p w14:paraId="2A79D69A" w14:textId="77777777" w:rsidR="00F02950" w:rsidRDefault="00F02950" w:rsidP="009A3494">
      <w:pPr>
        <w:ind w:left="720"/>
        <w:jc w:val="both"/>
        <w:rPr>
          <w:rFonts w:ascii="Arial" w:hAnsi="Arial" w:cs="Arial"/>
          <w:b/>
          <w:bCs/>
          <w:sz w:val="20"/>
          <w:szCs w:val="20"/>
        </w:rPr>
        <w:sectPr w:rsidR="00F02950" w:rsidSect="00D3705A">
          <w:type w:val="continuous"/>
          <w:pgSz w:w="11906" w:h="16838"/>
          <w:pgMar w:top="1417" w:right="1417" w:bottom="1417" w:left="1417" w:header="708" w:footer="708" w:gutter="0"/>
          <w:cols w:space="708"/>
          <w:docGrid w:linePitch="360"/>
        </w:sectPr>
      </w:pPr>
    </w:p>
    <w:p w14:paraId="503E4878" w14:textId="078CA378" w:rsidR="009845C2" w:rsidRPr="009845C2" w:rsidRDefault="009845C2" w:rsidP="009A3494">
      <w:pPr>
        <w:ind w:left="720"/>
        <w:jc w:val="both"/>
        <w:rPr>
          <w:rFonts w:ascii="Arial" w:hAnsi="Arial" w:cs="Arial"/>
          <w:b/>
          <w:bCs/>
          <w:sz w:val="20"/>
          <w:szCs w:val="20"/>
        </w:rPr>
      </w:pPr>
      <w:r w:rsidRPr="009845C2">
        <w:rPr>
          <w:rFonts w:ascii="Arial" w:hAnsi="Arial" w:cs="Arial"/>
          <w:b/>
          <w:bCs/>
          <w:sz w:val="20"/>
          <w:szCs w:val="20"/>
        </w:rPr>
        <w:lastRenderedPageBreak/>
        <w:t xml:space="preserve">Table </w:t>
      </w:r>
      <w:r w:rsidR="000C5BE7">
        <w:rPr>
          <w:rFonts w:ascii="Arial" w:hAnsi="Arial" w:cs="Arial"/>
          <w:b/>
          <w:bCs/>
          <w:sz w:val="20"/>
          <w:szCs w:val="20"/>
        </w:rPr>
        <w:t>2.3.1</w:t>
      </w:r>
      <w:r w:rsidRPr="009845C2">
        <w:rPr>
          <w:rFonts w:ascii="Arial" w:hAnsi="Arial" w:cs="Arial"/>
          <w:b/>
          <w:bCs/>
          <w:sz w:val="20"/>
          <w:szCs w:val="20"/>
        </w:rPr>
        <w:t>: Budget evolution</w:t>
      </w:r>
    </w:p>
    <w:tbl>
      <w:tblPr>
        <w:tblW w:w="12932" w:type="dxa"/>
        <w:jc w:val="center"/>
        <w:tblLook w:val="04A0" w:firstRow="1" w:lastRow="0" w:firstColumn="1" w:lastColumn="0" w:noHBand="0" w:noVBand="1"/>
      </w:tblPr>
      <w:tblGrid>
        <w:gridCol w:w="1985"/>
        <w:gridCol w:w="1296"/>
        <w:gridCol w:w="1453"/>
        <w:gridCol w:w="1078"/>
        <w:gridCol w:w="1276"/>
        <w:gridCol w:w="997"/>
        <w:gridCol w:w="997"/>
        <w:gridCol w:w="1266"/>
        <w:gridCol w:w="1131"/>
        <w:gridCol w:w="1453"/>
      </w:tblGrid>
      <w:tr w:rsidR="009845C2" w:rsidRPr="009845C2" w14:paraId="1DC148C8" w14:textId="77777777" w:rsidTr="00F02950">
        <w:trPr>
          <w:trHeight w:val="300"/>
          <w:jc w:val="center"/>
        </w:trPr>
        <w:tc>
          <w:tcPr>
            <w:tcW w:w="12931" w:type="dxa"/>
            <w:gridSpan w:val="10"/>
            <w:tcBorders>
              <w:top w:val="nil"/>
              <w:left w:val="single" w:sz="8" w:space="0" w:color="auto"/>
              <w:bottom w:val="single" w:sz="8" w:space="0" w:color="auto"/>
              <w:right w:val="nil"/>
            </w:tcBorders>
            <w:shd w:val="clear" w:color="000000" w:fill="92D050"/>
            <w:vAlign w:val="center"/>
            <w:hideMark/>
          </w:tcPr>
          <w:p w14:paraId="3D5FC2CF" w14:textId="77777777" w:rsidR="009845C2" w:rsidRPr="009845C2" w:rsidRDefault="009845C2" w:rsidP="009845C2">
            <w:pPr>
              <w:spacing w:after="0" w:line="240" w:lineRule="auto"/>
              <w:jc w:val="center"/>
              <w:rPr>
                <w:rFonts w:ascii="Arial" w:eastAsia="Times New Roman" w:hAnsi="Arial" w:cs="Arial"/>
                <w:b/>
                <w:bCs/>
                <w:color w:val="000000"/>
                <w:sz w:val="20"/>
                <w:szCs w:val="20"/>
                <w:lang w:eastAsia="en-GB"/>
              </w:rPr>
            </w:pPr>
            <w:r w:rsidRPr="009845C2">
              <w:rPr>
                <w:rFonts w:ascii="Arial" w:eastAsia="Times New Roman" w:hAnsi="Arial" w:cs="Arial"/>
                <w:b/>
                <w:bCs/>
                <w:color w:val="000000"/>
                <w:sz w:val="20"/>
                <w:szCs w:val="20"/>
                <w:lang w:eastAsia="en-GB"/>
              </w:rPr>
              <w:t>BUDGET 2021 (in EUR)</w:t>
            </w:r>
          </w:p>
        </w:tc>
      </w:tr>
      <w:tr w:rsidR="009845C2" w:rsidRPr="009845C2" w14:paraId="73FCFCE9" w14:textId="77777777" w:rsidTr="00F02950">
        <w:trPr>
          <w:trHeight w:val="300"/>
          <w:jc w:val="center"/>
        </w:trPr>
        <w:tc>
          <w:tcPr>
            <w:tcW w:w="1985" w:type="dxa"/>
            <w:vMerge w:val="restart"/>
            <w:tcBorders>
              <w:top w:val="nil"/>
              <w:left w:val="single" w:sz="8" w:space="0" w:color="auto"/>
              <w:bottom w:val="single" w:sz="8" w:space="0" w:color="000000"/>
              <w:right w:val="single" w:sz="8" w:space="0" w:color="auto"/>
            </w:tcBorders>
            <w:shd w:val="clear" w:color="auto" w:fill="auto"/>
            <w:noWrap/>
            <w:vAlign w:val="bottom"/>
            <w:hideMark/>
          </w:tcPr>
          <w:p w14:paraId="1B11E25F" w14:textId="77777777" w:rsidR="009845C2" w:rsidRPr="009845C2" w:rsidRDefault="009845C2" w:rsidP="009845C2">
            <w:pPr>
              <w:spacing w:after="0" w:line="240" w:lineRule="auto"/>
              <w:rPr>
                <w:rFonts w:eastAsia="Times New Roman" w:cs="Calibri"/>
                <w:color w:val="000000"/>
                <w:sz w:val="20"/>
                <w:szCs w:val="20"/>
                <w:lang w:eastAsia="en-GB"/>
              </w:rPr>
            </w:pPr>
            <w:r w:rsidRPr="009845C2">
              <w:rPr>
                <w:rFonts w:eastAsia="Times New Roman" w:cs="Calibri"/>
                <w:color w:val="000000"/>
                <w:sz w:val="20"/>
                <w:szCs w:val="20"/>
                <w:lang w:eastAsia="en-GB"/>
              </w:rPr>
              <w:t> </w:t>
            </w:r>
          </w:p>
        </w:tc>
        <w:tc>
          <w:tcPr>
            <w:tcW w:w="2749" w:type="dxa"/>
            <w:gridSpan w:val="2"/>
            <w:tcBorders>
              <w:top w:val="single" w:sz="8" w:space="0" w:color="auto"/>
              <w:left w:val="nil"/>
              <w:bottom w:val="single" w:sz="8" w:space="0" w:color="auto"/>
              <w:right w:val="single" w:sz="8" w:space="0" w:color="000000"/>
            </w:tcBorders>
            <w:shd w:val="clear" w:color="000000" w:fill="E8EDEE"/>
            <w:noWrap/>
            <w:vAlign w:val="center"/>
            <w:hideMark/>
          </w:tcPr>
          <w:p w14:paraId="18261574" w14:textId="77777777" w:rsidR="009845C2" w:rsidRPr="009845C2" w:rsidRDefault="009845C2" w:rsidP="009845C2">
            <w:pPr>
              <w:spacing w:after="0" w:line="240" w:lineRule="auto"/>
              <w:jc w:val="center"/>
              <w:rPr>
                <w:rFonts w:eastAsia="Times New Roman" w:cs="Calibri"/>
                <w:b/>
                <w:bCs/>
                <w:color w:val="000000"/>
                <w:sz w:val="20"/>
                <w:szCs w:val="20"/>
                <w:lang w:eastAsia="en-GB"/>
              </w:rPr>
            </w:pPr>
            <w:r w:rsidRPr="009845C2">
              <w:rPr>
                <w:rFonts w:eastAsia="Times New Roman" w:cs="Calibri"/>
                <w:b/>
                <w:bCs/>
                <w:color w:val="000000"/>
                <w:sz w:val="20"/>
                <w:szCs w:val="20"/>
                <w:lang w:eastAsia="en-GB"/>
              </w:rPr>
              <w:t>Voted Budget</w:t>
            </w:r>
          </w:p>
        </w:tc>
        <w:tc>
          <w:tcPr>
            <w:tcW w:w="2354" w:type="dxa"/>
            <w:gridSpan w:val="2"/>
            <w:tcBorders>
              <w:top w:val="single" w:sz="8" w:space="0" w:color="auto"/>
              <w:left w:val="nil"/>
              <w:bottom w:val="single" w:sz="8" w:space="0" w:color="auto"/>
              <w:right w:val="nil"/>
            </w:tcBorders>
            <w:shd w:val="clear" w:color="000000" w:fill="E8EDEE"/>
            <w:noWrap/>
            <w:vAlign w:val="center"/>
            <w:hideMark/>
          </w:tcPr>
          <w:p w14:paraId="0811CCCD" w14:textId="77777777" w:rsidR="009845C2" w:rsidRPr="009845C2" w:rsidRDefault="009845C2" w:rsidP="009845C2">
            <w:pPr>
              <w:spacing w:after="0" w:line="240" w:lineRule="auto"/>
              <w:jc w:val="center"/>
              <w:rPr>
                <w:rFonts w:eastAsia="Times New Roman" w:cs="Calibri"/>
                <w:b/>
                <w:bCs/>
                <w:color w:val="000000"/>
                <w:sz w:val="20"/>
                <w:szCs w:val="20"/>
                <w:lang w:eastAsia="en-GB"/>
              </w:rPr>
            </w:pPr>
            <w:r w:rsidRPr="009845C2">
              <w:rPr>
                <w:rFonts w:eastAsia="Times New Roman" w:cs="Calibri"/>
                <w:b/>
                <w:bCs/>
                <w:color w:val="000000"/>
                <w:sz w:val="20"/>
                <w:szCs w:val="20"/>
                <w:lang w:eastAsia="en-GB"/>
              </w:rPr>
              <w:t>Amendments</w:t>
            </w:r>
          </w:p>
        </w:tc>
        <w:tc>
          <w:tcPr>
            <w:tcW w:w="1994" w:type="dxa"/>
            <w:gridSpan w:val="2"/>
            <w:tcBorders>
              <w:top w:val="single" w:sz="8" w:space="0" w:color="auto"/>
              <w:left w:val="single" w:sz="8" w:space="0" w:color="auto"/>
              <w:bottom w:val="single" w:sz="8" w:space="0" w:color="auto"/>
              <w:right w:val="single" w:sz="8" w:space="0" w:color="000000"/>
            </w:tcBorders>
            <w:shd w:val="clear" w:color="000000" w:fill="E8EDEE"/>
            <w:noWrap/>
            <w:vAlign w:val="center"/>
            <w:hideMark/>
          </w:tcPr>
          <w:p w14:paraId="2DEA76CB" w14:textId="77777777" w:rsidR="009845C2" w:rsidRPr="009845C2" w:rsidRDefault="009845C2" w:rsidP="009845C2">
            <w:pPr>
              <w:spacing w:after="0" w:line="240" w:lineRule="auto"/>
              <w:jc w:val="center"/>
              <w:rPr>
                <w:rFonts w:eastAsia="Times New Roman" w:cs="Calibri"/>
                <w:b/>
                <w:bCs/>
                <w:color w:val="000000"/>
                <w:sz w:val="20"/>
                <w:szCs w:val="20"/>
                <w:lang w:eastAsia="en-GB"/>
              </w:rPr>
            </w:pPr>
            <w:r w:rsidRPr="009845C2">
              <w:rPr>
                <w:rFonts w:eastAsia="Times New Roman" w:cs="Calibri"/>
                <w:b/>
                <w:bCs/>
                <w:color w:val="000000"/>
                <w:sz w:val="20"/>
                <w:szCs w:val="20"/>
                <w:lang w:eastAsia="en-GB"/>
              </w:rPr>
              <w:t>Transfers</w:t>
            </w:r>
          </w:p>
        </w:tc>
        <w:tc>
          <w:tcPr>
            <w:tcW w:w="1266" w:type="dxa"/>
            <w:tcBorders>
              <w:top w:val="nil"/>
              <w:left w:val="nil"/>
              <w:bottom w:val="single" w:sz="8" w:space="0" w:color="auto"/>
              <w:right w:val="single" w:sz="8" w:space="0" w:color="auto"/>
            </w:tcBorders>
            <w:shd w:val="clear" w:color="000000" w:fill="E8EDEE"/>
            <w:noWrap/>
            <w:vAlign w:val="center"/>
            <w:hideMark/>
          </w:tcPr>
          <w:p w14:paraId="16DC0491" w14:textId="77777777" w:rsidR="009845C2" w:rsidRPr="009845C2" w:rsidRDefault="009845C2" w:rsidP="009845C2">
            <w:pPr>
              <w:spacing w:after="0" w:line="240" w:lineRule="auto"/>
              <w:rPr>
                <w:rFonts w:eastAsia="Times New Roman" w:cs="Calibri"/>
                <w:b/>
                <w:bCs/>
                <w:color w:val="000000"/>
                <w:sz w:val="20"/>
                <w:szCs w:val="20"/>
                <w:lang w:eastAsia="en-GB"/>
              </w:rPr>
            </w:pPr>
            <w:r w:rsidRPr="009845C2">
              <w:rPr>
                <w:rFonts w:eastAsia="Times New Roman" w:cs="Calibri"/>
                <w:b/>
                <w:bCs/>
                <w:color w:val="000000"/>
                <w:sz w:val="20"/>
                <w:szCs w:val="20"/>
                <w:lang w:eastAsia="en-GB"/>
              </w:rPr>
              <w:t>Assigned revenues</w:t>
            </w:r>
          </w:p>
        </w:tc>
        <w:tc>
          <w:tcPr>
            <w:tcW w:w="2584" w:type="dxa"/>
            <w:gridSpan w:val="2"/>
            <w:tcBorders>
              <w:top w:val="single" w:sz="8" w:space="0" w:color="auto"/>
              <w:left w:val="nil"/>
              <w:bottom w:val="single" w:sz="8" w:space="0" w:color="auto"/>
              <w:right w:val="single" w:sz="8" w:space="0" w:color="000000"/>
            </w:tcBorders>
            <w:shd w:val="clear" w:color="000000" w:fill="E8EDEE"/>
            <w:noWrap/>
            <w:vAlign w:val="center"/>
            <w:hideMark/>
          </w:tcPr>
          <w:p w14:paraId="11A7F8B5" w14:textId="77777777" w:rsidR="009845C2" w:rsidRPr="009845C2" w:rsidRDefault="009845C2" w:rsidP="009845C2">
            <w:pPr>
              <w:spacing w:after="0" w:line="240" w:lineRule="auto"/>
              <w:jc w:val="center"/>
              <w:rPr>
                <w:rFonts w:eastAsia="Times New Roman" w:cs="Calibri"/>
                <w:b/>
                <w:bCs/>
                <w:color w:val="000000"/>
                <w:sz w:val="20"/>
                <w:szCs w:val="20"/>
                <w:lang w:eastAsia="en-GB"/>
              </w:rPr>
            </w:pPr>
            <w:r w:rsidRPr="009845C2">
              <w:rPr>
                <w:rFonts w:eastAsia="Times New Roman" w:cs="Calibri"/>
                <w:b/>
                <w:bCs/>
                <w:color w:val="000000"/>
                <w:sz w:val="20"/>
                <w:szCs w:val="20"/>
                <w:lang w:eastAsia="en-GB"/>
              </w:rPr>
              <w:t>Final budget</w:t>
            </w:r>
          </w:p>
        </w:tc>
      </w:tr>
      <w:tr w:rsidR="009845C2" w:rsidRPr="009845C2" w14:paraId="44E96D8D" w14:textId="77777777" w:rsidTr="00F02950">
        <w:trPr>
          <w:trHeight w:val="300"/>
          <w:jc w:val="center"/>
        </w:trPr>
        <w:tc>
          <w:tcPr>
            <w:tcW w:w="1985" w:type="dxa"/>
            <w:vMerge/>
            <w:tcBorders>
              <w:top w:val="nil"/>
              <w:left w:val="single" w:sz="8" w:space="0" w:color="auto"/>
              <w:bottom w:val="single" w:sz="8" w:space="0" w:color="000000"/>
              <w:right w:val="single" w:sz="8" w:space="0" w:color="auto"/>
            </w:tcBorders>
            <w:vAlign w:val="center"/>
            <w:hideMark/>
          </w:tcPr>
          <w:p w14:paraId="4B7F6996" w14:textId="77777777" w:rsidR="009845C2" w:rsidRPr="009845C2" w:rsidRDefault="009845C2" w:rsidP="009845C2">
            <w:pPr>
              <w:spacing w:after="0" w:line="240" w:lineRule="auto"/>
              <w:rPr>
                <w:rFonts w:eastAsia="Times New Roman" w:cs="Calibri"/>
                <w:color w:val="000000"/>
                <w:sz w:val="20"/>
                <w:szCs w:val="20"/>
                <w:lang w:eastAsia="en-GB"/>
              </w:rPr>
            </w:pPr>
          </w:p>
        </w:tc>
        <w:tc>
          <w:tcPr>
            <w:tcW w:w="1296" w:type="dxa"/>
            <w:tcBorders>
              <w:top w:val="nil"/>
              <w:left w:val="nil"/>
              <w:bottom w:val="single" w:sz="8" w:space="0" w:color="auto"/>
              <w:right w:val="single" w:sz="8" w:space="0" w:color="auto"/>
            </w:tcBorders>
            <w:shd w:val="clear" w:color="000000" w:fill="E8EDEE"/>
            <w:noWrap/>
            <w:vAlign w:val="center"/>
            <w:hideMark/>
          </w:tcPr>
          <w:p w14:paraId="72026B8B" w14:textId="77777777" w:rsidR="009845C2" w:rsidRPr="009845C2" w:rsidRDefault="009845C2" w:rsidP="009845C2">
            <w:pPr>
              <w:spacing w:after="0" w:line="240" w:lineRule="auto"/>
              <w:jc w:val="center"/>
              <w:rPr>
                <w:rFonts w:eastAsia="Times New Roman" w:cs="Calibri"/>
                <w:b/>
                <w:bCs/>
                <w:color w:val="000000"/>
                <w:sz w:val="20"/>
                <w:szCs w:val="20"/>
                <w:lang w:eastAsia="en-GB"/>
              </w:rPr>
            </w:pPr>
            <w:r w:rsidRPr="009845C2">
              <w:rPr>
                <w:rFonts w:eastAsia="Times New Roman" w:cs="Calibri"/>
                <w:b/>
                <w:bCs/>
                <w:color w:val="000000"/>
                <w:sz w:val="20"/>
                <w:szCs w:val="20"/>
                <w:lang w:eastAsia="en-GB"/>
              </w:rPr>
              <w:t>CA</w:t>
            </w:r>
          </w:p>
        </w:tc>
        <w:tc>
          <w:tcPr>
            <w:tcW w:w="1453" w:type="dxa"/>
            <w:tcBorders>
              <w:top w:val="nil"/>
              <w:left w:val="nil"/>
              <w:bottom w:val="single" w:sz="8" w:space="0" w:color="auto"/>
              <w:right w:val="single" w:sz="8" w:space="0" w:color="auto"/>
            </w:tcBorders>
            <w:shd w:val="clear" w:color="000000" w:fill="E8EDEE"/>
            <w:noWrap/>
            <w:vAlign w:val="center"/>
            <w:hideMark/>
          </w:tcPr>
          <w:p w14:paraId="61E49B58" w14:textId="77777777" w:rsidR="009845C2" w:rsidRPr="009845C2" w:rsidRDefault="009845C2" w:rsidP="009845C2">
            <w:pPr>
              <w:spacing w:after="0" w:line="240" w:lineRule="auto"/>
              <w:jc w:val="center"/>
              <w:rPr>
                <w:rFonts w:eastAsia="Times New Roman" w:cs="Calibri"/>
                <w:b/>
                <w:bCs/>
                <w:color w:val="000000"/>
                <w:sz w:val="20"/>
                <w:szCs w:val="20"/>
                <w:lang w:eastAsia="en-GB"/>
              </w:rPr>
            </w:pPr>
            <w:r w:rsidRPr="009845C2">
              <w:rPr>
                <w:rFonts w:eastAsia="Times New Roman" w:cs="Calibri"/>
                <w:b/>
                <w:bCs/>
                <w:color w:val="000000"/>
                <w:sz w:val="20"/>
                <w:szCs w:val="20"/>
                <w:lang w:eastAsia="en-GB"/>
              </w:rPr>
              <w:t>PA</w:t>
            </w:r>
          </w:p>
        </w:tc>
        <w:tc>
          <w:tcPr>
            <w:tcW w:w="1078" w:type="dxa"/>
            <w:tcBorders>
              <w:top w:val="nil"/>
              <w:left w:val="nil"/>
              <w:bottom w:val="single" w:sz="8" w:space="0" w:color="auto"/>
              <w:right w:val="single" w:sz="8" w:space="0" w:color="auto"/>
            </w:tcBorders>
            <w:shd w:val="clear" w:color="000000" w:fill="E8EDEE"/>
            <w:noWrap/>
            <w:vAlign w:val="center"/>
            <w:hideMark/>
          </w:tcPr>
          <w:p w14:paraId="1A2875E2" w14:textId="77777777" w:rsidR="009845C2" w:rsidRPr="009845C2" w:rsidRDefault="009845C2" w:rsidP="009845C2">
            <w:pPr>
              <w:spacing w:after="0" w:line="240" w:lineRule="auto"/>
              <w:jc w:val="center"/>
              <w:rPr>
                <w:rFonts w:eastAsia="Times New Roman" w:cs="Calibri"/>
                <w:b/>
                <w:bCs/>
                <w:color w:val="000000"/>
                <w:sz w:val="20"/>
                <w:szCs w:val="20"/>
                <w:lang w:eastAsia="en-GB"/>
              </w:rPr>
            </w:pPr>
            <w:r w:rsidRPr="009845C2">
              <w:rPr>
                <w:rFonts w:eastAsia="Times New Roman" w:cs="Calibri"/>
                <w:b/>
                <w:bCs/>
                <w:color w:val="000000"/>
                <w:sz w:val="20"/>
                <w:szCs w:val="20"/>
                <w:lang w:eastAsia="en-GB"/>
              </w:rPr>
              <w:t>CA</w:t>
            </w:r>
          </w:p>
        </w:tc>
        <w:tc>
          <w:tcPr>
            <w:tcW w:w="1276" w:type="dxa"/>
            <w:tcBorders>
              <w:top w:val="nil"/>
              <w:left w:val="nil"/>
              <w:bottom w:val="single" w:sz="8" w:space="0" w:color="auto"/>
              <w:right w:val="single" w:sz="8" w:space="0" w:color="auto"/>
            </w:tcBorders>
            <w:shd w:val="clear" w:color="000000" w:fill="E8EDEE"/>
            <w:noWrap/>
            <w:vAlign w:val="center"/>
            <w:hideMark/>
          </w:tcPr>
          <w:p w14:paraId="1D3F1CB2" w14:textId="77777777" w:rsidR="009845C2" w:rsidRPr="009845C2" w:rsidRDefault="009845C2" w:rsidP="009845C2">
            <w:pPr>
              <w:spacing w:after="0" w:line="240" w:lineRule="auto"/>
              <w:jc w:val="center"/>
              <w:rPr>
                <w:rFonts w:eastAsia="Times New Roman" w:cs="Calibri"/>
                <w:b/>
                <w:bCs/>
                <w:color w:val="000000"/>
                <w:sz w:val="20"/>
                <w:szCs w:val="20"/>
                <w:lang w:eastAsia="en-GB"/>
              </w:rPr>
            </w:pPr>
            <w:r w:rsidRPr="009845C2">
              <w:rPr>
                <w:rFonts w:eastAsia="Times New Roman" w:cs="Calibri"/>
                <w:b/>
                <w:bCs/>
                <w:color w:val="000000"/>
                <w:sz w:val="20"/>
                <w:szCs w:val="20"/>
                <w:lang w:eastAsia="en-GB"/>
              </w:rPr>
              <w:t>PA</w:t>
            </w:r>
          </w:p>
        </w:tc>
        <w:tc>
          <w:tcPr>
            <w:tcW w:w="997" w:type="dxa"/>
            <w:tcBorders>
              <w:top w:val="nil"/>
              <w:left w:val="nil"/>
              <w:bottom w:val="single" w:sz="8" w:space="0" w:color="auto"/>
              <w:right w:val="single" w:sz="8" w:space="0" w:color="auto"/>
            </w:tcBorders>
            <w:shd w:val="clear" w:color="000000" w:fill="E8EDEE"/>
            <w:noWrap/>
            <w:vAlign w:val="center"/>
            <w:hideMark/>
          </w:tcPr>
          <w:p w14:paraId="193C97FB" w14:textId="77777777" w:rsidR="009845C2" w:rsidRPr="009845C2" w:rsidRDefault="009845C2" w:rsidP="009845C2">
            <w:pPr>
              <w:spacing w:after="0" w:line="240" w:lineRule="auto"/>
              <w:jc w:val="center"/>
              <w:rPr>
                <w:rFonts w:eastAsia="Times New Roman" w:cs="Calibri"/>
                <w:b/>
                <w:bCs/>
                <w:color w:val="000000"/>
                <w:sz w:val="20"/>
                <w:szCs w:val="20"/>
                <w:lang w:eastAsia="en-GB"/>
              </w:rPr>
            </w:pPr>
            <w:r w:rsidRPr="009845C2">
              <w:rPr>
                <w:rFonts w:eastAsia="Times New Roman" w:cs="Calibri"/>
                <w:b/>
                <w:bCs/>
                <w:color w:val="000000"/>
                <w:sz w:val="20"/>
                <w:szCs w:val="20"/>
                <w:lang w:eastAsia="en-GB"/>
              </w:rPr>
              <w:t>CA</w:t>
            </w:r>
          </w:p>
        </w:tc>
        <w:tc>
          <w:tcPr>
            <w:tcW w:w="997" w:type="dxa"/>
            <w:tcBorders>
              <w:top w:val="nil"/>
              <w:left w:val="nil"/>
              <w:bottom w:val="single" w:sz="8" w:space="0" w:color="auto"/>
              <w:right w:val="single" w:sz="8" w:space="0" w:color="auto"/>
            </w:tcBorders>
            <w:shd w:val="clear" w:color="000000" w:fill="E8EDEE"/>
            <w:noWrap/>
            <w:vAlign w:val="center"/>
            <w:hideMark/>
          </w:tcPr>
          <w:p w14:paraId="449F3E51" w14:textId="77777777" w:rsidR="009845C2" w:rsidRPr="009845C2" w:rsidRDefault="009845C2" w:rsidP="009845C2">
            <w:pPr>
              <w:spacing w:after="0" w:line="240" w:lineRule="auto"/>
              <w:jc w:val="center"/>
              <w:rPr>
                <w:rFonts w:eastAsia="Times New Roman" w:cs="Calibri"/>
                <w:b/>
                <w:bCs/>
                <w:color w:val="000000"/>
                <w:sz w:val="20"/>
                <w:szCs w:val="20"/>
                <w:lang w:eastAsia="en-GB"/>
              </w:rPr>
            </w:pPr>
            <w:r w:rsidRPr="009845C2">
              <w:rPr>
                <w:rFonts w:eastAsia="Times New Roman" w:cs="Calibri"/>
                <w:b/>
                <w:bCs/>
                <w:color w:val="000000"/>
                <w:sz w:val="20"/>
                <w:szCs w:val="20"/>
                <w:lang w:eastAsia="en-GB"/>
              </w:rPr>
              <w:t>PA</w:t>
            </w:r>
          </w:p>
        </w:tc>
        <w:tc>
          <w:tcPr>
            <w:tcW w:w="1266" w:type="dxa"/>
            <w:tcBorders>
              <w:top w:val="nil"/>
              <w:left w:val="nil"/>
              <w:bottom w:val="single" w:sz="8" w:space="0" w:color="auto"/>
              <w:right w:val="single" w:sz="8" w:space="0" w:color="auto"/>
            </w:tcBorders>
            <w:shd w:val="clear" w:color="000000" w:fill="E8EDEE"/>
            <w:noWrap/>
            <w:vAlign w:val="center"/>
            <w:hideMark/>
          </w:tcPr>
          <w:p w14:paraId="2C2683DE" w14:textId="77777777" w:rsidR="009845C2" w:rsidRPr="009845C2" w:rsidRDefault="009845C2" w:rsidP="009845C2">
            <w:pPr>
              <w:spacing w:after="0" w:line="240" w:lineRule="auto"/>
              <w:jc w:val="center"/>
              <w:rPr>
                <w:rFonts w:eastAsia="Times New Roman" w:cs="Calibri"/>
                <w:b/>
                <w:bCs/>
                <w:color w:val="000000"/>
                <w:sz w:val="20"/>
                <w:szCs w:val="20"/>
                <w:lang w:eastAsia="en-GB"/>
              </w:rPr>
            </w:pPr>
            <w:r w:rsidRPr="009845C2">
              <w:rPr>
                <w:rFonts w:eastAsia="Times New Roman" w:cs="Calibri"/>
                <w:b/>
                <w:bCs/>
                <w:color w:val="000000"/>
                <w:sz w:val="20"/>
                <w:szCs w:val="20"/>
                <w:lang w:eastAsia="en-GB"/>
              </w:rPr>
              <w:t>CA+PA</w:t>
            </w:r>
          </w:p>
        </w:tc>
        <w:tc>
          <w:tcPr>
            <w:tcW w:w="1131" w:type="dxa"/>
            <w:tcBorders>
              <w:top w:val="nil"/>
              <w:left w:val="nil"/>
              <w:bottom w:val="single" w:sz="8" w:space="0" w:color="auto"/>
              <w:right w:val="single" w:sz="8" w:space="0" w:color="auto"/>
            </w:tcBorders>
            <w:shd w:val="clear" w:color="000000" w:fill="E8EDEE"/>
            <w:noWrap/>
            <w:vAlign w:val="center"/>
            <w:hideMark/>
          </w:tcPr>
          <w:p w14:paraId="5C9D9857" w14:textId="77777777" w:rsidR="009845C2" w:rsidRPr="009845C2" w:rsidRDefault="009845C2" w:rsidP="009845C2">
            <w:pPr>
              <w:spacing w:after="0" w:line="240" w:lineRule="auto"/>
              <w:jc w:val="center"/>
              <w:rPr>
                <w:rFonts w:eastAsia="Times New Roman" w:cs="Calibri"/>
                <w:b/>
                <w:bCs/>
                <w:color w:val="000000"/>
                <w:sz w:val="20"/>
                <w:szCs w:val="20"/>
                <w:lang w:eastAsia="en-GB"/>
              </w:rPr>
            </w:pPr>
            <w:r w:rsidRPr="009845C2">
              <w:rPr>
                <w:rFonts w:eastAsia="Times New Roman" w:cs="Calibri"/>
                <w:b/>
                <w:bCs/>
                <w:color w:val="000000"/>
                <w:sz w:val="20"/>
                <w:szCs w:val="20"/>
                <w:lang w:eastAsia="en-GB"/>
              </w:rPr>
              <w:t>CA</w:t>
            </w:r>
          </w:p>
        </w:tc>
        <w:tc>
          <w:tcPr>
            <w:tcW w:w="1453" w:type="dxa"/>
            <w:tcBorders>
              <w:top w:val="nil"/>
              <w:left w:val="nil"/>
              <w:bottom w:val="single" w:sz="8" w:space="0" w:color="auto"/>
              <w:right w:val="single" w:sz="8" w:space="0" w:color="auto"/>
            </w:tcBorders>
            <w:shd w:val="clear" w:color="000000" w:fill="E8EDEE"/>
            <w:noWrap/>
            <w:vAlign w:val="center"/>
            <w:hideMark/>
          </w:tcPr>
          <w:p w14:paraId="24EA2064" w14:textId="77777777" w:rsidR="009845C2" w:rsidRPr="009845C2" w:rsidRDefault="009845C2" w:rsidP="009845C2">
            <w:pPr>
              <w:spacing w:after="0" w:line="240" w:lineRule="auto"/>
              <w:jc w:val="center"/>
              <w:rPr>
                <w:rFonts w:eastAsia="Times New Roman" w:cs="Calibri"/>
                <w:b/>
                <w:bCs/>
                <w:color w:val="000000"/>
                <w:sz w:val="20"/>
                <w:szCs w:val="20"/>
                <w:lang w:eastAsia="en-GB"/>
              </w:rPr>
            </w:pPr>
            <w:r w:rsidRPr="009845C2">
              <w:rPr>
                <w:rFonts w:eastAsia="Times New Roman" w:cs="Calibri"/>
                <w:b/>
                <w:bCs/>
                <w:color w:val="000000"/>
                <w:sz w:val="20"/>
                <w:szCs w:val="20"/>
                <w:lang w:eastAsia="en-GB"/>
              </w:rPr>
              <w:t>PA</w:t>
            </w:r>
          </w:p>
        </w:tc>
      </w:tr>
      <w:tr w:rsidR="009845C2" w:rsidRPr="009845C2" w14:paraId="44D38236" w14:textId="77777777" w:rsidTr="00F02950">
        <w:trPr>
          <w:trHeight w:val="300"/>
          <w:jc w:val="center"/>
        </w:trPr>
        <w:tc>
          <w:tcPr>
            <w:tcW w:w="12931" w:type="dxa"/>
            <w:gridSpan w:val="10"/>
            <w:tcBorders>
              <w:top w:val="single" w:sz="8" w:space="0" w:color="auto"/>
              <w:left w:val="single" w:sz="8" w:space="0" w:color="auto"/>
              <w:bottom w:val="single" w:sz="8" w:space="0" w:color="auto"/>
              <w:right w:val="single" w:sz="8" w:space="0" w:color="000000"/>
            </w:tcBorders>
            <w:shd w:val="clear" w:color="000000" w:fill="E8EDEE"/>
            <w:noWrap/>
            <w:vAlign w:val="center"/>
            <w:hideMark/>
          </w:tcPr>
          <w:p w14:paraId="4A1C902A" w14:textId="77777777" w:rsidR="009845C2" w:rsidRPr="009845C2" w:rsidRDefault="009845C2" w:rsidP="009845C2">
            <w:pPr>
              <w:spacing w:after="0" w:line="240" w:lineRule="auto"/>
              <w:rPr>
                <w:rFonts w:eastAsia="Times New Roman" w:cs="Calibri"/>
                <w:b/>
                <w:bCs/>
                <w:color w:val="000000"/>
                <w:sz w:val="20"/>
                <w:szCs w:val="20"/>
                <w:lang w:eastAsia="en-GB"/>
              </w:rPr>
            </w:pPr>
            <w:r w:rsidRPr="009845C2">
              <w:rPr>
                <w:rFonts w:eastAsia="Times New Roman" w:cs="Calibri"/>
                <w:b/>
                <w:bCs/>
                <w:color w:val="000000"/>
                <w:sz w:val="20"/>
                <w:szCs w:val="20"/>
                <w:lang w:eastAsia="en-GB"/>
              </w:rPr>
              <w:t>Revenue</w:t>
            </w:r>
          </w:p>
        </w:tc>
      </w:tr>
      <w:tr w:rsidR="009845C2" w:rsidRPr="009845C2" w14:paraId="55A44ED0" w14:textId="77777777" w:rsidTr="00F02950">
        <w:trPr>
          <w:trHeight w:val="300"/>
          <w:jc w:val="center"/>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14:paraId="01371B20" w14:textId="77777777" w:rsidR="009845C2" w:rsidRPr="009845C2" w:rsidRDefault="009845C2" w:rsidP="009845C2">
            <w:pPr>
              <w:spacing w:after="0" w:line="240" w:lineRule="auto"/>
              <w:rPr>
                <w:rFonts w:eastAsia="Times New Roman" w:cs="Calibri"/>
                <w:color w:val="000000"/>
                <w:sz w:val="20"/>
                <w:szCs w:val="20"/>
                <w:lang w:eastAsia="en-GB"/>
              </w:rPr>
            </w:pPr>
            <w:r w:rsidRPr="009845C2">
              <w:rPr>
                <w:rFonts w:eastAsia="Times New Roman" w:cs="Calibri"/>
                <w:color w:val="000000"/>
                <w:sz w:val="20"/>
                <w:szCs w:val="20"/>
                <w:lang w:eastAsia="en-GB"/>
              </w:rPr>
              <w:t xml:space="preserve"> EU operational FP7</w:t>
            </w:r>
          </w:p>
        </w:tc>
        <w:tc>
          <w:tcPr>
            <w:tcW w:w="1296" w:type="dxa"/>
            <w:tcBorders>
              <w:top w:val="nil"/>
              <w:left w:val="nil"/>
              <w:bottom w:val="single" w:sz="8" w:space="0" w:color="auto"/>
              <w:right w:val="single" w:sz="8" w:space="0" w:color="auto"/>
            </w:tcBorders>
            <w:shd w:val="clear" w:color="auto" w:fill="auto"/>
            <w:noWrap/>
            <w:vAlign w:val="center"/>
            <w:hideMark/>
          </w:tcPr>
          <w:p w14:paraId="3A18555F"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 </w:t>
            </w:r>
          </w:p>
        </w:tc>
        <w:tc>
          <w:tcPr>
            <w:tcW w:w="1453" w:type="dxa"/>
            <w:tcBorders>
              <w:top w:val="nil"/>
              <w:left w:val="nil"/>
              <w:bottom w:val="single" w:sz="8" w:space="0" w:color="auto"/>
              <w:right w:val="single" w:sz="8" w:space="0" w:color="auto"/>
            </w:tcBorders>
            <w:shd w:val="clear" w:color="auto" w:fill="auto"/>
            <w:noWrap/>
            <w:vAlign w:val="center"/>
            <w:hideMark/>
          </w:tcPr>
          <w:p w14:paraId="528FE093"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1,150,639</w:t>
            </w:r>
          </w:p>
        </w:tc>
        <w:tc>
          <w:tcPr>
            <w:tcW w:w="1078" w:type="dxa"/>
            <w:tcBorders>
              <w:top w:val="nil"/>
              <w:left w:val="nil"/>
              <w:bottom w:val="single" w:sz="8" w:space="0" w:color="auto"/>
              <w:right w:val="single" w:sz="8" w:space="0" w:color="auto"/>
            </w:tcBorders>
            <w:shd w:val="clear" w:color="auto" w:fill="auto"/>
            <w:noWrap/>
            <w:vAlign w:val="center"/>
            <w:hideMark/>
          </w:tcPr>
          <w:p w14:paraId="74A73C25" w14:textId="77777777" w:rsidR="009845C2" w:rsidRPr="009845C2" w:rsidRDefault="009845C2" w:rsidP="009845C2">
            <w:pPr>
              <w:spacing w:after="0" w:line="240" w:lineRule="auto"/>
              <w:rPr>
                <w:rFonts w:eastAsia="Times New Roman" w:cs="Calibri"/>
                <w:color w:val="000000"/>
                <w:sz w:val="20"/>
                <w:szCs w:val="20"/>
                <w:lang w:eastAsia="en-GB"/>
              </w:rPr>
            </w:pPr>
            <w:r w:rsidRPr="009845C2">
              <w:rPr>
                <w:rFonts w:eastAsia="Times New Roman" w:cs="Calibri"/>
                <w:color w:val="000000"/>
                <w:sz w:val="20"/>
                <w:szCs w:val="20"/>
                <w:lang w:eastAsia="en-GB"/>
              </w:rPr>
              <w:t> </w:t>
            </w:r>
          </w:p>
        </w:tc>
        <w:tc>
          <w:tcPr>
            <w:tcW w:w="1276" w:type="dxa"/>
            <w:tcBorders>
              <w:top w:val="nil"/>
              <w:left w:val="nil"/>
              <w:bottom w:val="single" w:sz="8" w:space="0" w:color="auto"/>
              <w:right w:val="single" w:sz="8" w:space="0" w:color="auto"/>
            </w:tcBorders>
            <w:shd w:val="clear" w:color="auto" w:fill="auto"/>
            <w:noWrap/>
            <w:vAlign w:val="center"/>
            <w:hideMark/>
          </w:tcPr>
          <w:p w14:paraId="4EBB41FD" w14:textId="77777777" w:rsidR="009845C2" w:rsidRPr="009845C2" w:rsidRDefault="009845C2" w:rsidP="009845C2">
            <w:pPr>
              <w:spacing w:after="0" w:line="240" w:lineRule="auto"/>
              <w:jc w:val="right"/>
              <w:rPr>
                <w:rFonts w:eastAsia="Times New Roman" w:cs="Calibri"/>
                <w:color w:val="FF0000"/>
                <w:sz w:val="20"/>
                <w:szCs w:val="20"/>
                <w:lang w:eastAsia="en-GB"/>
              </w:rPr>
            </w:pPr>
            <w:r w:rsidRPr="009845C2">
              <w:rPr>
                <w:rFonts w:eastAsia="Times New Roman" w:cs="Calibri"/>
                <w:color w:val="FF0000"/>
                <w:sz w:val="20"/>
                <w:szCs w:val="20"/>
                <w:lang w:eastAsia="en-GB"/>
              </w:rPr>
              <w:t>-810,598</w:t>
            </w:r>
          </w:p>
        </w:tc>
        <w:tc>
          <w:tcPr>
            <w:tcW w:w="997" w:type="dxa"/>
            <w:tcBorders>
              <w:top w:val="nil"/>
              <w:left w:val="nil"/>
              <w:bottom w:val="single" w:sz="8" w:space="0" w:color="auto"/>
              <w:right w:val="single" w:sz="8" w:space="0" w:color="auto"/>
            </w:tcBorders>
            <w:shd w:val="clear" w:color="auto" w:fill="auto"/>
            <w:noWrap/>
            <w:vAlign w:val="center"/>
            <w:hideMark/>
          </w:tcPr>
          <w:p w14:paraId="00DF6C24"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 </w:t>
            </w:r>
          </w:p>
        </w:tc>
        <w:tc>
          <w:tcPr>
            <w:tcW w:w="997" w:type="dxa"/>
            <w:tcBorders>
              <w:top w:val="nil"/>
              <w:left w:val="nil"/>
              <w:bottom w:val="single" w:sz="8" w:space="0" w:color="auto"/>
              <w:right w:val="single" w:sz="8" w:space="0" w:color="auto"/>
            </w:tcBorders>
            <w:shd w:val="clear" w:color="auto" w:fill="auto"/>
            <w:noWrap/>
            <w:vAlign w:val="center"/>
            <w:hideMark/>
          </w:tcPr>
          <w:p w14:paraId="164463C4"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 </w:t>
            </w:r>
          </w:p>
        </w:tc>
        <w:tc>
          <w:tcPr>
            <w:tcW w:w="1266" w:type="dxa"/>
            <w:tcBorders>
              <w:top w:val="nil"/>
              <w:left w:val="nil"/>
              <w:bottom w:val="single" w:sz="8" w:space="0" w:color="auto"/>
              <w:right w:val="single" w:sz="8" w:space="0" w:color="auto"/>
            </w:tcBorders>
            <w:shd w:val="clear" w:color="auto" w:fill="auto"/>
            <w:noWrap/>
            <w:vAlign w:val="center"/>
            <w:hideMark/>
          </w:tcPr>
          <w:p w14:paraId="58B42301"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 </w:t>
            </w:r>
          </w:p>
        </w:tc>
        <w:tc>
          <w:tcPr>
            <w:tcW w:w="1131" w:type="dxa"/>
            <w:tcBorders>
              <w:top w:val="nil"/>
              <w:left w:val="nil"/>
              <w:bottom w:val="single" w:sz="8" w:space="0" w:color="auto"/>
              <w:right w:val="single" w:sz="8" w:space="0" w:color="auto"/>
            </w:tcBorders>
            <w:shd w:val="clear" w:color="auto" w:fill="auto"/>
            <w:noWrap/>
            <w:vAlign w:val="center"/>
            <w:hideMark/>
          </w:tcPr>
          <w:p w14:paraId="11AFC9AD"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0</w:t>
            </w:r>
          </w:p>
        </w:tc>
        <w:tc>
          <w:tcPr>
            <w:tcW w:w="1453" w:type="dxa"/>
            <w:tcBorders>
              <w:top w:val="nil"/>
              <w:left w:val="nil"/>
              <w:bottom w:val="single" w:sz="8" w:space="0" w:color="auto"/>
              <w:right w:val="single" w:sz="8" w:space="0" w:color="auto"/>
            </w:tcBorders>
            <w:shd w:val="clear" w:color="auto" w:fill="auto"/>
            <w:noWrap/>
            <w:vAlign w:val="center"/>
            <w:hideMark/>
          </w:tcPr>
          <w:p w14:paraId="1FD8A7A6"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340,041</w:t>
            </w:r>
          </w:p>
        </w:tc>
      </w:tr>
      <w:tr w:rsidR="009845C2" w:rsidRPr="009845C2" w14:paraId="453BB827" w14:textId="77777777" w:rsidTr="00F02950">
        <w:trPr>
          <w:trHeight w:val="300"/>
          <w:jc w:val="center"/>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14:paraId="1B7074A8" w14:textId="77777777" w:rsidR="009845C2" w:rsidRPr="009845C2" w:rsidRDefault="009845C2" w:rsidP="009845C2">
            <w:pPr>
              <w:spacing w:after="0" w:line="240" w:lineRule="auto"/>
              <w:rPr>
                <w:rFonts w:eastAsia="Times New Roman" w:cs="Calibri"/>
                <w:color w:val="000000"/>
                <w:sz w:val="20"/>
                <w:szCs w:val="20"/>
                <w:lang w:eastAsia="en-GB"/>
              </w:rPr>
            </w:pPr>
            <w:r w:rsidRPr="009845C2">
              <w:rPr>
                <w:rFonts w:eastAsia="Times New Roman" w:cs="Calibri"/>
                <w:color w:val="000000"/>
                <w:sz w:val="20"/>
                <w:szCs w:val="20"/>
                <w:lang w:eastAsia="en-GB"/>
              </w:rPr>
              <w:t xml:space="preserve"> EU administrative </w:t>
            </w:r>
          </w:p>
        </w:tc>
        <w:tc>
          <w:tcPr>
            <w:tcW w:w="1296" w:type="dxa"/>
            <w:tcBorders>
              <w:top w:val="nil"/>
              <w:left w:val="nil"/>
              <w:bottom w:val="single" w:sz="8" w:space="0" w:color="auto"/>
              <w:right w:val="single" w:sz="8" w:space="0" w:color="auto"/>
            </w:tcBorders>
            <w:shd w:val="clear" w:color="auto" w:fill="auto"/>
            <w:noWrap/>
            <w:vAlign w:val="center"/>
            <w:hideMark/>
          </w:tcPr>
          <w:p w14:paraId="44380482"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2,649,250</w:t>
            </w:r>
          </w:p>
        </w:tc>
        <w:tc>
          <w:tcPr>
            <w:tcW w:w="1453" w:type="dxa"/>
            <w:tcBorders>
              <w:top w:val="nil"/>
              <w:left w:val="nil"/>
              <w:bottom w:val="single" w:sz="8" w:space="0" w:color="auto"/>
              <w:right w:val="single" w:sz="8" w:space="0" w:color="auto"/>
            </w:tcBorders>
            <w:shd w:val="clear" w:color="auto" w:fill="auto"/>
            <w:noWrap/>
            <w:vAlign w:val="center"/>
            <w:hideMark/>
          </w:tcPr>
          <w:p w14:paraId="3411C0E6"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2,649,250</w:t>
            </w:r>
          </w:p>
        </w:tc>
        <w:tc>
          <w:tcPr>
            <w:tcW w:w="1078" w:type="dxa"/>
            <w:tcBorders>
              <w:top w:val="nil"/>
              <w:left w:val="nil"/>
              <w:bottom w:val="single" w:sz="8" w:space="0" w:color="auto"/>
              <w:right w:val="single" w:sz="8" w:space="0" w:color="auto"/>
            </w:tcBorders>
            <w:shd w:val="clear" w:color="auto" w:fill="auto"/>
            <w:noWrap/>
            <w:vAlign w:val="center"/>
            <w:hideMark/>
          </w:tcPr>
          <w:p w14:paraId="282210F2" w14:textId="77777777" w:rsidR="009845C2" w:rsidRPr="009845C2" w:rsidRDefault="009845C2" w:rsidP="009845C2">
            <w:pPr>
              <w:spacing w:after="0" w:line="240" w:lineRule="auto"/>
              <w:rPr>
                <w:rFonts w:eastAsia="Times New Roman" w:cs="Calibri"/>
                <w:color w:val="000000"/>
                <w:sz w:val="20"/>
                <w:szCs w:val="20"/>
                <w:lang w:eastAsia="en-GB"/>
              </w:rPr>
            </w:pPr>
            <w:r w:rsidRPr="009845C2">
              <w:rPr>
                <w:rFonts w:eastAsia="Times New Roman" w:cs="Calibri"/>
                <w:color w:val="000000"/>
                <w:sz w:val="20"/>
                <w:szCs w:val="20"/>
                <w:lang w:eastAsia="en-GB"/>
              </w:rPr>
              <w:t> </w:t>
            </w:r>
          </w:p>
        </w:tc>
        <w:tc>
          <w:tcPr>
            <w:tcW w:w="1276" w:type="dxa"/>
            <w:tcBorders>
              <w:top w:val="nil"/>
              <w:left w:val="nil"/>
              <w:bottom w:val="single" w:sz="8" w:space="0" w:color="auto"/>
              <w:right w:val="single" w:sz="8" w:space="0" w:color="auto"/>
            </w:tcBorders>
            <w:shd w:val="clear" w:color="auto" w:fill="auto"/>
            <w:noWrap/>
            <w:vAlign w:val="center"/>
            <w:hideMark/>
          </w:tcPr>
          <w:p w14:paraId="3DF0E224" w14:textId="77777777" w:rsidR="009845C2" w:rsidRPr="009845C2" w:rsidRDefault="009845C2" w:rsidP="009845C2">
            <w:pPr>
              <w:spacing w:after="0" w:line="240" w:lineRule="auto"/>
              <w:jc w:val="right"/>
              <w:rPr>
                <w:rFonts w:eastAsia="Times New Roman" w:cs="Calibri"/>
                <w:color w:val="FF0000"/>
                <w:sz w:val="20"/>
                <w:szCs w:val="20"/>
                <w:lang w:eastAsia="en-GB"/>
              </w:rPr>
            </w:pPr>
            <w:r w:rsidRPr="009845C2">
              <w:rPr>
                <w:rFonts w:eastAsia="Times New Roman" w:cs="Calibri"/>
                <w:color w:val="FF0000"/>
                <w:sz w:val="20"/>
                <w:szCs w:val="20"/>
                <w:lang w:eastAsia="en-GB"/>
              </w:rPr>
              <w:t> </w:t>
            </w:r>
          </w:p>
        </w:tc>
        <w:tc>
          <w:tcPr>
            <w:tcW w:w="997" w:type="dxa"/>
            <w:tcBorders>
              <w:top w:val="nil"/>
              <w:left w:val="nil"/>
              <w:bottom w:val="single" w:sz="8" w:space="0" w:color="auto"/>
              <w:right w:val="single" w:sz="8" w:space="0" w:color="auto"/>
            </w:tcBorders>
            <w:shd w:val="clear" w:color="auto" w:fill="auto"/>
            <w:noWrap/>
            <w:vAlign w:val="center"/>
            <w:hideMark/>
          </w:tcPr>
          <w:p w14:paraId="5D204AD4"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 </w:t>
            </w:r>
          </w:p>
        </w:tc>
        <w:tc>
          <w:tcPr>
            <w:tcW w:w="997" w:type="dxa"/>
            <w:tcBorders>
              <w:top w:val="nil"/>
              <w:left w:val="nil"/>
              <w:bottom w:val="single" w:sz="8" w:space="0" w:color="auto"/>
              <w:right w:val="single" w:sz="8" w:space="0" w:color="auto"/>
            </w:tcBorders>
            <w:shd w:val="clear" w:color="auto" w:fill="auto"/>
            <w:noWrap/>
            <w:vAlign w:val="center"/>
            <w:hideMark/>
          </w:tcPr>
          <w:p w14:paraId="3AE3995B"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 </w:t>
            </w:r>
          </w:p>
        </w:tc>
        <w:tc>
          <w:tcPr>
            <w:tcW w:w="1266" w:type="dxa"/>
            <w:tcBorders>
              <w:top w:val="nil"/>
              <w:left w:val="nil"/>
              <w:bottom w:val="single" w:sz="8" w:space="0" w:color="auto"/>
              <w:right w:val="single" w:sz="8" w:space="0" w:color="auto"/>
            </w:tcBorders>
            <w:shd w:val="clear" w:color="auto" w:fill="auto"/>
            <w:noWrap/>
            <w:vAlign w:val="center"/>
            <w:hideMark/>
          </w:tcPr>
          <w:p w14:paraId="487F18F1"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 </w:t>
            </w:r>
          </w:p>
        </w:tc>
        <w:tc>
          <w:tcPr>
            <w:tcW w:w="1131" w:type="dxa"/>
            <w:tcBorders>
              <w:top w:val="nil"/>
              <w:left w:val="nil"/>
              <w:bottom w:val="single" w:sz="8" w:space="0" w:color="auto"/>
              <w:right w:val="single" w:sz="8" w:space="0" w:color="auto"/>
            </w:tcBorders>
            <w:shd w:val="clear" w:color="auto" w:fill="auto"/>
            <w:noWrap/>
            <w:vAlign w:val="center"/>
            <w:hideMark/>
          </w:tcPr>
          <w:p w14:paraId="4EECAA12"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2,649,250</w:t>
            </w:r>
          </w:p>
        </w:tc>
        <w:tc>
          <w:tcPr>
            <w:tcW w:w="1453" w:type="dxa"/>
            <w:tcBorders>
              <w:top w:val="nil"/>
              <w:left w:val="nil"/>
              <w:bottom w:val="single" w:sz="8" w:space="0" w:color="auto"/>
              <w:right w:val="single" w:sz="8" w:space="0" w:color="auto"/>
            </w:tcBorders>
            <w:shd w:val="clear" w:color="auto" w:fill="auto"/>
            <w:noWrap/>
            <w:vAlign w:val="center"/>
            <w:hideMark/>
          </w:tcPr>
          <w:p w14:paraId="68454A2E"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2,649,250</w:t>
            </w:r>
          </w:p>
        </w:tc>
      </w:tr>
      <w:tr w:rsidR="009845C2" w:rsidRPr="009845C2" w14:paraId="13B62A99" w14:textId="77777777" w:rsidTr="00F02950">
        <w:trPr>
          <w:trHeight w:val="300"/>
          <w:jc w:val="center"/>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14:paraId="1F148A29" w14:textId="77777777" w:rsidR="009845C2" w:rsidRPr="009845C2" w:rsidRDefault="009845C2" w:rsidP="009845C2">
            <w:pPr>
              <w:spacing w:after="0" w:line="240" w:lineRule="auto"/>
              <w:rPr>
                <w:rFonts w:eastAsia="Times New Roman" w:cs="Calibri"/>
                <w:color w:val="000000"/>
                <w:sz w:val="20"/>
                <w:szCs w:val="20"/>
                <w:lang w:eastAsia="en-GB"/>
              </w:rPr>
            </w:pPr>
            <w:r w:rsidRPr="009845C2">
              <w:rPr>
                <w:rFonts w:eastAsia="Times New Roman" w:cs="Calibri"/>
                <w:color w:val="000000"/>
                <w:sz w:val="20"/>
                <w:szCs w:val="20"/>
                <w:lang w:eastAsia="en-GB"/>
              </w:rPr>
              <w:t>Hydrogen Europe</w:t>
            </w:r>
          </w:p>
        </w:tc>
        <w:tc>
          <w:tcPr>
            <w:tcW w:w="1296" w:type="dxa"/>
            <w:tcBorders>
              <w:top w:val="nil"/>
              <w:left w:val="nil"/>
              <w:bottom w:val="single" w:sz="8" w:space="0" w:color="auto"/>
              <w:right w:val="single" w:sz="8" w:space="0" w:color="auto"/>
            </w:tcBorders>
            <w:shd w:val="clear" w:color="auto" w:fill="auto"/>
            <w:noWrap/>
            <w:vAlign w:val="center"/>
            <w:hideMark/>
          </w:tcPr>
          <w:p w14:paraId="72050023"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2,278,355</w:t>
            </w:r>
          </w:p>
        </w:tc>
        <w:tc>
          <w:tcPr>
            <w:tcW w:w="1453" w:type="dxa"/>
            <w:tcBorders>
              <w:top w:val="nil"/>
              <w:left w:val="nil"/>
              <w:bottom w:val="single" w:sz="8" w:space="0" w:color="auto"/>
              <w:right w:val="single" w:sz="8" w:space="0" w:color="auto"/>
            </w:tcBorders>
            <w:shd w:val="clear" w:color="auto" w:fill="auto"/>
            <w:noWrap/>
            <w:vAlign w:val="center"/>
            <w:hideMark/>
          </w:tcPr>
          <w:p w14:paraId="44E3363A"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2,278,355</w:t>
            </w:r>
          </w:p>
        </w:tc>
        <w:tc>
          <w:tcPr>
            <w:tcW w:w="1078" w:type="dxa"/>
            <w:tcBorders>
              <w:top w:val="nil"/>
              <w:left w:val="nil"/>
              <w:bottom w:val="single" w:sz="8" w:space="0" w:color="auto"/>
              <w:right w:val="single" w:sz="8" w:space="0" w:color="auto"/>
            </w:tcBorders>
            <w:shd w:val="clear" w:color="auto" w:fill="auto"/>
            <w:noWrap/>
            <w:vAlign w:val="center"/>
            <w:hideMark/>
          </w:tcPr>
          <w:p w14:paraId="5BA41E1E" w14:textId="77777777" w:rsidR="009845C2" w:rsidRPr="009845C2" w:rsidRDefault="009845C2" w:rsidP="009845C2">
            <w:pPr>
              <w:spacing w:after="0" w:line="240" w:lineRule="auto"/>
              <w:rPr>
                <w:rFonts w:eastAsia="Times New Roman" w:cs="Calibri"/>
                <w:color w:val="000000"/>
                <w:sz w:val="20"/>
                <w:szCs w:val="20"/>
                <w:lang w:eastAsia="en-GB"/>
              </w:rPr>
            </w:pPr>
            <w:r w:rsidRPr="009845C2">
              <w:rPr>
                <w:rFonts w:eastAsia="Times New Roman" w:cs="Calibri"/>
                <w:color w:val="000000"/>
                <w:sz w:val="20"/>
                <w:szCs w:val="20"/>
                <w:lang w:eastAsia="en-GB"/>
              </w:rPr>
              <w:t> </w:t>
            </w:r>
          </w:p>
        </w:tc>
        <w:tc>
          <w:tcPr>
            <w:tcW w:w="1276" w:type="dxa"/>
            <w:tcBorders>
              <w:top w:val="nil"/>
              <w:left w:val="nil"/>
              <w:bottom w:val="single" w:sz="8" w:space="0" w:color="auto"/>
              <w:right w:val="single" w:sz="8" w:space="0" w:color="auto"/>
            </w:tcBorders>
            <w:shd w:val="clear" w:color="auto" w:fill="auto"/>
            <w:noWrap/>
            <w:vAlign w:val="center"/>
            <w:hideMark/>
          </w:tcPr>
          <w:p w14:paraId="422456F1" w14:textId="77777777" w:rsidR="009845C2" w:rsidRPr="009845C2" w:rsidRDefault="009845C2" w:rsidP="009845C2">
            <w:pPr>
              <w:spacing w:after="0" w:line="240" w:lineRule="auto"/>
              <w:rPr>
                <w:rFonts w:eastAsia="Times New Roman" w:cs="Calibri"/>
                <w:color w:val="000000"/>
                <w:sz w:val="20"/>
                <w:szCs w:val="20"/>
                <w:lang w:eastAsia="en-GB"/>
              </w:rPr>
            </w:pPr>
            <w:r w:rsidRPr="009845C2">
              <w:rPr>
                <w:rFonts w:eastAsia="Times New Roman" w:cs="Calibri"/>
                <w:color w:val="000000"/>
                <w:sz w:val="20"/>
                <w:szCs w:val="20"/>
                <w:lang w:eastAsia="en-GB"/>
              </w:rPr>
              <w:t> </w:t>
            </w:r>
          </w:p>
        </w:tc>
        <w:tc>
          <w:tcPr>
            <w:tcW w:w="997" w:type="dxa"/>
            <w:tcBorders>
              <w:top w:val="nil"/>
              <w:left w:val="nil"/>
              <w:bottom w:val="single" w:sz="8" w:space="0" w:color="auto"/>
              <w:right w:val="single" w:sz="8" w:space="0" w:color="auto"/>
            </w:tcBorders>
            <w:shd w:val="clear" w:color="auto" w:fill="auto"/>
            <w:noWrap/>
            <w:vAlign w:val="center"/>
            <w:hideMark/>
          </w:tcPr>
          <w:p w14:paraId="07282090"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 </w:t>
            </w:r>
          </w:p>
        </w:tc>
        <w:tc>
          <w:tcPr>
            <w:tcW w:w="997" w:type="dxa"/>
            <w:tcBorders>
              <w:top w:val="nil"/>
              <w:left w:val="nil"/>
              <w:bottom w:val="single" w:sz="8" w:space="0" w:color="auto"/>
              <w:right w:val="single" w:sz="8" w:space="0" w:color="auto"/>
            </w:tcBorders>
            <w:shd w:val="clear" w:color="auto" w:fill="auto"/>
            <w:noWrap/>
            <w:vAlign w:val="center"/>
            <w:hideMark/>
          </w:tcPr>
          <w:p w14:paraId="2975F2F4"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 </w:t>
            </w:r>
          </w:p>
        </w:tc>
        <w:tc>
          <w:tcPr>
            <w:tcW w:w="1266" w:type="dxa"/>
            <w:tcBorders>
              <w:top w:val="nil"/>
              <w:left w:val="nil"/>
              <w:bottom w:val="single" w:sz="8" w:space="0" w:color="auto"/>
              <w:right w:val="single" w:sz="8" w:space="0" w:color="auto"/>
            </w:tcBorders>
            <w:shd w:val="clear" w:color="auto" w:fill="auto"/>
            <w:noWrap/>
            <w:vAlign w:val="center"/>
            <w:hideMark/>
          </w:tcPr>
          <w:p w14:paraId="2CF64EC9"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 </w:t>
            </w:r>
          </w:p>
        </w:tc>
        <w:tc>
          <w:tcPr>
            <w:tcW w:w="1131" w:type="dxa"/>
            <w:tcBorders>
              <w:top w:val="nil"/>
              <w:left w:val="nil"/>
              <w:bottom w:val="single" w:sz="8" w:space="0" w:color="auto"/>
              <w:right w:val="single" w:sz="8" w:space="0" w:color="auto"/>
            </w:tcBorders>
            <w:shd w:val="clear" w:color="auto" w:fill="auto"/>
            <w:noWrap/>
            <w:vAlign w:val="center"/>
            <w:hideMark/>
          </w:tcPr>
          <w:p w14:paraId="00394E30"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2,278,355</w:t>
            </w:r>
          </w:p>
        </w:tc>
        <w:tc>
          <w:tcPr>
            <w:tcW w:w="1453" w:type="dxa"/>
            <w:tcBorders>
              <w:top w:val="nil"/>
              <w:left w:val="nil"/>
              <w:bottom w:val="single" w:sz="8" w:space="0" w:color="auto"/>
              <w:right w:val="single" w:sz="8" w:space="0" w:color="auto"/>
            </w:tcBorders>
            <w:shd w:val="clear" w:color="auto" w:fill="auto"/>
            <w:noWrap/>
            <w:vAlign w:val="center"/>
            <w:hideMark/>
          </w:tcPr>
          <w:p w14:paraId="317940C2"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2,278,355</w:t>
            </w:r>
          </w:p>
        </w:tc>
      </w:tr>
      <w:tr w:rsidR="009845C2" w:rsidRPr="009845C2" w14:paraId="238D3125" w14:textId="77777777" w:rsidTr="00F02950">
        <w:trPr>
          <w:trHeight w:val="300"/>
          <w:jc w:val="center"/>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14:paraId="4E8CE275" w14:textId="77777777" w:rsidR="009845C2" w:rsidRPr="009845C2" w:rsidRDefault="009845C2" w:rsidP="009845C2">
            <w:pPr>
              <w:spacing w:after="0" w:line="240" w:lineRule="auto"/>
              <w:rPr>
                <w:rFonts w:eastAsia="Times New Roman" w:cs="Calibri"/>
                <w:color w:val="000000"/>
                <w:sz w:val="20"/>
                <w:szCs w:val="20"/>
                <w:lang w:eastAsia="en-GB"/>
              </w:rPr>
            </w:pPr>
            <w:r w:rsidRPr="009845C2">
              <w:rPr>
                <w:rFonts w:eastAsia="Times New Roman" w:cs="Calibri"/>
                <w:color w:val="000000"/>
                <w:sz w:val="20"/>
                <w:szCs w:val="20"/>
                <w:lang w:eastAsia="en-GB"/>
              </w:rPr>
              <w:t>Hydrogen Europe Research</w:t>
            </w:r>
          </w:p>
        </w:tc>
        <w:tc>
          <w:tcPr>
            <w:tcW w:w="1296" w:type="dxa"/>
            <w:tcBorders>
              <w:top w:val="nil"/>
              <w:left w:val="nil"/>
              <w:bottom w:val="single" w:sz="8" w:space="0" w:color="auto"/>
              <w:right w:val="single" w:sz="8" w:space="0" w:color="auto"/>
            </w:tcBorders>
            <w:shd w:val="clear" w:color="auto" w:fill="auto"/>
            <w:noWrap/>
            <w:vAlign w:val="center"/>
            <w:hideMark/>
          </w:tcPr>
          <w:p w14:paraId="0DD88929"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370,895</w:t>
            </w:r>
          </w:p>
        </w:tc>
        <w:tc>
          <w:tcPr>
            <w:tcW w:w="1453" w:type="dxa"/>
            <w:tcBorders>
              <w:top w:val="nil"/>
              <w:left w:val="nil"/>
              <w:bottom w:val="single" w:sz="8" w:space="0" w:color="auto"/>
              <w:right w:val="single" w:sz="8" w:space="0" w:color="auto"/>
            </w:tcBorders>
            <w:shd w:val="clear" w:color="auto" w:fill="auto"/>
            <w:noWrap/>
            <w:vAlign w:val="center"/>
            <w:hideMark/>
          </w:tcPr>
          <w:p w14:paraId="47129787"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370,895</w:t>
            </w:r>
          </w:p>
        </w:tc>
        <w:tc>
          <w:tcPr>
            <w:tcW w:w="1078" w:type="dxa"/>
            <w:tcBorders>
              <w:top w:val="nil"/>
              <w:left w:val="nil"/>
              <w:bottom w:val="single" w:sz="8" w:space="0" w:color="auto"/>
              <w:right w:val="single" w:sz="8" w:space="0" w:color="auto"/>
            </w:tcBorders>
            <w:shd w:val="clear" w:color="auto" w:fill="auto"/>
            <w:noWrap/>
            <w:vAlign w:val="center"/>
            <w:hideMark/>
          </w:tcPr>
          <w:p w14:paraId="2F4BE146" w14:textId="77777777" w:rsidR="009845C2" w:rsidRPr="009845C2" w:rsidRDefault="009845C2" w:rsidP="009845C2">
            <w:pPr>
              <w:spacing w:after="0" w:line="240" w:lineRule="auto"/>
              <w:rPr>
                <w:rFonts w:eastAsia="Times New Roman" w:cs="Calibri"/>
                <w:color w:val="000000"/>
                <w:sz w:val="20"/>
                <w:szCs w:val="20"/>
                <w:lang w:eastAsia="en-GB"/>
              </w:rPr>
            </w:pPr>
            <w:r w:rsidRPr="009845C2">
              <w:rPr>
                <w:rFonts w:eastAsia="Times New Roman" w:cs="Calibri"/>
                <w:color w:val="000000"/>
                <w:sz w:val="20"/>
                <w:szCs w:val="20"/>
                <w:lang w:eastAsia="en-GB"/>
              </w:rPr>
              <w:t> </w:t>
            </w:r>
          </w:p>
        </w:tc>
        <w:tc>
          <w:tcPr>
            <w:tcW w:w="1276" w:type="dxa"/>
            <w:tcBorders>
              <w:top w:val="nil"/>
              <w:left w:val="nil"/>
              <w:bottom w:val="single" w:sz="8" w:space="0" w:color="auto"/>
              <w:right w:val="single" w:sz="8" w:space="0" w:color="auto"/>
            </w:tcBorders>
            <w:shd w:val="clear" w:color="auto" w:fill="auto"/>
            <w:noWrap/>
            <w:vAlign w:val="center"/>
            <w:hideMark/>
          </w:tcPr>
          <w:p w14:paraId="0D0DFBFF" w14:textId="77777777" w:rsidR="009845C2" w:rsidRPr="009845C2" w:rsidRDefault="009845C2" w:rsidP="009845C2">
            <w:pPr>
              <w:spacing w:after="0" w:line="240" w:lineRule="auto"/>
              <w:rPr>
                <w:rFonts w:eastAsia="Times New Roman" w:cs="Calibri"/>
                <w:color w:val="000000"/>
                <w:sz w:val="20"/>
                <w:szCs w:val="20"/>
                <w:lang w:eastAsia="en-GB"/>
              </w:rPr>
            </w:pPr>
            <w:r w:rsidRPr="009845C2">
              <w:rPr>
                <w:rFonts w:eastAsia="Times New Roman" w:cs="Calibri"/>
                <w:color w:val="000000"/>
                <w:sz w:val="20"/>
                <w:szCs w:val="20"/>
                <w:lang w:eastAsia="en-GB"/>
              </w:rPr>
              <w:t> </w:t>
            </w:r>
          </w:p>
        </w:tc>
        <w:tc>
          <w:tcPr>
            <w:tcW w:w="997" w:type="dxa"/>
            <w:tcBorders>
              <w:top w:val="nil"/>
              <w:left w:val="nil"/>
              <w:bottom w:val="single" w:sz="8" w:space="0" w:color="auto"/>
              <w:right w:val="single" w:sz="8" w:space="0" w:color="auto"/>
            </w:tcBorders>
            <w:shd w:val="clear" w:color="auto" w:fill="auto"/>
            <w:noWrap/>
            <w:vAlign w:val="center"/>
            <w:hideMark/>
          </w:tcPr>
          <w:p w14:paraId="6C8916A3"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 </w:t>
            </w:r>
          </w:p>
        </w:tc>
        <w:tc>
          <w:tcPr>
            <w:tcW w:w="997" w:type="dxa"/>
            <w:tcBorders>
              <w:top w:val="nil"/>
              <w:left w:val="nil"/>
              <w:bottom w:val="single" w:sz="8" w:space="0" w:color="auto"/>
              <w:right w:val="single" w:sz="8" w:space="0" w:color="auto"/>
            </w:tcBorders>
            <w:shd w:val="clear" w:color="auto" w:fill="auto"/>
            <w:noWrap/>
            <w:vAlign w:val="center"/>
            <w:hideMark/>
          </w:tcPr>
          <w:p w14:paraId="62366379"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 </w:t>
            </w:r>
          </w:p>
        </w:tc>
        <w:tc>
          <w:tcPr>
            <w:tcW w:w="1266" w:type="dxa"/>
            <w:tcBorders>
              <w:top w:val="nil"/>
              <w:left w:val="nil"/>
              <w:bottom w:val="single" w:sz="8" w:space="0" w:color="auto"/>
              <w:right w:val="single" w:sz="8" w:space="0" w:color="auto"/>
            </w:tcBorders>
            <w:shd w:val="clear" w:color="auto" w:fill="auto"/>
            <w:noWrap/>
            <w:vAlign w:val="center"/>
            <w:hideMark/>
          </w:tcPr>
          <w:p w14:paraId="5B930753"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 </w:t>
            </w:r>
          </w:p>
        </w:tc>
        <w:tc>
          <w:tcPr>
            <w:tcW w:w="1131" w:type="dxa"/>
            <w:tcBorders>
              <w:top w:val="nil"/>
              <w:left w:val="nil"/>
              <w:bottom w:val="single" w:sz="8" w:space="0" w:color="auto"/>
              <w:right w:val="single" w:sz="8" w:space="0" w:color="auto"/>
            </w:tcBorders>
            <w:shd w:val="clear" w:color="auto" w:fill="auto"/>
            <w:noWrap/>
            <w:vAlign w:val="center"/>
            <w:hideMark/>
          </w:tcPr>
          <w:p w14:paraId="328CEA59"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370,895</w:t>
            </w:r>
          </w:p>
        </w:tc>
        <w:tc>
          <w:tcPr>
            <w:tcW w:w="1453" w:type="dxa"/>
            <w:tcBorders>
              <w:top w:val="nil"/>
              <w:left w:val="nil"/>
              <w:bottom w:val="single" w:sz="8" w:space="0" w:color="auto"/>
              <w:right w:val="single" w:sz="8" w:space="0" w:color="auto"/>
            </w:tcBorders>
            <w:shd w:val="clear" w:color="auto" w:fill="auto"/>
            <w:noWrap/>
            <w:vAlign w:val="center"/>
            <w:hideMark/>
          </w:tcPr>
          <w:p w14:paraId="63072116"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370,895</w:t>
            </w:r>
          </w:p>
        </w:tc>
      </w:tr>
      <w:tr w:rsidR="009845C2" w:rsidRPr="009845C2" w14:paraId="2328973F" w14:textId="77777777" w:rsidTr="00F02950">
        <w:trPr>
          <w:trHeight w:val="300"/>
          <w:jc w:val="center"/>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14:paraId="7AA31E59" w14:textId="77777777" w:rsidR="009845C2" w:rsidRPr="009845C2" w:rsidRDefault="009845C2" w:rsidP="009845C2">
            <w:pPr>
              <w:spacing w:after="0" w:line="240" w:lineRule="auto"/>
              <w:rPr>
                <w:rFonts w:eastAsia="Times New Roman" w:cs="Calibri"/>
                <w:color w:val="000000"/>
                <w:sz w:val="20"/>
                <w:szCs w:val="20"/>
                <w:lang w:eastAsia="en-GB"/>
              </w:rPr>
            </w:pPr>
            <w:r w:rsidRPr="009845C2">
              <w:rPr>
                <w:rFonts w:eastAsia="Times New Roman" w:cs="Calibri"/>
                <w:color w:val="000000"/>
                <w:sz w:val="20"/>
                <w:szCs w:val="20"/>
                <w:lang w:eastAsia="en-GB"/>
              </w:rPr>
              <w:t xml:space="preserve"> EU operational H2020</w:t>
            </w:r>
          </w:p>
        </w:tc>
        <w:tc>
          <w:tcPr>
            <w:tcW w:w="1296" w:type="dxa"/>
            <w:tcBorders>
              <w:top w:val="nil"/>
              <w:left w:val="nil"/>
              <w:bottom w:val="single" w:sz="8" w:space="0" w:color="auto"/>
              <w:right w:val="single" w:sz="8" w:space="0" w:color="auto"/>
            </w:tcBorders>
            <w:shd w:val="clear" w:color="auto" w:fill="auto"/>
            <w:noWrap/>
            <w:vAlign w:val="center"/>
            <w:hideMark/>
          </w:tcPr>
          <w:p w14:paraId="5ED0283A"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 </w:t>
            </w:r>
          </w:p>
        </w:tc>
        <w:tc>
          <w:tcPr>
            <w:tcW w:w="1453" w:type="dxa"/>
            <w:tcBorders>
              <w:top w:val="nil"/>
              <w:left w:val="nil"/>
              <w:bottom w:val="single" w:sz="8" w:space="0" w:color="auto"/>
              <w:right w:val="single" w:sz="8" w:space="0" w:color="auto"/>
            </w:tcBorders>
            <w:shd w:val="clear" w:color="auto" w:fill="auto"/>
            <w:noWrap/>
            <w:vAlign w:val="center"/>
            <w:hideMark/>
          </w:tcPr>
          <w:p w14:paraId="72A4287C"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60,815,319</w:t>
            </w:r>
          </w:p>
        </w:tc>
        <w:tc>
          <w:tcPr>
            <w:tcW w:w="1078" w:type="dxa"/>
            <w:tcBorders>
              <w:top w:val="nil"/>
              <w:left w:val="nil"/>
              <w:bottom w:val="single" w:sz="8" w:space="0" w:color="auto"/>
              <w:right w:val="single" w:sz="8" w:space="0" w:color="auto"/>
            </w:tcBorders>
            <w:shd w:val="clear" w:color="auto" w:fill="auto"/>
            <w:noWrap/>
            <w:vAlign w:val="center"/>
            <w:hideMark/>
          </w:tcPr>
          <w:p w14:paraId="1EB22113" w14:textId="77777777" w:rsidR="009845C2" w:rsidRPr="009845C2" w:rsidRDefault="009845C2" w:rsidP="009845C2">
            <w:pPr>
              <w:spacing w:after="0" w:line="240" w:lineRule="auto"/>
              <w:rPr>
                <w:rFonts w:eastAsia="Times New Roman" w:cs="Calibri"/>
                <w:color w:val="000000"/>
                <w:sz w:val="20"/>
                <w:szCs w:val="20"/>
                <w:lang w:eastAsia="en-GB"/>
              </w:rPr>
            </w:pPr>
            <w:r w:rsidRPr="009845C2">
              <w:rPr>
                <w:rFonts w:eastAsia="Times New Roman" w:cs="Calibri"/>
                <w:color w:val="000000"/>
                <w:sz w:val="20"/>
                <w:szCs w:val="20"/>
                <w:lang w:eastAsia="en-GB"/>
              </w:rPr>
              <w:t> </w:t>
            </w:r>
          </w:p>
        </w:tc>
        <w:tc>
          <w:tcPr>
            <w:tcW w:w="1276" w:type="dxa"/>
            <w:tcBorders>
              <w:top w:val="nil"/>
              <w:left w:val="nil"/>
              <w:bottom w:val="single" w:sz="8" w:space="0" w:color="auto"/>
              <w:right w:val="single" w:sz="8" w:space="0" w:color="auto"/>
            </w:tcBorders>
            <w:shd w:val="clear" w:color="auto" w:fill="auto"/>
            <w:noWrap/>
            <w:vAlign w:val="center"/>
            <w:hideMark/>
          </w:tcPr>
          <w:p w14:paraId="32AB8B7A" w14:textId="77777777" w:rsidR="009845C2" w:rsidRPr="009845C2" w:rsidRDefault="009845C2" w:rsidP="009845C2">
            <w:pPr>
              <w:spacing w:after="0" w:line="240" w:lineRule="auto"/>
              <w:jc w:val="right"/>
              <w:rPr>
                <w:rFonts w:eastAsia="Times New Roman" w:cs="Calibri"/>
                <w:color w:val="FF0000"/>
                <w:sz w:val="20"/>
                <w:szCs w:val="20"/>
                <w:lang w:eastAsia="en-GB"/>
              </w:rPr>
            </w:pPr>
            <w:r w:rsidRPr="009845C2">
              <w:rPr>
                <w:rFonts w:eastAsia="Times New Roman" w:cs="Calibri"/>
                <w:color w:val="FF0000"/>
                <w:sz w:val="20"/>
                <w:szCs w:val="20"/>
                <w:lang w:eastAsia="en-GB"/>
              </w:rPr>
              <w:t>-16,500,000</w:t>
            </w:r>
          </w:p>
        </w:tc>
        <w:tc>
          <w:tcPr>
            <w:tcW w:w="997" w:type="dxa"/>
            <w:tcBorders>
              <w:top w:val="nil"/>
              <w:left w:val="nil"/>
              <w:bottom w:val="single" w:sz="8" w:space="0" w:color="auto"/>
              <w:right w:val="single" w:sz="8" w:space="0" w:color="auto"/>
            </w:tcBorders>
            <w:shd w:val="clear" w:color="auto" w:fill="auto"/>
            <w:noWrap/>
            <w:vAlign w:val="center"/>
            <w:hideMark/>
          </w:tcPr>
          <w:p w14:paraId="7A129C49"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 </w:t>
            </w:r>
          </w:p>
        </w:tc>
        <w:tc>
          <w:tcPr>
            <w:tcW w:w="997" w:type="dxa"/>
            <w:tcBorders>
              <w:top w:val="nil"/>
              <w:left w:val="nil"/>
              <w:bottom w:val="single" w:sz="8" w:space="0" w:color="auto"/>
              <w:right w:val="single" w:sz="8" w:space="0" w:color="auto"/>
            </w:tcBorders>
            <w:shd w:val="clear" w:color="auto" w:fill="auto"/>
            <w:noWrap/>
            <w:vAlign w:val="center"/>
            <w:hideMark/>
          </w:tcPr>
          <w:p w14:paraId="37029BF9"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 </w:t>
            </w:r>
          </w:p>
        </w:tc>
        <w:tc>
          <w:tcPr>
            <w:tcW w:w="1266" w:type="dxa"/>
            <w:tcBorders>
              <w:top w:val="nil"/>
              <w:left w:val="nil"/>
              <w:bottom w:val="single" w:sz="8" w:space="0" w:color="auto"/>
              <w:right w:val="single" w:sz="8" w:space="0" w:color="auto"/>
            </w:tcBorders>
            <w:shd w:val="clear" w:color="auto" w:fill="auto"/>
            <w:noWrap/>
            <w:vAlign w:val="center"/>
            <w:hideMark/>
          </w:tcPr>
          <w:p w14:paraId="7A26783E"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 </w:t>
            </w:r>
          </w:p>
        </w:tc>
        <w:tc>
          <w:tcPr>
            <w:tcW w:w="1131" w:type="dxa"/>
            <w:tcBorders>
              <w:top w:val="nil"/>
              <w:left w:val="nil"/>
              <w:bottom w:val="single" w:sz="8" w:space="0" w:color="auto"/>
              <w:right w:val="single" w:sz="8" w:space="0" w:color="auto"/>
            </w:tcBorders>
            <w:shd w:val="clear" w:color="auto" w:fill="auto"/>
            <w:noWrap/>
            <w:vAlign w:val="center"/>
            <w:hideMark/>
          </w:tcPr>
          <w:p w14:paraId="30DFEC18"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0</w:t>
            </w:r>
          </w:p>
        </w:tc>
        <w:tc>
          <w:tcPr>
            <w:tcW w:w="1453" w:type="dxa"/>
            <w:tcBorders>
              <w:top w:val="nil"/>
              <w:left w:val="nil"/>
              <w:bottom w:val="single" w:sz="8" w:space="0" w:color="auto"/>
              <w:right w:val="single" w:sz="8" w:space="0" w:color="auto"/>
            </w:tcBorders>
            <w:shd w:val="clear" w:color="auto" w:fill="auto"/>
            <w:noWrap/>
            <w:vAlign w:val="center"/>
            <w:hideMark/>
          </w:tcPr>
          <w:p w14:paraId="19711B14"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44,315,319</w:t>
            </w:r>
          </w:p>
        </w:tc>
      </w:tr>
      <w:tr w:rsidR="009845C2" w:rsidRPr="009845C2" w14:paraId="7038EA9A" w14:textId="77777777" w:rsidTr="00F02950">
        <w:trPr>
          <w:trHeight w:val="530"/>
          <w:jc w:val="center"/>
        </w:trPr>
        <w:tc>
          <w:tcPr>
            <w:tcW w:w="1985" w:type="dxa"/>
            <w:tcBorders>
              <w:top w:val="nil"/>
              <w:left w:val="single" w:sz="8" w:space="0" w:color="auto"/>
              <w:bottom w:val="single" w:sz="8" w:space="0" w:color="auto"/>
              <w:right w:val="single" w:sz="8" w:space="0" w:color="auto"/>
            </w:tcBorders>
            <w:shd w:val="clear" w:color="auto" w:fill="auto"/>
            <w:vAlign w:val="center"/>
            <w:hideMark/>
          </w:tcPr>
          <w:p w14:paraId="673F2294" w14:textId="77777777" w:rsidR="009845C2" w:rsidRPr="009845C2" w:rsidRDefault="009845C2" w:rsidP="009845C2">
            <w:pPr>
              <w:spacing w:after="0" w:line="240" w:lineRule="auto"/>
              <w:rPr>
                <w:rFonts w:eastAsia="Times New Roman" w:cs="Calibri"/>
                <w:color w:val="000000"/>
                <w:sz w:val="20"/>
                <w:szCs w:val="20"/>
                <w:lang w:eastAsia="en-GB"/>
              </w:rPr>
            </w:pPr>
            <w:r w:rsidRPr="009845C2">
              <w:rPr>
                <w:rFonts w:eastAsia="Times New Roman" w:cs="Calibri"/>
                <w:color w:val="000000"/>
                <w:sz w:val="20"/>
                <w:szCs w:val="20"/>
                <w:lang w:eastAsia="en-GB"/>
              </w:rPr>
              <w:t xml:space="preserve"> Reactivations from previous years </w:t>
            </w:r>
          </w:p>
        </w:tc>
        <w:tc>
          <w:tcPr>
            <w:tcW w:w="1296" w:type="dxa"/>
            <w:tcBorders>
              <w:top w:val="nil"/>
              <w:left w:val="nil"/>
              <w:bottom w:val="single" w:sz="8" w:space="0" w:color="auto"/>
              <w:right w:val="single" w:sz="8" w:space="0" w:color="auto"/>
            </w:tcBorders>
            <w:shd w:val="clear" w:color="auto" w:fill="auto"/>
            <w:noWrap/>
            <w:vAlign w:val="center"/>
            <w:hideMark/>
          </w:tcPr>
          <w:p w14:paraId="7C1E67AC"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1,493,500</w:t>
            </w:r>
          </w:p>
        </w:tc>
        <w:tc>
          <w:tcPr>
            <w:tcW w:w="1453" w:type="dxa"/>
            <w:tcBorders>
              <w:top w:val="nil"/>
              <w:left w:val="nil"/>
              <w:bottom w:val="single" w:sz="8" w:space="0" w:color="auto"/>
              <w:right w:val="single" w:sz="8" w:space="0" w:color="auto"/>
            </w:tcBorders>
            <w:shd w:val="clear" w:color="auto" w:fill="auto"/>
            <w:noWrap/>
            <w:vAlign w:val="center"/>
            <w:hideMark/>
          </w:tcPr>
          <w:p w14:paraId="357C1E82"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2,777,987</w:t>
            </w:r>
          </w:p>
        </w:tc>
        <w:tc>
          <w:tcPr>
            <w:tcW w:w="1078" w:type="dxa"/>
            <w:tcBorders>
              <w:top w:val="nil"/>
              <w:left w:val="nil"/>
              <w:bottom w:val="single" w:sz="8" w:space="0" w:color="auto"/>
              <w:right w:val="single" w:sz="8" w:space="0" w:color="auto"/>
            </w:tcBorders>
            <w:shd w:val="clear" w:color="auto" w:fill="auto"/>
            <w:noWrap/>
            <w:vAlign w:val="center"/>
            <w:hideMark/>
          </w:tcPr>
          <w:p w14:paraId="75AB1FCA"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7,041,287</w:t>
            </w:r>
          </w:p>
        </w:tc>
        <w:tc>
          <w:tcPr>
            <w:tcW w:w="1276" w:type="dxa"/>
            <w:tcBorders>
              <w:top w:val="nil"/>
              <w:left w:val="nil"/>
              <w:bottom w:val="single" w:sz="8" w:space="0" w:color="auto"/>
              <w:right w:val="single" w:sz="8" w:space="0" w:color="auto"/>
            </w:tcBorders>
            <w:shd w:val="clear" w:color="auto" w:fill="auto"/>
            <w:noWrap/>
            <w:vAlign w:val="center"/>
            <w:hideMark/>
          </w:tcPr>
          <w:p w14:paraId="40EF7BEC"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1,471,501</w:t>
            </w:r>
          </w:p>
        </w:tc>
        <w:tc>
          <w:tcPr>
            <w:tcW w:w="997" w:type="dxa"/>
            <w:tcBorders>
              <w:top w:val="nil"/>
              <w:left w:val="nil"/>
              <w:bottom w:val="single" w:sz="8" w:space="0" w:color="auto"/>
              <w:right w:val="single" w:sz="8" w:space="0" w:color="auto"/>
            </w:tcBorders>
            <w:shd w:val="clear" w:color="auto" w:fill="auto"/>
            <w:noWrap/>
            <w:vAlign w:val="center"/>
            <w:hideMark/>
          </w:tcPr>
          <w:p w14:paraId="3E71EA2C"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 </w:t>
            </w:r>
          </w:p>
        </w:tc>
        <w:tc>
          <w:tcPr>
            <w:tcW w:w="997" w:type="dxa"/>
            <w:tcBorders>
              <w:top w:val="nil"/>
              <w:left w:val="nil"/>
              <w:bottom w:val="single" w:sz="8" w:space="0" w:color="auto"/>
              <w:right w:val="single" w:sz="8" w:space="0" w:color="auto"/>
            </w:tcBorders>
            <w:shd w:val="clear" w:color="auto" w:fill="auto"/>
            <w:noWrap/>
            <w:vAlign w:val="center"/>
            <w:hideMark/>
          </w:tcPr>
          <w:p w14:paraId="333160DE"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 </w:t>
            </w:r>
          </w:p>
        </w:tc>
        <w:tc>
          <w:tcPr>
            <w:tcW w:w="1266" w:type="dxa"/>
            <w:tcBorders>
              <w:top w:val="nil"/>
              <w:left w:val="nil"/>
              <w:bottom w:val="single" w:sz="8" w:space="0" w:color="auto"/>
              <w:right w:val="single" w:sz="8" w:space="0" w:color="auto"/>
            </w:tcBorders>
            <w:shd w:val="clear" w:color="auto" w:fill="auto"/>
            <w:noWrap/>
            <w:vAlign w:val="center"/>
            <w:hideMark/>
          </w:tcPr>
          <w:p w14:paraId="085DF80C"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 </w:t>
            </w:r>
          </w:p>
        </w:tc>
        <w:tc>
          <w:tcPr>
            <w:tcW w:w="1131" w:type="dxa"/>
            <w:tcBorders>
              <w:top w:val="nil"/>
              <w:left w:val="nil"/>
              <w:bottom w:val="single" w:sz="8" w:space="0" w:color="auto"/>
              <w:right w:val="single" w:sz="8" w:space="0" w:color="auto"/>
            </w:tcBorders>
            <w:shd w:val="clear" w:color="auto" w:fill="auto"/>
            <w:noWrap/>
            <w:vAlign w:val="center"/>
            <w:hideMark/>
          </w:tcPr>
          <w:p w14:paraId="18019E35"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8,534,787</w:t>
            </w:r>
          </w:p>
        </w:tc>
        <w:tc>
          <w:tcPr>
            <w:tcW w:w="1453" w:type="dxa"/>
            <w:tcBorders>
              <w:top w:val="nil"/>
              <w:left w:val="nil"/>
              <w:bottom w:val="single" w:sz="8" w:space="0" w:color="auto"/>
              <w:right w:val="single" w:sz="8" w:space="0" w:color="auto"/>
            </w:tcBorders>
            <w:shd w:val="clear" w:color="auto" w:fill="auto"/>
            <w:noWrap/>
            <w:vAlign w:val="center"/>
            <w:hideMark/>
          </w:tcPr>
          <w:p w14:paraId="111F136D"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4,249,488</w:t>
            </w:r>
          </w:p>
        </w:tc>
      </w:tr>
      <w:tr w:rsidR="009845C2" w:rsidRPr="009845C2" w14:paraId="1109F2C9" w14:textId="77777777" w:rsidTr="00F02950">
        <w:trPr>
          <w:trHeight w:val="300"/>
          <w:jc w:val="center"/>
        </w:trPr>
        <w:tc>
          <w:tcPr>
            <w:tcW w:w="1985" w:type="dxa"/>
            <w:tcBorders>
              <w:top w:val="nil"/>
              <w:left w:val="single" w:sz="8" w:space="0" w:color="auto"/>
              <w:bottom w:val="single" w:sz="8" w:space="0" w:color="auto"/>
              <w:right w:val="single" w:sz="8" w:space="0" w:color="auto"/>
            </w:tcBorders>
            <w:shd w:val="clear" w:color="auto" w:fill="auto"/>
            <w:vAlign w:val="center"/>
            <w:hideMark/>
          </w:tcPr>
          <w:p w14:paraId="528D0404" w14:textId="77777777" w:rsidR="009845C2" w:rsidRPr="009845C2" w:rsidRDefault="009845C2" w:rsidP="009845C2">
            <w:pPr>
              <w:spacing w:after="0" w:line="240" w:lineRule="auto"/>
              <w:rPr>
                <w:rFonts w:eastAsia="Times New Roman" w:cs="Calibri"/>
                <w:color w:val="000000"/>
                <w:sz w:val="20"/>
                <w:szCs w:val="20"/>
                <w:lang w:eastAsia="en-GB"/>
              </w:rPr>
            </w:pPr>
            <w:r w:rsidRPr="009845C2">
              <w:rPr>
                <w:rFonts w:eastAsia="Times New Roman" w:cs="Calibri"/>
                <w:color w:val="000000"/>
                <w:sz w:val="20"/>
                <w:szCs w:val="20"/>
                <w:lang w:eastAsia="en-GB"/>
              </w:rPr>
              <w:t>JTI revenues</w:t>
            </w:r>
          </w:p>
        </w:tc>
        <w:tc>
          <w:tcPr>
            <w:tcW w:w="1296" w:type="dxa"/>
            <w:tcBorders>
              <w:top w:val="nil"/>
              <w:left w:val="nil"/>
              <w:bottom w:val="single" w:sz="8" w:space="0" w:color="auto"/>
              <w:right w:val="single" w:sz="8" w:space="0" w:color="auto"/>
            </w:tcBorders>
            <w:shd w:val="clear" w:color="auto" w:fill="auto"/>
            <w:noWrap/>
            <w:vAlign w:val="center"/>
            <w:hideMark/>
          </w:tcPr>
          <w:p w14:paraId="06DFE0DA"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 </w:t>
            </w:r>
          </w:p>
        </w:tc>
        <w:tc>
          <w:tcPr>
            <w:tcW w:w="1453" w:type="dxa"/>
            <w:tcBorders>
              <w:top w:val="nil"/>
              <w:left w:val="nil"/>
              <w:bottom w:val="single" w:sz="8" w:space="0" w:color="auto"/>
              <w:right w:val="single" w:sz="8" w:space="0" w:color="auto"/>
            </w:tcBorders>
            <w:shd w:val="clear" w:color="auto" w:fill="auto"/>
            <w:noWrap/>
            <w:vAlign w:val="center"/>
            <w:hideMark/>
          </w:tcPr>
          <w:p w14:paraId="55C1C50A"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 </w:t>
            </w:r>
          </w:p>
        </w:tc>
        <w:tc>
          <w:tcPr>
            <w:tcW w:w="1078" w:type="dxa"/>
            <w:tcBorders>
              <w:top w:val="nil"/>
              <w:left w:val="nil"/>
              <w:bottom w:val="single" w:sz="8" w:space="0" w:color="auto"/>
              <w:right w:val="single" w:sz="8" w:space="0" w:color="auto"/>
            </w:tcBorders>
            <w:shd w:val="clear" w:color="auto" w:fill="auto"/>
            <w:noWrap/>
            <w:vAlign w:val="center"/>
            <w:hideMark/>
          </w:tcPr>
          <w:p w14:paraId="05B0F32B"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 </w:t>
            </w:r>
          </w:p>
        </w:tc>
        <w:tc>
          <w:tcPr>
            <w:tcW w:w="1276" w:type="dxa"/>
            <w:tcBorders>
              <w:top w:val="nil"/>
              <w:left w:val="nil"/>
              <w:bottom w:val="single" w:sz="8" w:space="0" w:color="auto"/>
              <w:right w:val="single" w:sz="8" w:space="0" w:color="auto"/>
            </w:tcBorders>
            <w:shd w:val="clear" w:color="auto" w:fill="auto"/>
            <w:noWrap/>
            <w:vAlign w:val="center"/>
            <w:hideMark/>
          </w:tcPr>
          <w:p w14:paraId="706D66A0"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 </w:t>
            </w:r>
          </w:p>
        </w:tc>
        <w:tc>
          <w:tcPr>
            <w:tcW w:w="997" w:type="dxa"/>
            <w:tcBorders>
              <w:top w:val="nil"/>
              <w:left w:val="nil"/>
              <w:bottom w:val="single" w:sz="8" w:space="0" w:color="auto"/>
              <w:right w:val="single" w:sz="8" w:space="0" w:color="auto"/>
            </w:tcBorders>
            <w:shd w:val="clear" w:color="auto" w:fill="auto"/>
            <w:noWrap/>
            <w:vAlign w:val="center"/>
            <w:hideMark/>
          </w:tcPr>
          <w:p w14:paraId="3006F632"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 </w:t>
            </w:r>
          </w:p>
        </w:tc>
        <w:tc>
          <w:tcPr>
            <w:tcW w:w="997" w:type="dxa"/>
            <w:tcBorders>
              <w:top w:val="nil"/>
              <w:left w:val="nil"/>
              <w:bottom w:val="single" w:sz="8" w:space="0" w:color="auto"/>
              <w:right w:val="single" w:sz="8" w:space="0" w:color="auto"/>
            </w:tcBorders>
            <w:shd w:val="clear" w:color="auto" w:fill="auto"/>
            <w:noWrap/>
            <w:vAlign w:val="center"/>
            <w:hideMark/>
          </w:tcPr>
          <w:p w14:paraId="161FAF90"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 </w:t>
            </w:r>
          </w:p>
        </w:tc>
        <w:tc>
          <w:tcPr>
            <w:tcW w:w="1266" w:type="dxa"/>
            <w:tcBorders>
              <w:top w:val="nil"/>
              <w:left w:val="nil"/>
              <w:bottom w:val="single" w:sz="8" w:space="0" w:color="auto"/>
              <w:right w:val="single" w:sz="8" w:space="0" w:color="auto"/>
            </w:tcBorders>
            <w:shd w:val="clear" w:color="auto" w:fill="auto"/>
            <w:noWrap/>
            <w:vAlign w:val="center"/>
            <w:hideMark/>
          </w:tcPr>
          <w:p w14:paraId="589EE128"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2,014,143</w:t>
            </w:r>
          </w:p>
        </w:tc>
        <w:tc>
          <w:tcPr>
            <w:tcW w:w="1131" w:type="dxa"/>
            <w:tcBorders>
              <w:top w:val="nil"/>
              <w:left w:val="nil"/>
              <w:bottom w:val="single" w:sz="8" w:space="0" w:color="auto"/>
              <w:right w:val="single" w:sz="8" w:space="0" w:color="auto"/>
            </w:tcBorders>
            <w:shd w:val="clear" w:color="auto" w:fill="auto"/>
            <w:noWrap/>
            <w:vAlign w:val="center"/>
            <w:hideMark/>
          </w:tcPr>
          <w:p w14:paraId="62309E0F"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2,014,143</w:t>
            </w:r>
          </w:p>
        </w:tc>
        <w:tc>
          <w:tcPr>
            <w:tcW w:w="1453" w:type="dxa"/>
            <w:tcBorders>
              <w:top w:val="nil"/>
              <w:left w:val="nil"/>
              <w:bottom w:val="single" w:sz="8" w:space="0" w:color="auto"/>
              <w:right w:val="single" w:sz="8" w:space="0" w:color="auto"/>
            </w:tcBorders>
            <w:shd w:val="clear" w:color="auto" w:fill="auto"/>
            <w:noWrap/>
            <w:vAlign w:val="center"/>
            <w:hideMark/>
          </w:tcPr>
          <w:p w14:paraId="7E2CA02E"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2,014,143</w:t>
            </w:r>
          </w:p>
        </w:tc>
      </w:tr>
      <w:tr w:rsidR="009845C2" w:rsidRPr="009845C2" w14:paraId="1BBC919A" w14:textId="77777777" w:rsidTr="00F02950">
        <w:trPr>
          <w:trHeight w:val="300"/>
          <w:jc w:val="center"/>
        </w:trPr>
        <w:tc>
          <w:tcPr>
            <w:tcW w:w="1985" w:type="dxa"/>
            <w:tcBorders>
              <w:top w:val="nil"/>
              <w:left w:val="single" w:sz="8" w:space="0" w:color="auto"/>
              <w:bottom w:val="single" w:sz="8" w:space="0" w:color="auto"/>
              <w:right w:val="single" w:sz="8" w:space="0" w:color="auto"/>
            </w:tcBorders>
            <w:shd w:val="clear" w:color="000000" w:fill="E8EDEE"/>
            <w:noWrap/>
            <w:vAlign w:val="center"/>
            <w:hideMark/>
          </w:tcPr>
          <w:p w14:paraId="45B3B60D" w14:textId="77777777" w:rsidR="009845C2" w:rsidRPr="009845C2" w:rsidRDefault="009845C2" w:rsidP="009845C2">
            <w:pPr>
              <w:spacing w:after="0" w:line="240" w:lineRule="auto"/>
              <w:rPr>
                <w:rFonts w:eastAsia="Times New Roman" w:cs="Calibri"/>
                <w:b/>
                <w:bCs/>
                <w:color w:val="000000"/>
                <w:sz w:val="20"/>
                <w:szCs w:val="20"/>
                <w:lang w:eastAsia="en-GB"/>
              </w:rPr>
            </w:pPr>
            <w:r w:rsidRPr="009845C2">
              <w:rPr>
                <w:rFonts w:eastAsia="Times New Roman" w:cs="Calibri"/>
                <w:b/>
                <w:bCs/>
                <w:color w:val="000000"/>
                <w:sz w:val="20"/>
                <w:szCs w:val="20"/>
                <w:lang w:eastAsia="en-GB"/>
              </w:rPr>
              <w:t xml:space="preserve"> Total revenue </w:t>
            </w:r>
          </w:p>
        </w:tc>
        <w:tc>
          <w:tcPr>
            <w:tcW w:w="1296" w:type="dxa"/>
            <w:tcBorders>
              <w:top w:val="nil"/>
              <w:left w:val="nil"/>
              <w:bottom w:val="single" w:sz="8" w:space="0" w:color="auto"/>
              <w:right w:val="single" w:sz="8" w:space="0" w:color="auto"/>
            </w:tcBorders>
            <w:shd w:val="clear" w:color="000000" w:fill="E8EDEE"/>
            <w:noWrap/>
            <w:vAlign w:val="center"/>
            <w:hideMark/>
          </w:tcPr>
          <w:p w14:paraId="1A5BF0EF" w14:textId="77777777" w:rsidR="009845C2" w:rsidRPr="009845C2" w:rsidRDefault="009845C2" w:rsidP="009845C2">
            <w:pPr>
              <w:spacing w:after="0" w:line="240" w:lineRule="auto"/>
              <w:jc w:val="right"/>
              <w:rPr>
                <w:rFonts w:eastAsia="Times New Roman" w:cs="Calibri"/>
                <w:b/>
                <w:bCs/>
                <w:color w:val="000000"/>
                <w:sz w:val="20"/>
                <w:szCs w:val="20"/>
                <w:lang w:eastAsia="en-GB"/>
              </w:rPr>
            </w:pPr>
            <w:r w:rsidRPr="009845C2">
              <w:rPr>
                <w:rFonts w:eastAsia="Times New Roman" w:cs="Calibri"/>
                <w:b/>
                <w:bCs/>
                <w:color w:val="000000"/>
                <w:sz w:val="20"/>
                <w:szCs w:val="20"/>
                <w:lang w:eastAsia="en-GB"/>
              </w:rPr>
              <w:t>6,792,000</w:t>
            </w:r>
          </w:p>
        </w:tc>
        <w:tc>
          <w:tcPr>
            <w:tcW w:w="1453" w:type="dxa"/>
            <w:tcBorders>
              <w:top w:val="nil"/>
              <w:left w:val="nil"/>
              <w:bottom w:val="single" w:sz="8" w:space="0" w:color="auto"/>
              <w:right w:val="single" w:sz="8" w:space="0" w:color="auto"/>
            </w:tcBorders>
            <w:shd w:val="clear" w:color="000000" w:fill="E8EDEE"/>
            <w:noWrap/>
            <w:vAlign w:val="center"/>
            <w:hideMark/>
          </w:tcPr>
          <w:p w14:paraId="5436BCFE" w14:textId="77777777" w:rsidR="009845C2" w:rsidRPr="009845C2" w:rsidRDefault="009845C2" w:rsidP="009845C2">
            <w:pPr>
              <w:spacing w:after="0" w:line="240" w:lineRule="auto"/>
              <w:jc w:val="right"/>
              <w:rPr>
                <w:rFonts w:eastAsia="Times New Roman" w:cs="Calibri"/>
                <w:b/>
                <w:bCs/>
                <w:color w:val="000000"/>
                <w:sz w:val="20"/>
                <w:szCs w:val="20"/>
                <w:lang w:eastAsia="en-GB"/>
              </w:rPr>
            </w:pPr>
            <w:r w:rsidRPr="009845C2">
              <w:rPr>
                <w:rFonts w:eastAsia="Times New Roman" w:cs="Calibri"/>
                <w:b/>
                <w:bCs/>
                <w:color w:val="000000"/>
                <w:sz w:val="20"/>
                <w:szCs w:val="20"/>
                <w:lang w:eastAsia="en-GB"/>
              </w:rPr>
              <w:t>70,042,445</w:t>
            </w:r>
          </w:p>
        </w:tc>
        <w:tc>
          <w:tcPr>
            <w:tcW w:w="1078" w:type="dxa"/>
            <w:tcBorders>
              <w:top w:val="nil"/>
              <w:left w:val="nil"/>
              <w:bottom w:val="single" w:sz="8" w:space="0" w:color="auto"/>
              <w:right w:val="single" w:sz="8" w:space="0" w:color="auto"/>
            </w:tcBorders>
            <w:shd w:val="clear" w:color="000000" w:fill="E8EDEE"/>
            <w:noWrap/>
            <w:vAlign w:val="center"/>
            <w:hideMark/>
          </w:tcPr>
          <w:p w14:paraId="52FD30A4" w14:textId="77777777" w:rsidR="009845C2" w:rsidRPr="009845C2" w:rsidRDefault="009845C2" w:rsidP="009845C2">
            <w:pPr>
              <w:spacing w:after="0" w:line="240" w:lineRule="auto"/>
              <w:jc w:val="right"/>
              <w:rPr>
                <w:rFonts w:eastAsia="Times New Roman" w:cs="Calibri"/>
                <w:b/>
                <w:bCs/>
                <w:color w:val="000000"/>
                <w:sz w:val="20"/>
                <w:szCs w:val="20"/>
                <w:lang w:eastAsia="en-GB"/>
              </w:rPr>
            </w:pPr>
            <w:r w:rsidRPr="009845C2">
              <w:rPr>
                <w:rFonts w:eastAsia="Times New Roman" w:cs="Calibri"/>
                <w:b/>
                <w:bCs/>
                <w:color w:val="000000"/>
                <w:sz w:val="20"/>
                <w:szCs w:val="20"/>
                <w:lang w:eastAsia="en-GB"/>
              </w:rPr>
              <w:t>7,041,287</w:t>
            </w:r>
          </w:p>
        </w:tc>
        <w:tc>
          <w:tcPr>
            <w:tcW w:w="1276" w:type="dxa"/>
            <w:tcBorders>
              <w:top w:val="nil"/>
              <w:left w:val="nil"/>
              <w:bottom w:val="single" w:sz="8" w:space="0" w:color="auto"/>
              <w:right w:val="single" w:sz="8" w:space="0" w:color="auto"/>
            </w:tcBorders>
            <w:shd w:val="clear" w:color="000000" w:fill="E8EDEE"/>
            <w:noWrap/>
            <w:vAlign w:val="center"/>
            <w:hideMark/>
          </w:tcPr>
          <w:p w14:paraId="563FF1A6" w14:textId="77777777" w:rsidR="009845C2" w:rsidRPr="009845C2" w:rsidRDefault="009845C2" w:rsidP="009845C2">
            <w:pPr>
              <w:spacing w:after="0" w:line="240" w:lineRule="auto"/>
              <w:jc w:val="right"/>
              <w:rPr>
                <w:rFonts w:eastAsia="Times New Roman" w:cs="Calibri"/>
                <w:b/>
                <w:bCs/>
                <w:color w:val="000000"/>
                <w:sz w:val="20"/>
                <w:szCs w:val="20"/>
                <w:lang w:eastAsia="en-GB"/>
              </w:rPr>
            </w:pPr>
            <w:r w:rsidRPr="009845C2">
              <w:rPr>
                <w:rFonts w:eastAsia="Times New Roman" w:cs="Calibri"/>
                <w:b/>
                <w:bCs/>
                <w:color w:val="000000"/>
                <w:sz w:val="20"/>
                <w:szCs w:val="20"/>
                <w:lang w:eastAsia="en-GB"/>
              </w:rPr>
              <w:t>-15,839,097</w:t>
            </w:r>
          </w:p>
        </w:tc>
        <w:tc>
          <w:tcPr>
            <w:tcW w:w="997" w:type="dxa"/>
            <w:tcBorders>
              <w:top w:val="nil"/>
              <w:left w:val="nil"/>
              <w:bottom w:val="single" w:sz="8" w:space="0" w:color="auto"/>
              <w:right w:val="single" w:sz="8" w:space="0" w:color="auto"/>
            </w:tcBorders>
            <w:shd w:val="clear" w:color="000000" w:fill="E8EDEE"/>
            <w:noWrap/>
            <w:vAlign w:val="center"/>
            <w:hideMark/>
          </w:tcPr>
          <w:p w14:paraId="6E26409F" w14:textId="77777777" w:rsidR="009845C2" w:rsidRPr="009845C2" w:rsidRDefault="009845C2" w:rsidP="009845C2">
            <w:pPr>
              <w:spacing w:after="0" w:line="240" w:lineRule="auto"/>
              <w:jc w:val="right"/>
              <w:rPr>
                <w:rFonts w:eastAsia="Times New Roman" w:cs="Calibri"/>
                <w:b/>
                <w:bCs/>
                <w:color w:val="000000"/>
                <w:sz w:val="20"/>
                <w:szCs w:val="20"/>
                <w:lang w:eastAsia="en-GB"/>
              </w:rPr>
            </w:pPr>
            <w:r w:rsidRPr="009845C2">
              <w:rPr>
                <w:rFonts w:eastAsia="Times New Roman" w:cs="Calibri"/>
                <w:b/>
                <w:bCs/>
                <w:color w:val="000000"/>
                <w:sz w:val="20"/>
                <w:szCs w:val="20"/>
                <w:lang w:eastAsia="en-GB"/>
              </w:rPr>
              <w:t>0</w:t>
            </w:r>
          </w:p>
        </w:tc>
        <w:tc>
          <w:tcPr>
            <w:tcW w:w="997" w:type="dxa"/>
            <w:tcBorders>
              <w:top w:val="nil"/>
              <w:left w:val="nil"/>
              <w:bottom w:val="single" w:sz="8" w:space="0" w:color="auto"/>
              <w:right w:val="single" w:sz="8" w:space="0" w:color="auto"/>
            </w:tcBorders>
            <w:shd w:val="clear" w:color="000000" w:fill="E8EDEE"/>
            <w:noWrap/>
            <w:vAlign w:val="center"/>
            <w:hideMark/>
          </w:tcPr>
          <w:p w14:paraId="4C8A135D" w14:textId="77777777" w:rsidR="009845C2" w:rsidRPr="009845C2" w:rsidRDefault="009845C2" w:rsidP="009845C2">
            <w:pPr>
              <w:spacing w:after="0" w:line="240" w:lineRule="auto"/>
              <w:jc w:val="right"/>
              <w:rPr>
                <w:rFonts w:eastAsia="Times New Roman" w:cs="Calibri"/>
                <w:b/>
                <w:bCs/>
                <w:color w:val="000000"/>
                <w:sz w:val="20"/>
                <w:szCs w:val="20"/>
                <w:lang w:eastAsia="en-GB"/>
              </w:rPr>
            </w:pPr>
            <w:r w:rsidRPr="009845C2">
              <w:rPr>
                <w:rFonts w:eastAsia="Times New Roman" w:cs="Calibri"/>
                <w:b/>
                <w:bCs/>
                <w:color w:val="000000"/>
                <w:sz w:val="20"/>
                <w:szCs w:val="20"/>
                <w:lang w:eastAsia="en-GB"/>
              </w:rPr>
              <w:t>0</w:t>
            </w:r>
          </w:p>
        </w:tc>
        <w:tc>
          <w:tcPr>
            <w:tcW w:w="1266" w:type="dxa"/>
            <w:tcBorders>
              <w:top w:val="nil"/>
              <w:left w:val="nil"/>
              <w:bottom w:val="single" w:sz="8" w:space="0" w:color="auto"/>
              <w:right w:val="single" w:sz="8" w:space="0" w:color="auto"/>
            </w:tcBorders>
            <w:shd w:val="clear" w:color="000000" w:fill="E8EDEE"/>
            <w:noWrap/>
            <w:vAlign w:val="center"/>
            <w:hideMark/>
          </w:tcPr>
          <w:p w14:paraId="6815BD82" w14:textId="77777777" w:rsidR="009845C2" w:rsidRPr="009845C2" w:rsidRDefault="009845C2" w:rsidP="009845C2">
            <w:pPr>
              <w:spacing w:after="0" w:line="240" w:lineRule="auto"/>
              <w:jc w:val="right"/>
              <w:rPr>
                <w:rFonts w:eastAsia="Times New Roman" w:cs="Calibri"/>
                <w:b/>
                <w:bCs/>
                <w:color w:val="000000"/>
                <w:sz w:val="20"/>
                <w:szCs w:val="20"/>
                <w:lang w:eastAsia="en-GB"/>
              </w:rPr>
            </w:pPr>
            <w:r w:rsidRPr="009845C2">
              <w:rPr>
                <w:rFonts w:eastAsia="Times New Roman" w:cs="Calibri"/>
                <w:b/>
                <w:bCs/>
                <w:color w:val="000000"/>
                <w:sz w:val="20"/>
                <w:szCs w:val="20"/>
                <w:lang w:eastAsia="en-GB"/>
              </w:rPr>
              <w:t>2,014,143</w:t>
            </w:r>
          </w:p>
        </w:tc>
        <w:tc>
          <w:tcPr>
            <w:tcW w:w="1131" w:type="dxa"/>
            <w:tcBorders>
              <w:top w:val="nil"/>
              <w:left w:val="nil"/>
              <w:bottom w:val="single" w:sz="8" w:space="0" w:color="auto"/>
              <w:right w:val="single" w:sz="8" w:space="0" w:color="auto"/>
            </w:tcBorders>
            <w:shd w:val="clear" w:color="000000" w:fill="E8EDEE"/>
            <w:noWrap/>
            <w:vAlign w:val="center"/>
            <w:hideMark/>
          </w:tcPr>
          <w:p w14:paraId="2514258E" w14:textId="77777777" w:rsidR="009845C2" w:rsidRPr="009845C2" w:rsidRDefault="009845C2" w:rsidP="009845C2">
            <w:pPr>
              <w:spacing w:after="0" w:line="240" w:lineRule="auto"/>
              <w:jc w:val="right"/>
              <w:rPr>
                <w:rFonts w:eastAsia="Times New Roman" w:cs="Calibri"/>
                <w:b/>
                <w:bCs/>
                <w:color w:val="000000"/>
                <w:sz w:val="20"/>
                <w:szCs w:val="20"/>
                <w:lang w:eastAsia="en-GB"/>
              </w:rPr>
            </w:pPr>
            <w:r w:rsidRPr="009845C2">
              <w:rPr>
                <w:rFonts w:eastAsia="Times New Roman" w:cs="Calibri"/>
                <w:b/>
                <w:bCs/>
                <w:color w:val="000000"/>
                <w:sz w:val="20"/>
                <w:szCs w:val="20"/>
                <w:lang w:eastAsia="en-GB"/>
              </w:rPr>
              <w:t>15,847,430</w:t>
            </w:r>
          </w:p>
        </w:tc>
        <w:tc>
          <w:tcPr>
            <w:tcW w:w="1453" w:type="dxa"/>
            <w:tcBorders>
              <w:top w:val="nil"/>
              <w:left w:val="nil"/>
              <w:bottom w:val="single" w:sz="8" w:space="0" w:color="auto"/>
              <w:right w:val="single" w:sz="8" w:space="0" w:color="auto"/>
            </w:tcBorders>
            <w:shd w:val="clear" w:color="000000" w:fill="E8EDEE"/>
            <w:noWrap/>
            <w:vAlign w:val="center"/>
            <w:hideMark/>
          </w:tcPr>
          <w:p w14:paraId="10F17FB2" w14:textId="77777777" w:rsidR="009845C2" w:rsidRPr="009845C2" w:rsidRDefault="009845C2" w:rsidP="009845C2">
            <w:pPr>
              <w:spacing w:after="0" w:line="240" w:lineRule="auto"/>
              <w:jc w:val="right"/>
              <w:rPr>
                <w:rFonts w:eastAsia="Times New Roman" w:cs="Calibri"/>
                <w:b/>
                <w:bCs/>
                <w:color w:val="000000"/>
                <w:sz w:val="20"/>
                <w:szCs w:val="20"/>
                <w:lang w:eastAsia="en-GB"/>
              </w:rPr>
            </w:pPr>
            <w:r w:rsidRPr="009845C2">
              <w:rPr>
                <w:rFonts w:eastAsia="Times New Roman" w:cs="Calibri"/>
                <w:b/>
                <w:bCs/>
                <w:color w:val="000000"/>
                <w:sz w:val="20"/>
                <w:szCs w:val="20"/>
                <w:lang w:eastAsia="en-GB"/>
              </w:rPr>
              <w:t>56,217,491</w:t>
            </w:r>
          </w:p>
        </w:tc>
      </w:tr>
      <w:tr w:rsidR="00AF5369" w:rsidRPr="009845C2" w14:paraId="73C13960" w14:textId="77777777" w:rsidTr="00F02950">
        <w:trPr>
          <w:trHeight w:val="300"/>
          <w:jc w:val="center"/>
        </w:trPr>
        <w:tc>
          <w:tcPr>
            <w:tcW w:w="10347" w:type="dxa"/>
            <w:gridSpan w:val="8"/>
            <w:tcBorders>
              <w:top w:val="single" w:sz="8" w:space="0" w:color="auto"/>
              <w:left w:val="single" w:sz="8" w:space="0" w:color="auto"/>
              <w:bottom w:val="nil"/>
              <w:right w:val="single" w:sz="8" w:space="0" w:color="000000"/>
            </w:tcBorders>
            <w:shd w:val="clear" w:color="auto" w:fill="auto"/>
            <w:noWrap/>
            <w:vAlign w:val="bottom"/>
            <w:hideMark/>
          </w:tcPr>
          <w:p w14:paraId="2C2A94CB" w14:textId="77777777" w:rsidR="009845C2" w:rsidRPr="009845C2" w:rsidRDefault="009845C2" w:rsidP="009845C2">
            <w:pPr>
              <w:spacing w:after="0" w:line="240" w:lineRule="auto"/>
              <w:rPr>
                <w:rFonts w:eastAsia="Times New Roman" w:cs="Calibri"/>
                <w:color w:val="000000"/>
                <w:sz w:val="20"/>
                <w:szCs w:val="20"/>
                <w:lang w:eastAsia="en-GB"/>
              </w:rPr>
            </w:pPr>
            <w:r w:rsidRPr="009845C2">
              <w:rPr>
                <w:rFonts w:eastAsia="Times New Roman" w:cs="Calibri"/>
                <w:color w:val="000000"/>
                <w:sz w:val="20"/>
                <w:szCs w:val="20"/>
                <w:lang w:eastAsia="en-GB"/>
              </w:rPr>
              <w:t> </w:t>
            </w:r>
          </w:p>
        </w:tc>
        <w:tc>
          <w:tcPr>
            <w:tcW w:w="1131" w:type="dxa"/>
            <w:tcBorders>
              <w:top w:val="nil"/>
              <w:left w:val="nil"/>
              <w:bottom w:val="nil"/>
              <w:right w:val="nil"/>
            </w:tcBorders>
            <w:shd w:val="clear" w:color="auto" w:fill="auto"/>
            <w:noWrap/>
            <w:vAlign w:val="bottom"/>
            <w:hideMark/>
          </w:tcPr>
          <w:p w14:paraId="789AED09" w14:textId="77777777" w:rsidR="009845C2" w:rsidRPr="009845C2" w:rsidRDefault="009845C2" w:rsidP="009845C2">
            <w:pPr>
              <w:spacing w:after="0" w:line="240" w:lineRule="auto"/>
              <w:rPr>
                <w:rFonts w:eastAsia="Times New Roman" w:cs="Calibri"/>
                <w:color w:val="000000"/>
                <w:sz w:val="20"/>
                <w:szCs w:val="20"/>
                <w:lang w:eastAsia="en-GB"/>
              </w:rPr>
            </w:pPr>
          </w:p>
        </w:tc>
        <w:tc>
          <w:tcPr>
            <w:tcW w:w="1453" w:type="dxa"/>
            <w:tcBorders>
              <w:top w:val="nil"/>
              <w:left w:val="nil"/>
              <w:bottom w:val="nil"/>
              <w:right w:val="nil"/>
            </w:tcBorders>
            <w:shd w:val="clear" w:color="auto" w:fill="auto"/>
            <w:noWrap/>
            <w:vAlign w:val="bottom"/>
            <w:hideMark/>
          </w:tcPr>
          <w:p w14:paraId="6A84626F" w14:textId="77777777" w:rsidR="009845C2" w:rsidRPr="009845C2" w:rsidRDefault="009845C2" w:rsidP="009845C2">
            <w:pPr>
              <w:spacing w:after="0" w:line="240" w:lineRule="auto"/>
              <w:rPr>
                <w:rFonts w:ascii="Times New Roman" w:eastAsia="Times New Roman" w:hAnsi="Times New Roman"/>
                <w:sz w:val="20"/>
                <w:szCs w:val="20"/>
                <w:lang w:eastAsia="en-GB"/>
              </w:rPr>
            </w:pPr>
          </w:p>
        </w:tc>
      </w:tr>
      <w:tr w:rsidR="009845C2" w:rsidRPr="009845C2" w14:paraId="16685E77" w14:textId="77777777" w:rsidTr="00F02950">
        <w:trPr>
          <w:trHeight w:val="300"/>
          <w:jc w:val="center"/>
        </w:trPr>
        <w:tc>
          <w:tcPr>
            <w:tcW w:w="12931" w:type="dxa"/>
            <w:gridSpan w:val="10"/>
            <w:tcBorders>
              <w:top w:val="single" w:sz="8" w:space="0" w:color="auto"/>
              <w:left w:val="single" w:sz="8" w:space="0" w:color="auto"/>
              <w:bottom w:val="single" w:sz="8" w:space="0" w:color="auto"/>
              <w:right w:val="single" w:sz="8" w:space="0" w:color="000000"/>
            </w:tcBorders>
            <w:shd w:val="clear" w:color="000000" w:fill="E8EDEE"/>
            <w:noWrap/>
            <w:vAlign w:val="center"/>
            <w:hideMark/>
          </w:tcPr>
          <w:p w14:paraId="56C31E25" w14:textId="77777777" w:rsidR="009845C2" w:rsidRPr="009845C2" w:rsidRDefault="009845C2" w:rsidP="009845C2">
            <w:pPr>
              <w:spacing w:after="0" w:line="240" w:lineRule="auto"/>
              <w:rPr>
                <w:rFonts w:eastAsia="Times New Roman" w:cs="Calibri"/>
                <w:b/>
                <w:bCs/>
                <w:color w:val="000000"/>
                <w:sz w:val="20"/>
                <w:szCs w:val="20"/>
                <w:lang w:eastAsia="en-GB"/>
              </w:rPr>
            </w:pPr>
            <w:r w:rsidRPr="009845C2">
              <w:rPr>
                <w:rFonts w:eastAsia="Times New Roman" w:cs="Calibri"/>
                <w:b/>
                <w:bCs/>
                <w:color w:val="000000"/>
                <w:sz w:val="20"/>
                <w:szCs w:val="20"/>
                <w:lang w:eastAsia="en-GB"/>
              </w:rPr>
              <w:t xml:space="preserve"> Expenditure </w:t>
            </w:r>
          </w:p>
        </w:tc>
      </w:tr>
      <w:tr w:rsidR="009845C2" w:rsidRPr="009845C2" w14:paraId="56259E22" w14:textId="77777777" w:rsidTr="00F02950">
        <w:trPr>
          <w:trHeight w:val="300"/>
          <w:jc w:val="center"/>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14:paraId="3CFCB9B9" w14:textId="77777777" w:rsidR="009845C2" w:rsidRPr="009845C2" w:rsidRDefault="009845C2" w:rsidP="009845C2">
            <w:pPr>
              <w:spacing w:after="0" w:line="240" w:lineRule="auto"/>
              <w:rPr>
                <w:rFonts w:eastAsia="Times New Roman" w:cs="Calibri"/>
                <w:color w:val="000000"/>
                <w:sz w:val="20"/>
                <w:szCs w:val="20"/>
                <w:lang w:eastAsia="en-GB"/>
              </w:rPr>
            </w:pPr>
            <w:r w:rsidRPr="009845C2">
              <w:rPr>
                <w:rFonts w:eastAsia="Times New Roman" w:cs="Calibri"/>
                <w:color w:val="000000"/>
                <w:sz w:val="20"/>
                <w:szCs w:val="20"/>
                <w:lang w:eastAsia="en-GB"/>
              </w:rPr>
              <w:t xml:space="preserve"> Title 1 </w:t>
            </w:r>
          </w:p>
        </w:tc>
        <w:tc>
          <w:tcPr>
            <w:tcW w:w="1296" w:type="dxa"/>
            <w:tcBorders>
              <w:top w:val="nil"/>
              <w:left w:val="nil"/>
              <w:bottom w:val="single" w:sz="8" w:space="0" w:color="auto"/>
              <w:right w:val="single" w:sz="8" w:space="0" w:color="auto"/>
            </w:tcBorders>
            <w:shd w:val="clear" w:color="auto" w:fill="auto"/>
            <w:noWrap/>
            <w:vAlign w:val="center"/>
            <w:hideMark/>
          </w:tcPr>
          <w:p w14:paraId="466DB46A"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3,814,800</w:t>
            </w:r>
          </w:p>
        </w:tc>
        <w:tc>
          <w:tcPr>
            <w:tcW w:w="1453" w:type="dxa"/>
            <w:tcBorders>
              <w:top w:val="nil"/>
              <w:left w:val="nil"/>
              <w:bottom w:val="single" w:sz="8" w:space="0" w:color="auto"/>
              <w:right w:val="single" w:sz="8" w:space="0" w:color="auto"/>
            </w:tcBorders>
            <w:shd w:val="clear" w:color="auto" w:fill="auto"/>
            <w:noWrap/>
            <w:vAlign w:val="center"/>
            <w:hideMark/>
          </w:tcPr>
          <w:p w14:paraId="79AF27E9"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3,814,800</w:t>
            </w:r>
          </w:p>
        </w:tc>
        <w:tc>
          <w:tcPr>
            <w:tcW w:w="1078" w:type="dxa"/>
            <w:tcBorders>
              <w:top w:val="nil"/>
              <w:left w:val="nil"/>
              <w:bottom w:val="single" w:sz="8" w:space="0" w:color="auto"/>
              <w:right w:val="single" w:sz="8" w:space="0" w:color="auto"/>
            </w:tcBorders>
            <w:shd w:val="clear" w:color="auto" w:fill="auto"/>
            <w:noWrap/>
            <w:vAlign w:val="center"/>
            <w:hideMark/>
          </w:tcPr>
          <w:p w14:paraId="4F9B1AF1" w14:textId="77777777" w:rsidR="009845C2" w:rsidRPr="009845C2" w:rsidRDefault="009845C2" w:rsidP="009845C2">
            <w:pPr>
              <w:spacing w:after="0" w:line="240" w:lineRule="auto"/>
              <w:jc w:val="right"/>
              <w:rPr>
                <w:rFonts w:eastAsia="Times New Roman" w:cs="Calibri"/>
                <w:color w:val="FF0000"/>
                <w:sz w:val="20"/>
                <w:szCs w:val="20"/>
                <w:lang w:eastAsia="en-GB"/>
              </w:rPr>
            </w:pPr>
            <w:r w:rsidRPr="009845C2">
              <w:rPr>
                <w:rFonts w:eastAsia="Times New Roman" w:cs="Calibri"/>
                <w:color w:val="FF0000"/>
                <w:sz w:val="20"/>
                <w:szCs w:val="20"/>
                <w:lang w:eastAsia="en-GB"/>
              </w:rPr>
              <w:t> </w:t>
            </w:r>
          </w:p>
        </w:tc>
        <w:tc>
          <w:tcPr>
            <w:tcW w:w="1276" w:type="dxa"/>
            <w:tcBorders>
              <w:top w:val="nil"/>
              <w:left w:val="nil"/>
              <w:bottom w:val="single" w:sz="8" w:space="0" w:color="auto"/>
              <w:right w:val="single" w:sz="8" w:space="0" w:color="auto"/>
            </w:tcBorders>
            <w:shd w:val="clear" w:color="auto" w:fill="auto"/>
            <w:noWrap/>
            <w:vAlign w:val="center"/>
            <w:hideMark/>
          </w:tcPr>
          <w:p w14:paraId="0C656ECA"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 xml:space="preserve">                 110,622 </w:t>
            </w:r>
          </w:p>
        </w:tc>
        <w:tc>
          <w:tcPr>
            <w:tcW w:w="997" w:type="dxa"/>
            <w:tcBorders>
              <w:top w:val="nil"/>
              <w:left w:val="nil"/>
              <w:bottom w:val="single" w:sz="8" w:space="0" w:color="auto"/>
              <w:right w:val="single" w:sz="8" w:space="0" w:color="auto"/>
            </w:tcBorders>
            <w:shd w:val="clear" w:color="auto" w:fill="auto"/>
            <w:noWrap/>
            <w:vAlign w:val="center"/>
            <w:hideMark/>
          </w:tcPr>
          <w:p w14:paraId="2A57E9B1" w14:textId="77777777" w:rsidR="009845C2" w:rsidRPr="009845C2" w:rsidRDefault="009845C2" w:rsidP="009845C2">
            <w:pPr>
              <w:spacing w:after="0" w:line="240" w:lineRule="auto"/>
              <w:jc w:val="right"/>
              <w:rPr>
                <w:rFonts w:eastAsia="Times New Roman" w:cs="Calibri"/>
                <w:color w:val="FF0000"/>
                <w:sz w:val="20"/>
                <w:szCs w:val="20"/>
                <w:lang w:eastAsia="en-GB"/>
              </w:rPr>
            </w:pPr>
            <w:r w:rsidRPr="009845C2">
              <w:rPr>
                <w:rFonts w:eastAsia="Times New Roman" w:cs="Calibri"/>
                <w:color w:val="FF0000"/>
                <w:sz w:val="20"/>
                <w:szCs w:val="20"/>
                <w:lang w:eastAsia="en-GB"/>
              </w:rPr>
              <w:t>-66,225</w:t>
            </w:r>
          </w:p>
        </w:tc>
        <w:tc>
          <w:tcPr>
            <w:tcW w:w="997" w:type="dxa"/>
            <w:tcBorders>
              <w:top w:val="nil"/>
              <w:left w:val="nil"/>
              <w:bottom w:val="single" w:sz="8" w:space="0" w:color="auto"/>
              <w:right w:val="single" w:sz="8" w:space="0" w:color="auto"/>
            </w:tcBorders>
            <w:shd w:val="clear" w:color="auto" w:fill="auto"/>
            <w:noWrap/>
            <w:vAlign w:val="center"/>
            <w:hideMark/>
          </w:tcPr>
          <w:p w14:paraId="09ACE885" w14:textId="77777777" w:rsidR="009845C2" w:rsidRPr="009845C2" w:rsidRDefault="009845C2" w:rsidP="009845C2">
            <w:pPr>
              <w:spacing w:after="0" w:line="240" w:lineRule="auto"/>
              <w:jc w:val="right"/>
              <w:rPr>
                <w:rFonts w:eastAsia="Times New Roman" w:cs="Calibri"/>
                <w:color w:val="FF0000"/>
                <w:sz w:val="20"/>
                <w:szCs w:val="20"/>
                <w:lang w:eastAsia="en-GB"/>
              </w:rPr>
            </w:pPr>
            <w:r w:rsidRPr="009845C2">
              <w:rPr>
                <w:rFonts w:eastAsia="Times New Roman" w:cs="Calibri"/>
                <w:color w:val="FF0000"/>
                <w:sz w:val="20"/>
                <w:szCs w:val="20"/>
                <w:lang w:eastAsia="en-GB"/>
              </w:rPr>
              <w:t>-66,225</w:t>
            </w:r>
          </w:p>
        </w:tc>
        <w:tc>
          <w:tcPr>
            <w:tcW w:w="1266" w:type="dxa"/>
            <w:tcBorders>
              <w:top w:val="nil"/>
              <w:left w:val="nil"/>
              <w:bottom w:val="single" w:sz="8" w:space="0" w:color="auto"/>
              <w:right w:val="single" w:sz="8" w:space="0" w:color="auto"/>
            </w:tcBorders>
            <w:shd w:val="clear" w:color="auto" w:fill="auto"/>
            <w:noWrap/>
            <w:vAlign w:val="center"/>
            <w:hideMark/>
          </w:tcPr>
          <w:p w14:paraId="4960F927" w14:textId="77777777" w:rsidR="009845C2" w:rsidRPr="009845C2" w:rsidRDefault="009845C2" w:rsidP="009845C2">
            <w:pPr>
              <w:spacing w:after="0" w:line="240" w:lineRule="auto"/>
              <w:jc w:val="right"/>
              <w:rPr>
                <w:rFonts w:eastAsia="Times New Roman" w:cs="Calibri"/>
                <w:sz w:val="20"/>
                <w:szCs w:val="20"/>
                <w:lang w:eastAsia="en-GB"/>
              </w:rPr>
            </w:pPr>
            <w:r w:rsidRPr="009845C2">
              <w:rPr>
                <w:rFonts w:eastAsia="Times New Roman" w:cs="Calibri"/>
                <w:sz w:val="20"/>
                <w:szCs w:val="20"/>
                <w:lang w:eastAsia="en-GB"/>
              </w:rPr>
              <w:t>19,122</w:t>
            </w:r>
          </w:p>
        </w:tc>
        <w:tc>
          <w:tcPr>
            <w:tcW w:w="1131" w:type="dxa"/>
            <w:tcBorders>
              <w:top w:val="nil"/>
              <w:left w:val="nil"/>
              <w:bottom w:val="single" w:sz="8" w:space="0" w:color="auto"/>
              <w:right w:val="single" w:sz="8" w:space="0" w:color="auto"/>
            </w:tcBorders>
            <w:shd w:val="clear" w:color="auto" w:fill="auto"/>
            <w:noWrap/>
            <w:vAlign w:val="center"/>
            <w:hideMark/>
          </w:tcPr>
          <w:p w14:paraId="284327E8"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3,767,697</w:t>
            </w:r>
          </w:p>
        </w:tc>
        <w:tc>
          <w:tcPr>
            <w:tcW w:w="1453" w:type="dxa"/>
            <w:tcBorders>
              <w:top w:val="nil"/>
              <w:left w:val="nil"/>
              <w:bottom w:val="single" w:sz="8" w:space="0" w:color="auto"/>
              <w:right w:val="single" w:sz="8" w:space="0" w:color="auto"/>
            </w:tcBorders>
            <w:shd w:val="clear" w:color="auto" w:fill="auto"/>
            <w:noWrap/>
            <w:vAlign w:val="center"/>
            <w:hideMark/>
          </w:tcPr>
          <w:p w14:paraId="335EC7D9"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3,878,319</w:t>
            </w:r>
          </w:p>
        </w:tc>
      </w:tr>
      <w:tr w:rsidR="009845C2" w:rsidRPr="009845C2" w14:paraId="2094D827" w14:textId="77777777" w:rsidTr="00F02950">
        <w:trPr>
          <w:trHeight w:val="300"/>
          <w:jc w:val="center"/>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14:paraId="7C305112" w14:textId="77777777" w:rsidR="009845C2" w:rsidRPr="009845C2" w:rsidRDefault="009845C2" w:rsidP="009845C2">
            <w:pPr>
              <w:spacing w:after="0" w:line="240" w:lineRule="auto"/>
              <w:rPr>
                <w:rFonts w:eastAsia="Times New Roman" w:cs="Calibri"/>
                <w:color w:val="000000"/>
                <w:sz w:val="20"/>
                <w:szCs w:val="20"/>
                <w:lang w:eastAsia="en-GB"/>
              </w:rPr>
            </w:pPr>
            <w:r w:rsidRPr="009845C2">
              <w:rPr>
                <w:rFonts w:eastAsia="Times New Roman" w:cs="Calibri"/>
                <w:color w:val="000000"/>
                <w:sz w:val="20"/>
                <w:szCs w:val="20"/>
                <w:lang w:eastAsia="en-GB"/>
              </w:rPr>
              <w:t xml:space="preserve"> Title 2 </w:t>
            </w:r>
          </w:p>
        </w:tc>
        <w:tc>
          <w:tcPr>
            <w:tcW w:w="1296" w:type="dxa"/>
            <w:tcBorders>
              <w:top w:val="nil"/>
              <w:left w:val="nil"/>
              <w:bottom w:val="single" w:sz="8" w:space="0" w:color="auto"/>
              <w:right w:val="single" w:sz="8" w:space="0" w:color="auto"/>
            </w:tcBorders>
            <w:shd w:val="clear" w:color="auto" w:fill="auto"/>
            <w:noWrap/>
            <w:vAlign w:val="center"/>
            <w:hideMark/>
          </w:tcPr>
          <w:p w14:paraId="64A30DC2"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1,777,200</w:t>
            </w:r>
          </w:p>
        </w:tc>
        <w:tc>
          <w:tcPr>
            <w:tcW w:w="1453" w:type="dxa"/>
            <w:tcBorders>
              <w:top w:val="nil"/>
              <w:left w:val="nil"/>
              <w:bottom w:val="single" w:sz="8" w:space="0" w:color="auto"/>
              <w:right w:val="single" w:sz="8" w:space="0" w:color="auto"/>
            </w:tcBorders>
            <w:shd w:val="clear" w:color="auto" w:fill="auto"/>
            <w:noWrap/>
            <w:vAlign w:val="center"/>
            <w:hideMark/>
          </w:tcPr>
          <w:p w14:paraId="5E53ACCF"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1,777,200</w:t>
            </w:r>
          </w:p>
        </w:tc>
        <w:tc>
          <w:tcPr>
            <w:tcW w:w="1078" w:type="dxa"/>
            <w:tcBorders>
              <w:top w:val="nil"/>
              <w:left w:val="nil"/>
              <w:bottom w:val="single" w:sz="8" w:space="0" w:color="auto"/>
              <w:right w:val="single" w:sz="8" w:space="0" w:color="auto"/>
            </w:tcBorders>
            <w:shd w:val="clear" w:color="auto" w:fill="auto"/>
            <w:noWrap/>
            <w:vAlign w:val="center"/>
            <w:hideMark/>
          </w:tcPr>
          <w:p w14:paraId="4B19592A" w14:textId="77777777" w:rsidR="009845C2" w:rsidRPr="009845C2" w:rsidRDefault="009845C2" w:rsidP="009845C2">
            <w:pPr>
              <w:spacing w:after="0" w:line="240" w:lineRule="auto"/>
              <w:rPr>
                <w:rFonts w:eastAsia="Times New Roman" w:cs="Calibri"/>
                <w:color w:val="000000"/>
                <w:sz w:val="20"/>
                <w:szCs w:val="20"/>
                <w:lang w:eastAsia="en-GB"/>
              </w:rPr>
            </w:pPr>
            <w:r w:rsidRPr="009845C2">
              <w:rPr>
                <w:rFonts w:eastAsia="Times New Roman" w:cs="Calibri"/>
                <w:color w:val="000000"/>
                <w:sz w:val="20"/>
                <w:szCs w:val="20"/>
                <w:lang w:eastAsia="en-GB"/>
              </w:rPr>
              <w:t> </w:t>
            </w:r>
          </w:p>
        </w:tc>
        <w:tc>
          <w:tcPr>
            <w:tcW w:w="1276" w:type="dxa"/>
            <w:tcBorders>
              <w:top w:val="nil"/>
              <w:left w:val="nil"/>
              <w:bottom w:val="single" w:sz="8" w:space="0" w:color="auto"/>
              <w:right w:val="single" w:sz="8" w:space="0" w:color="auto"/>
            </w:tcBorders>
            <w:shd w:val="clear" w:color="auto" w:fill="auto"/>
            <w:noWrap/>
            <w:vAlign w:val="center"/>
            <w:hideMark/>
          </w:tcPr>
          <w:p w14:paraId="267E838A"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 xml:space="preserve">                 810,281 </w:t>
            </w:r>
          </w:p>
        </w:tc>
        <w:tc>
          <w:tcPr>
            <w:tcW w:w="997" w:type="dxa"/>
            <w:tcBorders>
              <w:top w:val="nil"/>
              <w:left w:val="nil"/>
              <w:bottom w:val="single" w:sz="8" w:space="0" w:color="auto"/>
              <w:right w:val="single" w:sz="8" w:space="0" w:color="auto"/>
            </w:tcBorders>
            <w:shd w:val="clear" w:color="auto" w:fill="auto"/>
            <w:noWrap/>
            <w:vAlign w:val="center"/>
            <w:hideMark/>
          </w:tcPr>
          <w:p w14:paraId="5E891275"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66,225</w:t>
            </w:r>
          </w:p>
        </w:tc>
        <w:tc>
          <w:tcPr>
            <w:tcW w:w="997" w:type="dxa"/>
            <w:tcBorders>
              <w:top w:val="nil"/>
              <w:left w:val="nil"/>
              <w:bottom w:val="single" w:sz="8" w:space="0" w:color="auto"/>
              <w:right w:val="single" w:sz="8" w:space="0" w:color="auto"/>
            </w:tcBorders>
            <w:shd w:val="clear" w:color="auto" w:fill="auto"/>
            <w:noWrap/>
            <w:vAlign w:val="center"/>
            <w:hideMark/>
          </w:tcPr>
          <w:p w14:paraId="4B95FDBA"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66,225</w:t>
            </w:r>
          </w:p>
        </w:tc>
        <w:tc>
          <w:tcPr>
            <w:tcW w:w="1266" w:type="dxa"/>
            <w:tcBorders>
              <w:top w:val="nil"/>
              <w:left w:val="nil"/>
              <w:bottom w:val="single" w:sz="8" w:space="0" w:color="auto"/>
              <w:right w:val="single" w:sz="8" w:space="0" w:color="auto"/>
            </w:tcBorders>
            <w:shd w:val="clear" w:color="auto" w:fill="auto"/>
            <w:noWrap/>
            <w:vAlign w:val="center"/>
            <w:hideMark/>
          </w:tcPr>
          <w:p w14:paraId="54339FA3"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9,141</w:t>
            </w:r>
          </w:p>
        </w:tc>
        <w:tc>
          <w:tcPr>
            <w:tcW w:w="1131" w:type="dxa"/>
            <w:tcBorders>
              <w:top w:val="nil"/>
              <w:left w:val="nil"/>
              <w:bottom w:val="single" w:sz="8" w:space="0" w:color="auto"/>
              <w:right w:val="single" w:sz="8" w:space="0" w:color="auto"/>
            </w:tcBorders>
            <w:shd w:val="clear" w:color="auto" w:fill="auto"/>
            <w:noWrap/>
            <w:vAlign w:val="center"/>
            <w:hideMark/>
          </w:tcPr>
          <w:p w14:paraId="5B800C9A"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1,852,566</w:t>
            </w:r>
          </w:p>
        </w:tc>
        <w:tc>
          <w:tcPr>
            <w:tcW w:w="1453" w:type="dxa"/>
            <w:tcBorders>
              <w:top w:val="nil"/>
              <w:left w:val="nil"/>
              <w:bottom w:val="single" w:sz="8" w:space="0" w:color="auto"/>
              <w:right w:val="single" w:sz="8" w:space="0" w:color="auto"/>
            </w:tcBorders>
            <w:shd w:val="clear" w:color="auto" w:fill="auto"/>
            <w:noWrap/>
            <w:vAlign w:val="center"/>
            <w:hideMark/>
          </w:tcPr>
          <w:p w14:paraId="5A70485C"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2,662,848</w:t>
            </w:r>
          </w:p>
        </w:tc>
      </w:tr>
      <w:tr w:rsidR="009845C2" w:rsidRPr="009845C2" w14:paraId="5ED19F9A" w14:textId="77777777" w:rsidTr="00F02950">
        <w:trPr>
          <w:trHeight w:val="300"/>
          <w:jc w:val="center"/>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14:paraId="093504C5" w14:textId="77777777" w:rsidR="009845C2" w:rsidRPr="009845C2" w:rsidRDefault="009845C2" w:rsidP="009845C2">
            <w:pPr>
              <w:spacing w:after="0" w:line="240" w:lineRule="auto"/>
              <w:rPr>
                <w:rFonts w:eastAsia="Times New Roman" w:cs="Calibri"/>
                <w:color w:val="000000"/>
                <w:sz w:val="20"/>
                <w:szCs w:val="20"/>
                <w:lang w:eastAsia="en-GB"/>
              </w:rPr>
            </w:pPr>
            <w:r w:rsidRPr="009845C2">
              <w:rPr>
                <w:rFonts w:eastAsia="Times New Roman" w:cs="Calibri"/>
                <w:color w:val="000000"/>
                <w:sz w:val="20"/>
                <w:szCs w:val="20"/>
                <w:lang w:eastAsia="en-GB"/>
              </w:rPr>
              <w:t xml:space="preserve"> Title 3 - FP7 </w:t>
            </w:r>
          </w:p>
        </w:tc>
        <w:tc>
          <w:tcPr>
            <w:tcW w:w="1296" w:type="dxa"/>
            <w:tcBorders>
              <w:top w:val="nil"/>
              <w:left w:val="nil"/>
              <w:bottom w:val="single" w:sz="8" w:space="0" w:color="auto"/>
              <w:right w:val="single" w:sz="8" w:space="0" w:color="auto"/>
            </w:tcBorders>
            <w:shd w:val="clear" w:color="auto" w:fill="auto"/>
            <w:noWrap/>
            <w:vAlign w:val="center"/>
            <w:hideMark/>
          </w:tcPr>
          <w:p w14:paraId="5204C0AC"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0</w:t>
            </w:r>
          </w:p>
        </w:tc>
        <w:tc>
          <w:tcPr>
            <w:tcW w:w="1453" w:type="dxa"/>
            <w:tcBorders>
              <w:top w:val="nil"/>
              <w:left w:val="nil"/>
              <w:bottom w:val="single" w:sz="8" w:space="0" w:color="auto"/>
              <w:right w:val="single" w:sz="8" w:space="0" w:color="auto"/>
            </w:tcBorders>
            <w:shd w:val="clear" w:color="auto" w:fill="auto"/>
            <w:noWrap/>
            <w:vAlign w:val="center"/>
            <w:hideMark/>
          </w:tcPr>
          <w:p w14:paraId="1B606ECA"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1,368,001</w:t>
            </w:r>
          </w:p>
        </w:tc>
        <w:tc>
          <w:tcPr>
            <w:tcW w:w="1078" w:type="dxa"/>
            <w:tcBorders>
              <w:top w:val="nil"/>
              <w:left w:val="nil"/>
              <w:bottom w:val="single" w:sz="8" w:space="0" w:color="auto"/>
              <w:right w:val="single" w:sz="8" w:space="0" w:color="auto"/>
            </w:tcBorders>
            <w:shd w:val="clear" w:color="auto" w:fill="auto"/>
            <w:noWrap/>
            <w:vAlign w:val="center"/>
            <w:hideMark/>
          </w:tcPr>
          <w:p w14:paraId="5D86E8DD"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 </w:t>
            </w:r>
          </w:p>
        </w:tc>
        <w:tc>
          <w:tcPr>
            <w:tcW w:w="1276" w:type="dxa"/>
            <w:tcBorders>
              <w:top w:val="nil"/>
              <w:left w:val="nil"/>
              <w:bottom w:val="single" w:sz="8" w:space="0" w:color="auto"/>
              <w:right w:val="single" w:sz="8" w:space="0" w:color="auto"/>
            </w:tcBorders>
            <w:shd w:val="clear" w:color="auto" w:fill="auto"/>
            <w:noWrap/>
            <w:vAlign w:val="center"/>
            <w:hideMark/>
          </w:tcPr>
          <w:p w14:paraId="1BA049F1" w14:textId="77777777" w:rsidR="009845C2" w:rsidRPr="009845C2" w:rsidRDefault="009845C2" w:rsidP="009845C2">
            <w:pPr>
              <w:spacing w:after="0" w:line="240" w:lineRule="auto"/>
              <w:jc w:val="right"/>
              <w:rPr>
                <w:rFonts w:eastAsia="Times New Roman" w:cs="Calibri"/>
                <w:sz w:val="20"/>
                <w:szCs w:val="20"/>
                <w:lang w:eastAsia="en-GB"/>
              </w:rPr>
            </w:pPr>
            <w:r w:rsidRPr="009845C2">
              <w:rPr>
                <w:rFonts w:eastAsia="Times New Roman" w:cs="Calibri"/>
                <w:sz w:val="20"/>
                <w:szCs w:val="20"/>
                <w:lang w:eastAsia="en-GB"/>
              </w:rPr>
              <w:t>-260,000</w:t>
            </w:r>
          </w:p>
        </w:tc>
        <w:tc>
          <w:tcPr>
            <w:tcW w:w="997" w:type="dxa"/>
            <w:tcBorders>
              <w:top w:val="nil"/>
              <w:left w:val="nil"/>
              <w:bottom w:val="single" w:sz="8" w:space="0" w:color="auto"/>
              <w:right w:val="single" w:sz="8" w:space="0" w:color="auto"/>
            </w:tcBorders>
            <w:shd w:val="clear" w:color="auto" w:fill="auto"/>
            <w:noWrap/>
            <w:vAlign w:val="center"/>
            <w:hideMark/>
          </w:tcPr>
          <w:p w14:paraId="6F416C5A"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 </w:t>
            </w:r>
          </w:p>
        </w:tc>
        <w:tc>
          <w:tcPr>
            <w:tcW w:w="997" w:type="dxa"/>
            <w:tcBorders>
              <w:top w:val="nil"/>
              <w:left w:val="nil"/>
              <w:bottom w:val="single" w:sz="8" w:space="0" w:color="auto"/>
              <w:right w:val="single" w:sz="8" w:space="0" w:color="auto"/>
            </w:tcBorders>
            <w:shd w:val="clear" w:color="auto" w:fill="auto"/>
            <w:noWrap/>
            <w:vAlign w:val="center"/>
            <w:hideMark/>
          </w:tcPr>
          <w:p w14:paraId="3BE6B5AD"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 </w:t>
            </w:r>
          </w:p>
        </w:tc>
        <w:tc>
          <w:tcPr>
            <w:tcW w:w="1266" w:type="dxa"/>
            <w:tcBorders>
              <w:top w:val="nil"/>
              <w:left w:val="nil"/>
              <w:bottom w:val="single" w:sz="8" w:space="0" w:color="auto"/>
              <w:right w:val="single" w:sz="8" w:space="0" w:color="auto"/>
            </w:tcBorders>
            <w:shd w:val="clear" w:color="auto" w:fill="auto"/>
            <w:noWrap/>
            <w:vAlign w:val="center"/>
            <w:hideMark/>
          </w:tcPr>
          <w:p w14:paraId="1CD486CA"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7,774</w:t>
            </w:r>
          </w:p>
        </w:tc>
        <w:tc>
          <w:tcPr>
            <w:tcW w:w="1131" w:type="dxa"/>
            <w:tcBorders>
              <w:top w:val="nil"/>
              <w:left w:val="nil"/>
              <w:bottom w:val="single" w:sz="8" w:space="0" w:color="auto"/>
              <w:right w:val="single" w:sz="8" w:space="0" w:color="auto"/>
            </w:tcBorders>
            <w:shd w:val="clear" w:color="auto" w:fill="auto"/>
            <w:noWrap/>
            <w:vAlign w:val="center"/>
            <w:hideMark/>
          </w:tcPr>
          <w:p w14:paraId="2043BE2A"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7,774</w:t>
            </w:r>
          </w:p>
        </w:tc>
        <w:tc>
          <w:tcPr>
            <w:tcW w:w="1453" w:type="dxa"/>
            <w:tcBorders>
              <w:top w:val="nil"/>
              <w:left w:val="nil"/>
              <w:bottom w:val="single" w:sz="8" w:space="0" w:color="auto"/>
              <w:right w:val="single" w:sz="8" w:space="0" w:color="auto"/>
            </w:tcBorders>
            <w:shd w:val="clear" w:color="auto" w:fill="auto"/>
            <w:noWrap/>
            <w:vAlign w:val="center"/>
            <w:hideMark/>
          </w:tcPr>
          <w:p w14:paraId="61E30F5F"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1,115,775</w:t>
            </w:r>
          </w:p>
        </w:tc>
      </w:tr>
      <w:tr w:rsidR="009845C2" w:rsidRPr="009845C2" w14:paraId="420152BD" w14:textId="77777777" w:rsidTr="00F02950">
        <w:trPr>
          <w:trHeight w:val="300"/>
          <w:jc w:val="center"/>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14:paraId="2AE4CCF5" w14:textId="77777777" w:rsidR="009845C2" w:rsidRPr="009845C2" w:rsidRDefault="009845C2" w:rsidP="009845C2">
            <w:pPr>
              <w:spacing w:after="0" w:line="240" w:lineRule="auto"/>
              <w:rPr>
                <w:rFonts w:eastAsia="Times New Roman" w:cs="Calibri"/>
                <w:color w:val="000000"/>
                <w:sz w:val="20"/>
                <w:szCs w:val="20"/>
                <w:lang w:eastAsia="en-GB"/>
              </w:rPr>
            </w:pPr>
            <w:r w:rsidRPr="009845C2">
              <w:rPr>
                <w:rFonts w:eastAsia="Times New Roman" w:cs="Calibri"/>
                <w:color w:val="000000"/>
                <w:sz w:val="20"/>
                <w:szCs w:val="20"/>
                <w:lang w:eastAsia="en-GB"/>
              </w:rPr>
              <w:t xml:space="preserve"> Title 3 - H2020 </w:t>
            </w:r>
          </w:p>
        </w:tc>
        <w:tc>
          <w:tcPr>
            <w:tcW w:w="1296" w:type="dxa"/>
            <w:tcBorders>
              <w:top w:val="nil"/>
              <w:left w:val="nil"/>
              <w:bottom w:val="single" w:sz="8" w:space="0" w:color="auto"/>
              <w:right w:val="single" w:sz="8" w:space="0" w:color="auto"/>
            </w:tcBorders>
            <w:shd w:val="clear" w:color="auto" w:fill="auto"/>
            <w:noWrap/>
            <w:vAlign w:val="center"/>
            <w:hideMark/>
          </w:tcPr>
          <w:p w14:paraId="2697B011"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1,200,000</w:t>
            </w:r>
          </w:p>
        </w:tc>
        <w:tc>
          <w:tcPr>
            <w:tcW w:w="1453" w:type="dxa"/>
            <w:tcBorders>
              <w:top w:val="nil"/>
              <w:left w:val="nil"/>
              <w:bottom w:val="single" w:sz="8" w:space="0" w:color="auto"/>
              <w:right w:val="single" w:sz="8" w:space="0" w:color="auto"/>
            </w:tcBorders>
            <w:shd w:val="clear" w:color="auto" w:fill="auto"/>
            <w:noWrap/>
            <w:vAlign w:val="center"/>
            <w:hideMark/>
          </w:tcPr>
          <w:p w14:paraId="244A4695"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63,082,444</w:t>
            </w:r>
          </w:p>
        </w:tc>
        <w:tc>
          <w:tcPr>
            <w:tcW w:w="1078" w:type="dxa"/>
            <w:tcBorders>
              <w:top w:val="nil"/>
              <w:left w:val="nil"/>
              <w:bottom w:val="single" w:sz="8" w:space="0" w:color="auto"/>
              <w:right w:val="single" w:sz="8" w:space="0" w:color="auto"/>
            </w:tcBorders>
            <w:shd w:val="clear" w:color="auto" w:fill="auto"/>
            <w:noWrap/>
            <w:vAlign w:val="center"/>
            <w:hideMark/>
          </w:tcPr>
          <w:p w14:paraId="508283C4"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 xml:space="preserve">            7,041,287 </w:t>
            </w:r>
          </w:p>
        </w:tc>
        <w:tc>
          <w:tcPr>
            <w:tcW w:w="1276" w:type="dxa"/>
            <w:tcBorders>
              <w:top w:val="nil"/>
              <w:left w:val="nil"/>
              <w:bottom w:val="single" w:sz="8" w:space="0" w:color="auto"/>
              <w:right w:val="single" w:sz="8" w:space="0" w:color="auto"/>
            </w:tcBorders>
            <w:shd w:val="clear" w:color="auto" w:fill="auto"/>
            <w:noWrap/>
            <w:vAlign w:val="center"/>
            <w:hideMark/>
          </w:tcPr>
          <w:p w14:paraId="3A05D48A" w14:textId="77777777" w:rsidR="009845C2" w:rsidRPr="009845C2" w:rsidRDefault="009845C2" w:rsidP="009845C2">
            <w:pPr>
              <w:spacing w:after="0" w:line="240" w:lineRule="auto"/>
              <w:jc w:val="right"/>
              <w:rPr>
                <w:rFonts w:eastAsia="Times New Roman" w:cs="Calibri"/>
                <w:sz w:val="20"/>
                <w:szCs w:val="20"/>
                <w:lang w:eastAsia="en-GB"/>
              </w:rPr>
            </w:pPr>
            <w:r w:rsidRPr="009845C2">
              <w:rPr>
                <w:rFonts w:eastAsia="Times New Roman" w:cs="Calibri"/>
                <w:sz w:val="20"/>
                <w:szCs w:val="20"/>
                <w:lang w:eastAsia="en-GB"/>
              </w:rPr>
              <w:t>-16,500,000</w:t>
            </w:r>
          </w:p>
        </w:tc>
        <w:tc>
          <w:tcPr>
            <w:tcW w:w="997" w:type="dxa"/>
            <w:tcBorders>
              <w:top w:val="nil"/>
              <w:left w:val="nil"/>
              <w:bottom w:val="single" w:sz="8" w:space="0" w:color="auto"/>
              <w:right w:val="single" w:sz="8" w:space="0" w:color="auto"/>
            </w:tcBorders>
            <w:shd w:val="clear" w:color="auto" w:fill="auto"/>
            <w:noWrap/>
            <w:vAlign w:val="center"/>
            <w:hideMark/>
          </w:tcPr>
          <w:p w14:paraId="0CB77FE9"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 </w:t>
            </w:r>
          </w:p>
        </w:tc>
        <w:tc>
          <w:tcPr>
            <w:tcW w:w="997" w:type="dxa"/>
            <w:tcBorders>
              <w:top w:val="nil"/>
              <w:left w:val="nil"/>
              <w:bottom w:val="single" w:sz="8" w:space="0" w:color="auto"/>
              <w:right w:val="single" w:sz="8" w:space="0" w:color="auto"/>
            </w:tcBorders>
            <w:shd w:val="clear" w:color="auto" w:fill="auto"/>
            <w:noWrap/>
            <w:vAlign w:val="center"/>
            <w:hideMark/>
          </w:tcPr>
          <w:p w14:paraId="76B2D5F3"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 </w:t>
            </w:r>
          </w:p>
        </w:tc>
        <w:tc>
          <w:tcPr>
            <w:tcW w:w="1266" w:type="dxa"/>
            <w:tcBorders>
              <w:top w:val="nil"/>
              <w:left w:val="nil"/>
              <w:bottom w:val="single" w:sz="8" w:space="0" w:color="auto"/>
              <w:right w:val="single" w:sz="8" w:space="0" w:color="auto"/>
            </w:tcBorders>
            <w:shd w:val="clear" w:color="auto" w:fill="auto"/>
            <w:noWrap/>
            <w:vAlign w:val="center"/>
            <w:hideMark/>
          </w:tcPr>
          <w:p w14:paraId="45C6AFFB"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1,978,106</w:t>
            </w:r>
          </w:p>
        </w:tc>
        <w:tc>
          <w:tcPr>
            <w:tcW w:w="1131" w:type="dxa"/>
            <w:tcBorders>
              <w:top w:val="nil"/>
              <w:left w:val="nil"/>
              <w:bottom w:val="single" w:sz="8" w:space="0" w:color="auto"/>
              <w:right w:val="single" w:sz="8" w:space="0" w:color="auto"/>
            </w:tcBorders>
            <w:shd w:val="clear" w:color="auto" w:fill="auto"/>
            <w:noWrap/>
            <w:vAlign w:val="center"/>
            <w:hideMark/>
          </w:tcPr>
          <w:p w14:paraId="725A0ED1"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10,219,393</w:t>
            </w:r>
          </w:p>
        </w:tc>
        <w:tc>
          <w:tcPr>
            <w:tcW w:w="1453" w:type="dxa"/>
            <w:tcBorders>
              <w:top w:val="nil"/>
              <w:left w:val="nil"/>
              <w:bottom w:val="single" w:sz="8" w:space="0" w:color="auto"/>
              <w:right w:val="single" w:sz="8" w:space="0" w:color="auto"/>
            </w:tcBorders>
            <w:shd w:val="clear" w:color="auto" w:fill="auto"/>
            <w:noWrap/>
            <w:vAlign w:val="center"/>
            <w:hideMark/>
          </w:tcPr>
          <w:p w14:paraId="03F75194" w14:textId="77777777" w:rsidR="009845C2" w:rsidRPr="009845C2" w:rsidRDefault="009845C2" w:rsidP="009845C2">
            <w:pPr>
              <w:spacing w:after="0" w:line="240" w:lineRule="auto"/>
              <w:jc w:val="right"/>
              <w:rPr>
                <w:rFonts w:eastAsia="Times New Roman" w:cs="Calibri"/>
                <w:color w:val="000000"/>
                <w:sz w:val="20"/>
                <w:szCs w:val="20"/>
                <w:lang w:eastAsia="en-GB"/>
              </w:rPr>
            </w:pPr>
            <w:r w:rsidRPr="009845C2">
              <w:rPr>
                <w:rFonts w:eastAsia="Times New Roman" w:cs="Calibri"/>
                <w:color w:val="000000"/>
                <w:sz w:val="20"/>
                <w:szCs w:val="20"/>
                <w:lang w:eastAsia="en-GB"/>
              </w:rPr>
              <w:t>48,560,550</w:t>
            </w:r>
          </w:p>
        </w:tc>
      </w:tr>
      <w:tr w:rsidR="009845C2" w:rsidRPr="009845C2" w14:paraId="6CA5AB29" w14:textId="77777777" w:rsidTr="00F02950">
        <w:trPr>
          <w:trHeight w:val="300"/>
          <w:jc w:val="center"/>
        </w:trPr>
        <w:tc>
          <w:tcPr>
            <w:tcW w:w="1985" w:type="dxa"/>
            <w:tcBorders>
              <w:top w:val="nil"/>
              <w:left w:val="single" w:sz="8" w:space="0" w:color="auto"/>
              <w:bottom w:val="single" w:sz="8" w:space="0" w:color="auto"/>
              <w:right w:val="single" w:sz="8" w:space="0" w:color="auto"/>
            </w:tcBorders>
            <w:shd w:val="clear" w:color="000000" w:fill="E8EDEE"/>
            <w:noWrap/>
            <w:vAlign w:val="center"/>
            <w:hideMark/>
          </w:tcPr>
          <w:p w14:paraId="47CFEA70" w14:textId="77777777" w:rsidR="009845C2" w:rsidRPr="009845C2" w:rsidRDefault="009845C2" w:rsidP="009845C2">
            <w:pPr>
              <w:spacing w:after="0" w:line="240" w:lineRule="auto"/>
              <w:rPr>
                <w:rFonts w:eastAsia="Times New Roman" w:cs="Calibri"/>
                <w:b/>
                <w:bCs/>
                <w:color w:val="000000"/>
                <w:sz w:val="20"/>
                <w:szCs w:val="20"/>
                <w:lang w:eastAsia="en-GB"/>
              </w:rPr>
            </w:pPr>
            <w:r w:rsidRPr="009845C2">
              <w:rPr>
                <w:rFonts w:eastAsia="Times New Roman" w:cs="Calibri"/>
                <w:b/>
                <w:bCs/>
                <w:color w:val="000000"/>
                <w:sz w:val="20"/>
                <w:szCs w:val="20"/>
                <w:lang w:eastAsia="en-GB"/>
              </w:rPr>
              <w:t xml:space="preserve"> Total expenditure </w:t>
            </w:r>
          </w:p>
        </w:tc>
        <w:tc>
          <w:tcPr>
            <w:tcW w:w="1296" w:type="dxa"/>
            <w:tcBorders>
              <w:top w:val="nil"/>
              <w:left w:val="nil"/>
              <w:bottom w:val="single" w:sz="8" w:space="0" w:color="auto"/>
              <w:right w:val="single" w:sz="8" w:space="0" w:color="auto"/>
            </w:tcBorders>
            <w:shd w:val="clear" w:color="000000" w:fill="E8EDEE"/>
            <w:noWrap/>
            <w:vAlign w:val="center"/>
            <w:hideMark/>
          </w:tcPr>
          <w:p w14:paraId="0E6192FF" w14:textId="77777777" w:rsidR="009845C2" w:rsidRPr="009845C2" w:rsidRDefault="009845C2" w:rsidP="009845C2">
            <w:pPr>
              <w:spacing w:after="0" w:line="240" w:lineRule="auto"/>
              <w:jc w:val="right"/>
              <w:rPr>
                <w:rFonts w:eastAsia="Times New Roman" w:cs="Calibri"/>
                <w:b/>
                <w:bCs/>
                <w:color w:val="000000"/>
                <w:sz w:val="20"/>
                <w:szCs w:val="20"/>
                <w:lang w:eastAsia="en-GB"/>
              </w:rPr>
            </w:pPr>
            <w:r w:rsidRPr="009845C2">
              <w:rPr>
                <w:rFonts w:eastAsia="Times New Roman" w:cs="Calibri"/>
                <w:b/>
                <w:bCs/>
                <w:color w:val="000000"/>
                <w:sz w:val="20"/>
                <w:szCs w:val="20"/>
                <w:lang w:eastAsia="en-GB"/>
              </w:rPr>
              <w:t>6,792,000</w:t>
            </w:r>
          </w:p>
        </w:tc>
        <w:tc>
          <w:tcPr>
            <w:tcW w:w="1453" w:type="dxa"/>
            <w:tcBorders>
              <w:top w:val="nil"/>
              <w:left w:val="nil"/>
              <w:bottom w:val="single" w:sz="8" w:space="0" w:color="auto"/>
              <w:right w:val="single" w:sz="8" w:space="0" w:color="auto"/>
            </w:tcBorders>
            <w:shd w:val="clear" w:color="000000" w:fill="E8EDEE"/>
            <w:noWrap/>
            <w:vAlign w:val="center"/>
            <w:hideMark/>
          </w:tcPr>
          <w:p w14:paraId="5050FEFA" w14:textId="77777777" w:rsidR="009845C2" w:rsidRPr="009845C2" w:rsidRDefault="009845C2" w:rsidP="009845C2">
            <w:pPr>
              <w:spacing w:after="0" w:line="240" w:lineRule="auto"/>
              <w:jc w:val="right"/>
              <w:rPr>
                <w:rFonts w:eastAsia="Times New Roman" w:cs="Calibri"/>
                <w:b/>
                <w:bCs/>
                <w:color w:val="000000"/>
                <w:sz w:val="20"/>
                <w:szCs w:val="20"/>
                <w:lang w:eastAsia="en-GB"/>
              </w:rPr>
            </w:pPr>
            <w:r w:rsidRPr="009845C2">
              <w:rPr>
                <w:rFonts w:eastAsia="Times New Roman" w:cs="Calibri"/>
                <w:b/>
                <w:bCs/>
                <w:color w:val="000000"/>
                <w:sz w:val="20"/>
                <w:szCs w:val="20"/>
                <w:lang w:eastAsia="en-GB"/>
              </w:rPr>
              <w:t>70,042,445</w:t>
            </w:r>
          </w:p>
        </w:tc>
        <w:tc>
          <w:tcPr>
            <w:tcW w:w="1078" w:type="dxa"/>
            <w:tcBorders>
              <w:top w:val="nil"/>
              <w:left w:val="nil"/>
              <w:bottom w:val="single" w:sz="8" w:space="0" w:color="auto"/>
              <w:right w:val="single" w:sz="8" w:space="0" w:color="auto"/>
            </w:tcBorders>
            <w:shd w:val="clear" w:color="000000" w:fill="E8EDEE"/>
            <w:noWrap/>
            <w:vAlign w:val="center"/>
            <w:hideMark/>
          </w:tcPr>
          <w:p w14:paraId="4E529B74" w14:textId="77777777" w:rsidR="009845C2" w:rsidRPr="009845C2" w:rsidRDefault="009845C2" w:rsidP="009845C2">
            <w:pPr>
              <w:spacing w:after="0" w:line="240" w:lineRule="auto"/>
              <w:jc w:val="right"/>
              <w:rPr>
                <w:rFonts w:eastAsia="Times New Roman" w:cs="Calibri"/>
                <w:b/>
                <w:bCs/>
                <w:color w:val="000000"/>
                <w:sz w:val="20"/>
                <w:szCs w:val="20"/>
                <w:lang w:eastAsia="en-GB"/>
              </w:rPr>
            </w:pPr>
            <w:r w:rsidRPr="009845C2">
              <w:rPr>
                <w:rFonts w:eastAsia="Times New Roman" w:cs="Calibri"/>
                <w:b/>
                <w:bCs/>
                <w:color w:val="000000"/>
                <w:sz w:val="20"/>
                <w:szCs w:val="20"/>
                <w:lang w:eastAsia="en-GB"/>
              </w:rPr>
              <w:t>7,041,287</w:t>
            </w:r>
          </w:p>
        </w:tc>
        <w:tc>
          <w:tcPr>
            <w:tcW w:w="1276" w:type="dxa"/>
            <w:tcBorders>
              <w:top w:val="nil"/>
              <w:left w:val="nil"/>
              <w:bottom w:val="single" w:sz="8" w:space="0" w:color="auto"/>
              <w:right w:val="single" w:sz="8" w:space="0" w:color="auto"/>
            </w:tcBorders>
            <w:shd w:val="clear" w:color="000000" w:fill="E8EDEE"/>
            <w:noWrap/>
            <w:vAlign w:val="center"/>
            <w:hideMark/>
          </w:tcPr>
          <w:p w14:paraId="52229ACA" w14:textId="77777777" w:rsidR="009845C2" w:rsidRPr="009845C2" w:rsidRDefault="009845C2" w:rsidP="009845C2">
            <w:pPr>
              <w:spacing w:after="0" w:line="240" w:lineRule="auto"/>
              <w:jc w:val="right"/>
              <w:rPr>
                <w:rFonts w:eastAsia="Times New Roman" w:cs="Calibri"/>
                <w:b/>
                <w:bCs/>
                <w:color w:val="000000"/>
                <w:sz w:val="20"/>
                <w:szCs w:val="20"/>
                <w:lang w:eastAsia="en-GB"/>
              </w:rPr>
            </w:pPr>
            <w:r w:rsidRPr="009845C2">
              <w:rPr>
                <w:rFonts w:eastAsia="Times New Roman" w:cs="Calibri"/>
                <w:b/>
                <w:bCs/>
                <w:color w:val="000000"/>
                <w:sz w:val="20"/>
                <w:szCs w:val="20"/>
                <w:lang w:eastAsia="en-GB"/>
              </w:rPr>
              <w:t>-15,839,097</w:t>
            </w:r>
          </w:p>
        </w:tc>
        <w:tc>
          <w:tcPr>
            <w:tcW w:w="997" w:type="dxa"/>
            <w:tcBorders>
              <w:top w:val="nil"/>
              <w:left w:val="nil"/>
              <w:bottom w:val="single" w:sz="8" w:space="0" w:color="auto"/>
              <w:right w:val="single" w:sz="8" w:space="0" w:color="auto"/>
            </w:tcBorders>
            <w:shd w:val="clear" w:color="000000" w:fill="E8EDEE"/>
            <w:noWrap/>
            <w:vAlign w:val="center"/>
            <w:hideMark/>
          </w:tcPr>
          <w:p w14:paraId="14991592" w14:textId="77777777" w:rsidR="009845C2" w:rsidRPr="009845C2" w:rsidRDefault="009845C2" w:rsidP="009845C2">
            <w:pPr>
              <w:spacing w:after="0" w:line="240" w:lineRule="auto"/>
              <w:jc w:val="right"/>
              <w:rPr>
                <w:rFonts w:eastAsia="Times New Roman" w:cs="Calibri"/>
                <w:b/>
                <w:bCs/>
                <w:color w:val="000000"/>
                <w:sz w:val="20"/>
                <w:szCs w:val="20"/>
                <w:lang w:eastAsia="en-GB"/>
              </w:rPr>
            </w:pPr>
            <w:r w:rsidRPr="009845C2">
              <w:rPr>
                <w:rFonts w:eastAsia="Times New Roman" w:cs="Calibri"/>
                <w:b/>
                <w:bCs/>
                <w:color w:val="000000"/>
                <w:sz w:val="20"/>
                <w:szCs w:val="20"/>
                <w:lang w:eastAsia="en-GB"/>
              </w:rPr>
              <w:t>0</w:t>
            </w:r>
          </w:p>
        </w:tc>
        <w:tc>
          <w:tcPr>
            <w:tcW w:w="997" w:type="dxa"/>
            <w:tcBorders>
              <w:top w:val="nil"/>
              <w:left w:val="nil"/>
              <w:bottom w:val="single" w:sz="8" w:space="0" w:color="auto"/>
              <w:right w:val="single" w:sz="8" w:space="0" w:color="auto"/>
            </w:tcBorders>
            <w:shd w:val="clear" w:color="000000" w:fill="E8EDEE"/>
            <w:noWrap/>
            <w:vAlign w:val="center"/>
            <w:hideMark/>
          </w:tcPr>
          <w:p w14:paraId="4FDD41E1" w14:textId="77777777" w:rsidR="009845C2" w:rsidRPr="009845C2" w:rsidRDefault="009845C2" w:rsidP="009845C2">
            <w:pPr>
              <w:spacing w:after="0" w:line="240" w:lineRule="auto"/>
              <w:jc w:val="right"/>
              <w:rPr>
                <w:rFonts w:eastAsia="Times New Roman" w:cs="Calibri"/>
                <w:b/>
                <w:bCs/>
                <w:color w:val="000000"/>
                <w:sz w:val="20"/>
                <w:szCs w:val="20"/>
                <w:lang w:eastAsia="en-GB"/>
              </w:rPr>
            </w:pPr>
            <w:r w:rsidRPr="009845C2">
              <w:rPr>
                <w:rFonts w:eastAsia="Times New Roman" w:cs="Calibri"/>
                <w:b/>
                <w:bCs/>
                <w:color w:val="000000"/>
                <w:sz w:val="20"/>
                <w:szCs w:val="20"/>
                <w:lang w:eastAsia="en-GB"/>
              </w:rPr>
              <w:t>0</w:t>
            </w:r>
          </w:p>
        </w:tc>
        <w:tc>
          <w:tcPr>
            <w:tcW w:w="1266" w:type="dxa"/>
            <w:tcBorders>
              <w:top w:val="nil"/>
              <w:left w:val="nil"/>
              <w:bottom w:val="single" w:sz="8" w:space="0" w:color="auto"/>
              <w:right w:val="single" w:sz="8" w:space="0" w:color="auto"/>
            </w:tcBorders>
            <w:shd w:val="clear" w:color="000000" w:fill="E8EDEE"/>
            <w:noWrap/>
            <w:vAlign w:val="center"/>
            <w:hideMark/>
          </w:tcPr>
          <w:p w14:paraId="76352549" w14:textId="77777777" w:rsidR="009845C2" w:rsidRPr="009845C2" w:rsidRDefault="009845C2" w:rsidP="009845C2">
            <w:pPr>
              <w:spacing w:after="0" w:line="240" w:lineRule="auto"/>
              <w:jc w:val="right"/>
              <w:rPr>
                <w:rFonts w:eastAsia="Times New Roman" w:cs="Calibri"/>
                <w:b/>
                <w:bCs/>
                <w:color w:val="000000"/>
                <w:sz w:val="20"/>
                <w:szCs w:val="20"/>
                <w:lang w:eastAsia="en-GB"/>
              </w:rPr>
            </w:pPr>
            <w:r w:rsidRPr="009845C2">
              <w:rPr>
                <w:rFonts w:eastAsia="Times New Roman" w:cs="Calibri"/>
                <w:b/>
                <w:bCs/>
                <w:color w:val="000000"/>
                <w:sz w:val="20"/>
                <w:szCs w:val="20"/>
                <w:lang w:eastAsia="en-GB"/>
              </w:rPr>
              <w:t>2,014,143</w:t>
            </w:r>
          </w:p>
        </w:tc>
        <w:tc>
          <w:tcPr>
            <w:tcW w:w="1131" w:type="dxa"/>
            <w:tcBorders>
              <w:top w:val="nil"/>
              <w:left w:val="nil"/>
              <w:bottom w:val="single" w:sz="8" w:space="0" w:color="auto"/>
              <w:right w:val="single" w:sz="8" w:space="0" w:color="auto"/>
            </w:tcBorders>
            <w:shd w:val="clear" w:color="000000" w:fill="E8EDEE"/>
            <w:noWrap/>
            <w:vAlign w:val="center"/>
            <w:hideMark/>
          </w:tcPr>
          <w:p w14:paraId="6FE44579" w14:textId="77777777" w:rsidR="009845C2" w:rsidRPr="009845C2" w:rsidRDefault="009845C2" w:rsidP="009845C2">
            <w:pPr>
              <w:spacing w:after="0" w:line="240" w:lineRule="auto"/>
              <w:jc w:val="right"/>
              <w:rPr>
                <w:rFonts w:eastAsia="Times New Roman" w:cs="Calibri"/>
                <w:b/>
                <w:bCs/>
                <w:color w:val="000000"/>
                <w:sz w:val="20"/>
                <w:szCs w:val="20"/>
                <w:lang w:eastAsia="en-GB"/>
              </w:rPr>
            </w:pPr>
            <w:r w:rsidRPr="009845C2">
              <w:rPr>
                <w:rFonts w:eastAsia="Times New Roman" w:cs="Calibri"/>
                <w:b/>
                <w:bCs/>
                <w:color w:val="000000"/>
                <w:sz w:val="20"/>
                <w:szCs w:val="20"/>
                <w:lang w:eastAsia="en-GB"/>
              </w:rPr>
              <w:t>15,847,430</w:t>
            </w:r>
          </w:p>
        </w:tc>
        <w:tc>
          <w:tcPr>
            <w:tcW w:w="1453" w:type="dxa"/>
            <w:tcBorders>
              <w:top w:val="nil"/>
              <w:left w:val="nil"/>
              <w:bottom w:val="single" w:sz="8" w:space="0" w:color="auto"/>
              <w:right w:val="single" w:sz="8" w:space="0" w:color="auto"/>
            </w:tcBorders>
            <w:shd w:val="clear" w:color="000000" w:fill="E8EDEE"/>
            <w:noWrap/>
            <w:vAlign w:val="center"/>
            <w:hideMark/>
          </w:tcPr>
          <w:p w14:paraId="234A18C9" w14:textId="77777777" w:rsidR="009845C2" w:rsidRPr="009845C2" w:rsidRDefault="009845C2" w:rsidP="009845C2">
            <w:pPr>
              <w:spacing w:after="0" w:line="240" w:lineRule="auto"/>
              <w:jc w:val="right"/>
              <w:rPr>
                <w:rFonts w:eastAsia="Times New Roman" w:cs="Calibri"/>
                <w:b/>
                <w:bCs/>
                <w:color w:val="000000"/>
                <w:sz w:val="20"/>
                <w:szCs w:val="20"/>
                <w:lang w:eastAsia="en-GB"/>
              </w:rPr>
            </w:pPr>
            <w:r w:rsidRPr="009845C2">
              <w:rPr>
                <w:rFonts w:eastAsia="Times New Roman" w:cs="Calibri"/>
                <w:b/>
                <w:bCs/>
                <w:color w:val="000000"/>
                <w:sz w:val="20"/>
                <w:szCs w:val="20"/>
                <w:lang w:eastAsia="en-GB"/>
              </w:rPr>
              <w:t>56,217,491</w:t>
            </w:r>
          </w:p>
        </w:tc>
      </w:tr>
    </w:tbl>
    <w:p w14:paraId="3E4766A8" w14:textId="77777777" w:rsidR="00F02950" w:rsidRDefault="00F02950" w:rsidP="009A3494">
      <w:pPr>
        <w:ind w:left="720"/>
        <w:jc w:val="both"/>
        <w:rPr>
          <w:rFonts w:ascii="Arial" w:hAnsi="Arial" w:cs="Arial"/>
          <w:sz w:val="20"/>
          <w:szCs w:val="20"/>
        </w:rPr>
        <w:sectPr w:rsidR="00F02950" w:rsidSect="00F02950">
          <w:type w:val="continuous"/>
          <w:pgSz w:w="16838" w:h="11906" w:orient="landscape"/>
          <w:pgMar w:top="1418" w:right="1418" w:bottom="1418" w:left="1418" w:header="709" w:footer="709" w:gutter="0"/>
          <w:cols w:space="708"/>
          <w:docGrid w:linePitch="360"/>
        </w:sectPr>
      </w:pPr>
    </w:p>
    <w:p w14:paraId="5D7CE055" w14:textId="610A0329" w:rsidR="00F02950" w:rsidRDefault="00F02950" w:rsidP="00F02950">
      <w:pPr>
        <w:pStyle w:val="Heading4"/>
        <w:ind w:left="567"/>
        <w:rPr>
          <w:b/>
          <w:bCs/>
          <w:i w:val="0"/>
          <w:iCs w:val="0"/>
          <w:color w:val="auto"/>
        </w:rPr>
      </w:pPr>
      <w:r w:rsidRPr="00F02950">
        <w:rPr>
          <w:b/>
          <w:bCs/>
          <w:i w:val="0"/>
          <w:iCs w:val="0"/>
          <w:color w:val="auto"/>
        </w:rPr>
        <w:lastRenderedPageBreak/>
        <w:t>2.3.</w:t>
      </w:r>
      <w:r>
        <w:rPr>
          <w:b/>
          <w:bCs/>
          <w:i w:val="0"/>
          <w:iCs w:val="0"/>
          <w:color w:val="auto"/>
        </w:rPr>
        <w:t>2</w:t>
      </w:r>
      <w:r w:rsidRPr="00F02950">
        <w:rPr>
          <w:b/>
          <w:bCs/>
          <w:i w:val="0"/>
          <w:iCs w:val="0"/>
          <w:color w:val="auto"/>
        </w:rPr>
        <w:t xml:space="preserve"> </w:t>
      </w:r>
      <w:r w:rsidRPr="00F02950">
        <w:rPr>
          <w:rFonts w:ascii="Arial" w:hAnsi="Arial" w:cs="Arial"/>
          <w:b/>
          <w:bCs/>
          <w:i w:val="0"/>
          <w:iCs w:val="0"/>
          <w:color w:val="auto"/>
        </w:rPr>
        <w:t>BUDGET EXECUTION</w:t>
      </w:r>
    </w:p>
    <w:p w14:paraId="76EC4098" w14:textId="349A89AB" w:rsidR="00F02950" w:rsidRDefault="00F02950" w:rsidP="00F02950">
      <w:pPr>
        <w:ind w:left="851"/>
        <w:jc w:val="both"/>
        <w:rPr>
          <w:rFonts w:ascii="Arial" w:hAnsi="Arial" w:cs="Arial"/>
        </w:rPr>
      </w:pPr>
      <w:r w:rsidRPr="00F02950">
        <w:rPr>
          <w:rFonts w:ascii="Arial" w:hAnsi="Arial" w:cs="Arial"/>
        </w:rPr>
        <w:t>In 202</w:t>
      </w:r>
      <w:r>
        <w:rPr>
          <w:rFonts w:ascii="Arial" w:hAnsi="Arial" w:cs="Arial"/>
        </w:rPr>
        <w:t>1</w:t>
      </w:r>
      <w:r w:rsidRPr="00F02950">
        <w:rPr>
          <w:rFonts w:ascii="Arial" w:hAnsi="Arial" w:cs="Arial"/>
        </w:rPr>
        <w:t xml:space="preserve">, the level of </w:t>
      </w:r>
      <w:r>
        <w:rPr>
          <w:rFonts w:ascii="Arial" w:hAnsi="Arial" w:cs="Arial"/>
        </w:rPr>
        <w:t>commitments showed the highest rate of execution in the last 4 years. The main driver was the high execution rate observed for administrative expenses, which constitutes a record in JU’s history.</w:t>
      </w:r>
    </w:p>
    <w:p w14:paraId="5828326E" w14:textId="3418B537" w:rsidR="00F02950" w:rsidRDefault="00F02950" w:rsidP="00F02950">
      <w:pPr>
        <w:ind w:left="851"/>
        <w:jc w:val="both"/>
        <w:rPr>
          <w:rFonts w:ascii="Arial" w:hAnsi="Arial" w:cs="Arial"/>
        </w:rPr>
      </w:pPr>
      <w:r>
        <w:rPr>
          <w:rFonts w:ascii="Arial" w:hAnsi="Arial" w:cs="Arial"/>
        </w:rPr>
        <w:t xml:space="preserve">The payment execution rate decreased by 8 percentage points compared to 2020, affected by the rate of execution for H2020 payments. </w:t>
      </w:r>
    </w:p>
    <w:p w14:paraId="32ECCF4E" w14:textId="64001A8B" w:rsidR="00F02950" w:rsidRPr="00F02950" w:rsidRDefault="00F02950" w:rsidP="00F02950">
      <w:pPr>
        <w:ind w:left="851"/>
        <w:jc w:val="both"/>
        <w:rPr>
          <w:rFonts w:ascii="Arial" w:hAnsi="Arial" w:cs="Arial"/>
          <w:b/>
          <w:bCs/>
        </w:rPr>
      </w:pPr>
      <w:r w:rsidRPr="00F02950">
        <w:rPr>
          <w:rFonts w:ascii="Arial" w:hAnsi="Arial" w:cs="Arial"/>
          <w:b/>
          <w:bCs/>
        </w:rPr>
        <w:t xml:space="preserve">Figure </w:t>
      </w:r>
      <w:r w:rsidR="000C5BE7">
        <w:rPr>
          <w:rFonts w:ascii="Arial" w:hAnsi="Arial" w:cs="Arial"/>
          <w:b/>
          <w:bCs/>
        </w:rPr>
        <w:t>2.3.2</w:t>
      </w:r>
      <w:r w:rsidRPr="00F02950">
        <w:rPr>
          <w:rFonts w:ascii="Arial" w:hAnsi="Arial" w:cs="Arial"/>
          <w:b/>
          <w:bCs/>
        </w:rPr>
        <w:t>:</w:t>
      </w:r>
    </w:p>
    <w:p w14:paraId="3D5958DC" w14:textId="6E32B195" w:rsidR="009845C2" w:rsidRDefault="00F02950" w:rsidP="009A3494">
      <w:pPr>
        <w:ind w:left="720"/>
        <w:jc w:val="both"/>
        <w:rPr>
          <w:rFonts w:ascii="Arial" w:hAnsi="Arial" w:cs="Arial"/>
          <w:sz w:val="20"/>
          <w:szCs w:val="20"/>
        </w:rPr>
      </w:pPr>
      <w:r>
        <w:rPr>
          <w:noProof/>
          <w:lang w:eastAsia="en-GB"/>
        </w:rPr>
        <w:drawing>
          <wp:inline distT="0" distB="0" distL="0" distR="0" wp14:anchorId="29D3A621" wp14:editId="3799035A">
            <wp:extent cx="4819650" cy="2917825"/>
            <wp:effectExtent l="0" t="0" r="0" b="15875"/>
            <wp:docPr id="2" name="Chart 2">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6EC309F5" w14:textId="076B1C51" w:rsidR="00F02950" w:rsidRDefault="00F02950" w:rsidP="00F02950">
      <w:pPr>
        <w:ind w:left="-426"/>
        <w:jc w:val="both"/>
        <w:rPr>
          <w:rFonts w:ascii="Arial" w:hAnsi="Arial" w:cs="Arial"/>
          <w:sz w:val="20"/>
          <w:szCs w:val="20"/>
        </w:rPr>
      </w:pPr>
      <w:r>
        <w:rPr>
          <w:noProof/>
          <w:lang w:eastAsia="en-GB"/>
        </w:rPr>
        <w:drawing>
          <wp:anchor distT="0" distB="0" distL="114300" distR="114300" simplePos="0" relativeHeight="251660288" behindDoc="0" locked="0" layoutInCell="1" allowOverlap="1" wp14:anchorId="7B4E24D0" wp14:editId="462C748B">
            <wp:simplePos x="0" y="0"/>
            <wp:positionH relativeFrom="column">
              <wp:posOffset>-328295</wp:posOffset>
            </wp:positionH>
            <wp:positionV relativeFrom="paragraph">
              <wp:posOffset>8255</wp:posOffset>
            </wp:positionV>
            <wp:extent cx="2952750" cy="2924175"/>
            <wp:effectExtent l="0" t="0" r="0" b="9525"/>
            <wp:wrapSquare wrapText="bothSides"/>
            <wp:docPr id="3" name="Chart 3">
              <a:extLst xmlns:a="http://schemas.openxmlformats.org/drawingml/2006/main">
                <a:ext uri="{FF2B5EF4-FFF2-40B4-BE49-F238E27FC236}">
                  <a16:creationId xmlns:a16="http://schemas.microsoft.com/office/drawing/2014/main"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14:sizeRelH relativeFrom="margin">
              <wp14:pctWidth>0</wp14:pctWidth>
            </wp14:sizeRelH>
          </wp:anchor>
        </w:drawing>
      </w:r>
      <w:r>
        <w:rPr>
          <w:noProof/>
          <w:lang w:eastAsia="en-GB"/>
        </w:rPr>
        <w:drawing>
          <wp:inline distT="0" distB="0" distL="0" distR="0" wp14:anchorId="1E76FA07" wp14:editId="186FEF30">
            <wp:extent cx="2940050" cy="2915920"/>
            <wp:effectExtent l="0" t="0" r="12700" b="17780"/>
            <wp:docPr id="4" name="Chart 4">
              <a:extLst xmlns:a="http://schemas.openxmlformats.org/drawingml/2006/main">
                <a:ext uri="{FF2B5EF4-FFF2-40B4-BE49-F238E27FC236}">
                  <a16:creationId xmlns:a16="http://schemas.microsoft.com/office/drawing/2014/main" id="{63B91B48-EA31-4998-B760-E7302A1411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35904982" w14:textId="28EA9E8F" w:rsidR="00F02950" w:rsidRPr="00F02950" w:rsidRDefault="00F02950" w:rsidP="00F02950">
      <w:pPr>
        <w:ind w:left="-426"/>
        <w:jc w:val="both"/>
        <w:rPr>
          <w:rFonts w:ascii="Arial" w:hAnsi="Arial" w:cs="Arial"/>
          <w:sz w:val="20"/>
          <w:szCs w:val="20"/>
        </w:rPr>
      </w:pPr>
      <w:r w:rsidRPr="00F02950">
        <w:rPr>
          <w:rFonts w:ascii="Arial" w:hAnsi="Arial" w:cs="Arial"/>
          <w:sz w:val="20"/>
          <w:szCs w:val="20"/>
        </w:rPr>
        <w:t>The execution rates for the operational budget reached 9</w:t>
      </w:r>
      <w:r>
        <w:rPr>
          <w:rFonts w:ascii="Arial" w:hAnsi="Arial" w:cs="Arial"/>
          <w:sz w:val="20"/>
          <w:szCs w:val="20"/>
        </w:rPr>
        <w:t>8</w:t>
      </w:r>
      <w:r w:rsidRPr="00F02950">
        <w:rPr>
          <w:rFonts w:ascii="Arial" w:hAnsi="Arial" w:cs="Arial"/>
          <w:sz w:val="20"/>
          <w:szCs w:val="20"/>
        </w:rPr>
        <w:t xml:space="preserve">% and </w:t>
      </w:r>
      <w:r>
        <w:rPr>
          <w:rFonts w:ascii="Arial" w:hAnsi="Arial" w:cs="Arial"/>
          <w:sz w:val="20"/>
          <w:szCs w:val="20"/>
        </w:rPr>
        <w:t>88</w:t>
      </w:r>
      <w:r w:rsidRPr="00F02950">
        <w:rPr>
          <w:rFonts w:ascii="Arial" w:hAnsi="Arial" w:cs="Arial"/>
          <w:sz w:val="20"/>
          <w:szCs w:val="20"/>
        </w:rPr>
        <w:t>% for commitments and payments, respectively, as shown in figure.</w:t>
      </w:r>
    </w:p>
    <w:p w14:paraId="75BBA903" w14:textId="77777777" w:rsidR="00F02950" w:rsidRDefault="00F02950" w:rsidP="00F02950">
      <w:pPr>
        <w:ind w:left="-426"/>
        <w:jc w:val="both"/>
        <w:rPr>
          <w:rFonts w:ascii="Arial" w:hAnsi="Arial" w:cs="Arial"/>
          <w:sz w:val="20"/>
          <w:szCs w:val="20"/>
        </w:rPr>
      </w:pPr>
      <w:r w:rsidRPr="00F02950">
        <w:rPr>
          <w:rFonts w:ascii="Arial" w:hAnsi="Arial" w:cs="Arial"/>
          <w:sz w:val="20"/>
          <w:szCs w:val="20"/>
        </w:rPr>
        <w:t xml:space="preserve">The utilisation rates for administrative commitments and payments </w:t>
      </w:r>
      <w:r>
        <w:rPr>
          <w:rFonts w:ascii="Arial" w:hAnsi="Arial" w:cs="Arial"/>
          <w:sz w:val="20"/>
          <w:szCs w:val="20"/>
        </w:rPr>
        <w:t xml:space="preserve">improved from 2020 to 93% and 78% respectively. </w:t>
      </w:r>
    </w:p>
    <w:p w14:paraId="6ECEBCF6" w14:textId="77777777" w:rsidR="00F02950" w:rsidRDefault="00F02950" w:rsidP="00F02950">
      <w:pPr>
        <w:ind w:left="-426"/>
        <w:jc w:val="both"/>
        <w:rPr>
          <w:rFonts w:ascii="Arial" w:hAnsi="Arial" w:cs="Arial"/>
          <w:sz w:val="20"/>
          <w:szCs w:val="20"/>
        </w:rPr>
      </w:pPr>
      <w:r w:rsidRPr="00F02950">
        <w:rPr>
          <w:rFonts w:ascii="Arial" w:hAnsi="Arial" w:cs="Arial"/>
          <w:sz w:val="20"/>
          <w:szCs w:val="20"/>
        </w:rPr>
        <w:lastRenderedPageBreak/>
        <w:t>Further details on budget execution:</w:t>
      </w:r>
      <w:r>
        <w:rPr>
          <w:rFonts w:ascii="Arial" w:hAnsi="Arial" w:cs="Arial"/>
          <w:sz w:val="20"/>
          <w:szCs w:val="20"/>
        </w:rPr>
        <w:t xml:space="preserve"> </w:t>
      </w:r>
    </w:p>
    <w:p w14:paraId="40792963" w14:textId="77777777" w:rsidR="00F02950" w:rsidRPr="00F02950" w:rsidRDefault="00F02950" w:rsidP="00F02950">
      <w:pPr>
        <w:ind w:left="-426"/>
        <w:jc w:val="both"/>
        <w:rPr>
          <w:rFonts w:ascii="Arial" w:hAnsi="Arial" w:cs="Arial"/>
          <w:b/>
          <w:bCs/>
          <w:color w:val="00B0F0"/>
          <w:sz w:val="20"/>
          <w:szCs w:val="20"/>
        </w:rPr>
      </w:pPr>
      <w:r w:rsidRPr="00F02950">
        <w:rPr>
          <w:rFonts w:ascii="Arial" w:hAnsi="Arial" w:cs="Arial"/>
          <w:b/>
          <w:bCs/>
          <w:color w:val="00B0F0"/>
          <w:sz w:val="20"/>
          <w:szCs w:val="20"/>
        </w:rPr>
        <w:t>Revenues</w:t>
      </w:r>
    </w:p>
    <w:p w14:paraId="4ED4DBAD" w14:textId="7F91B9C3" w:rsidR="00F02950" w:rsidRDefault="00F02950" w:rsidP="00F02950">
      <w:pPr>
        <w:ind w:left="-426"/>
        <w:jc w:val="both"/>
        <w:rPr>
          <w:rFonts w:ascii="Arial" w:hAnsi="Arial" w:cs="Arial"/>
          <w:sz w:val="20"/>
          <w:szCs w:val="20"/>
        </w:rPr>
      </w:pPr>
      <w:r w:rsidRPr="00F02950">
        <w:rPr>
          <w:rFonts w:ascii="Arial" w:hAnsi="Arial" w:cs="Arial"/>
          <w:sz w:val="20"/>
          <w:szCs w:val="20"/>
        </w:rPr>
        <w:t>JU revenue for 202</w:t>
      </w:r>
      <w:r>
        <w:rPr>
          <w:rFonts w:ascii="Arial" w:hAnsi="Arial" w:cs="Arial"/>
          <w:sz w:val="20"/>
          <w:szCs w:val="20"/>
        </w:rPr>
        <w:t>1</w:t>
      </w:r>
      <w:r w:rsidRPr="00F02950">
        <w:rPr>
          <w:rFonts w:ascii="Arial" w:hAnsi="Arial" w:cs="Arial"/>
          <w:sz w:val="20"/>
          <w:szCs w:val="20"/>
        </w:rPr>
        <w:t>:</w:t>
      </w:r>
    </w:p>
    <w:p w14:paraId="1929FF7A" w14:textId="75561F0E" w:rsidR="00F02950" w:rsidRDefault="00F02950" w:rsidP="00F02950">
      <w:pPr>
        <w:ind w:left="-426"/>
        <w:jc w:val="both"/>
        <w:rPr>
          <w:b/>
          <w:bCs/>
        </w:rPr>
      </w:pPr>
      <w:r w:rsidRPr="00F02950">
        <w:rPr>
          <w:b/>
          <w:bCs/>
        </w:rPr>
        <w:t xml:space="preserve">TABLE </w:t>
      </w:r>
      <w:r w:rsidR="000C5BE7">
        <w:rPr>
          <w:b/>
          <w:bCs/>
        </w:rPr>
        <w:t>2.3.3</w:t>
      </w:r>
      <w:r w:rsidRPr="00F02950">
        <w:rPr>
          <w:b/>
          <w:bCs/>
        </w:rPr>
        <w:t>: IMPLEMENTATION OF REVENUES</w:t>
      </w:r>
    </w:p>
    <w:tbl>
      <w:tblPr>
        <w:tblW w:w="6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0"/>
        <w:gridCol w:w="1860"/>
        <w:gridCol w:w="2100"/>
      </w:tblGrid>
      <w:tr w:rsidR="00AF5369" w:rsidRPr="00AF5369" w14:paraId="3E839235" w14:textId="77777777" w:rsidTr="00AF5369">
        <w:trPr>
          <w:trHeight w:val="290"/>
          <w:jc w:val="center"/>
        </w:trPr>
        <w:tc>
          <w:tcPr>
            <w:tcW w:w="6360" w:type="dxa"/>
            <w:gridSpan w:val="3"/>
            <w:shd w:val="clear" w:color="000000" w:fill="92D050"/>
            <w:noWrap/>
            <w:vAlign w:val="bottom"/>
            <w:hideMark/>
          </w:tcPr>
          <w:p w14:paraId="32F00F31" w14:textId="77777777" w:rsidR="00AF5369" w:rsidRPr="00AF5369" w:rsidRDefault="00AF5369" w:rsidP="00AF5369">
            <w:pPr>
              <w:spacing w:after="0" w:line="240" w:lineRule="auto"/>
              <w:jc w:val="center"/>
              <w:rPr>
                <w:rFonts w:ascii="Trebuchet MS" w:eastAsia="Times New Roman" w:hAnsi="Trebuchet MS" w:cs="Calibri"/>
                <w:b/>
                <w:bCs/>
                <w:color w:val="000000"/>
                <w:lang w:eastAsia="en-GB"/>
              </w:rPr>
            </w:pPr>
            <w:r w:rsidRPr="00AF5369">
              <w:rPr>
                <w:rFonts w:ascii="Trebuchet MS" w:eastAsia="Times New Roman" w:hAnsi="Trebuchet MS" w:cs="Calibri"/>
                <w:b/>
                <w:bCs/>
                <w:color w:val="000000"/>
                <w:lang w:eastAsia="en-GB"/>
              </w:rPr>
              <w:t>Revenue (in EUR)</w:t>
            </w:r>
          </w:p>
        </w:tc>
      </w:tr>
      <w:tr w:rsidR="00AF5369" w:rsidRPr="00AF5369" w14:paraId="08FCBFD2" w14:textId="77777777" w:rsidTr="00AF5369">
        <w:trPr>
          <w:trHeight w:val="810"/>
          <w:jc w:val="center"/>
        </w:trPr>
        <w:tc>
          <w:tcPr>
            <w:tcW w:w="2400" w:type="dxa"/>
            <w:shd w:val="clear" w:color="000000" w:fill="92D050"/>
            <w:noWrap/>
            <w:vAlign w:val="bottom"/>
            <w:hideMark/>
          </w:tcPr>
          <w:p w14:paraId="588CD910" w14:textId="77777777" w:rsidR="00AF5369" w:rsidRPr="00AF5369" w:rsidRDefault="00AF5369" w:rsidP="00AF5369">
            <w:pPr>
              <w:spacing w:after="0" w:line="240" w:lineRule="auto"/>
              <w:rPr>
                <w:rFonts w:ascii="Trebuchet MS" w:eastAsia="Times New Roman" w:hAnsi="Trebuchet MS" w:cs="Calibri"/>
                <w:b/>
                <w:bCs/>
                <w:color w:val="000000"/>
                <w:sz w:val="20"/>
                <w:szCs w:val="20"/>
                <w:lang w:eastAsia="en-GB"/>
              </w:rPr>
            </w:pPr>
            <w:r w:rsidRPr="00AF5369">
              <w:rPr>
                <w:rFonts w:ascii="Trebuchet MS" w:eastAsia="Times New Roman" w:hAnsi="Trebuchet MS" w:cs="Calibri"/>
                <w:b/>
                <w:bCs/>
                <w:color w:val="000000"/>
                <w:sz w:val="20"/>
                <w:szCs w:val="20"/>
                <w:lang w:eastAsia="en-GB"/>
              </w:rPr>
              <w:t>Heading</w:t>
            </w:r>
          </w:p>
        </w:tc>
        <w:tc>
          <w:tcPr>
            <w:tcW w:w="1860" w:type="dxa"/>
            <w:shd w:val="clear" w:color="000000" w:fill="92D050"/>
            <w:vAlign w:val="center"/>
            <w:hideMark/>
          </w:tcPr>
          <w:p w14:paraId="2E70248A" w14:textId="77777777" w:rsidR="00AF5369" w:rsidRPr="00AF5369" w:rsidRDefault="00AF5369" w:rsidP="00AF5369">
            <w:pPr>
              <w:spacing w:after="0" w:line="240" w:lineRule="auto"/>
              <w:jc w:val="center"/>
              <w:rPr>
                <w:rFonts w:ascii="Trebuchet MS" w:eastAsia="Times New Roman" w:hAnsi="Trebuchet MS" w:cs="Calibri"/>
                <w:b/>
                <w:bCs/>
                <w:color w:val="000000"/>
                <w:sz w:val="20"/>
                <w:szCs w:val="20"/>
                <w:lang w:eastAsia="en-GB"/>
              </w:rPr>
            </w:pPr>
            <w:r w:rsidRPr="00AF5369">
              <w:rPr>
                <w:rFonts w:ascii="Trebuchet MS" w:eastAsia="Times New Roman" w:hAnsi="Trebuchet MS" w:cs="Calibri"/>
                <w:b/>
                <w:bCs/>
                <w:color w:val="000000"/>
                <w:sz w:val="20"/>
                <w:szCs w:val="20"/>
                <w:lang w:eastAsia="en-GB"/>
              </w:rPr>
              <w:t>Income appropriation (budgeted)</w:t>
            </w:r>
          </w:p>
        </w:tc>
        <w:tc>
          <w:tcPr>
            <w:tcW w:w="2100" w:type="dxa"/>
            <w:shd w:val="clear" w:color="000000" w:fill="92D050"/>
            <w:vAlign w:val="bottom"/>
            <w:hideMark/>
          </w:tcPr>
          <w:p w14:paraId="1F3680ED" w14:textId="77777777" w:rsidR="00AF5369" w:rsidRPr="00AF5369" w:rsidRDefault="00AF5369" w:rsidP="00AF5369">
            <w:pPr>
              <w:spacing w:after="0" w:line="240" w:lineRule="auto"/>
              <w:jc w:val="center"/>
              <w:rPr>
                <w:rFonts w:ascii="Trebuchet MS" w:eastAsia="Times New Roman" w:hAnsi="Trebuchet MS" w:cs="Calibri"/>
                <w:b/>
                <w:bCs/>
                <w:color w:val="000000"/>
                <w:sz w:val="20"/>
                <w:szCs w:val="20"/>
                <w:lang w:eastAsia="en-GB"/>
              </w:rPr>
            </w:pPr>
            <w:r w:rsidRPr="00AF5369">
              <w:rPr>
                <w:rFonts w:ascii="Trebuchet MS" w:eastAsia="Times New Roman" w:hAnsi="Trebuchet MS" w:cs="Calibri"/>
                <w:b/>
                <w:bCs/>
                <w:color w:val="000000"/>
                <w:sz w:val="20"/>
                <w:szCs w:val="20"/>
                <w:lang w:eastAsia="en-GB"/>
              </w:rPr>
              <w:t>Cashed</w:t>
            </w:r>
          </w:p>
        </w:tc>
      </w:tr>
      <w:tr w:rsidR="00AF5369" w:rsidRPr="00AF5369" w14:paraId="017EDD4E" w14:textId="77777777" w:rsidTr="00AF5369">
        <w:trPr>
          <w:trHeight w:val="580"/>
          <w:jc w:val="center"/>
        </w:trPr>
        <w:tc>
          <w:tcPr>
            <w:tcW w:w="2400" w:type="dxa"/>
            <w:shd w:val="clear" w:color="auto" w:fill="auto"/>
            <w:vAlign w:val="bottom"/>
            <w:hideMark/>
          </w:tcPr>
          <w:p w14:paraId="635785D9" w14:textId="77777777" w:rsidR="00AF5369" w:rsidRPr="00AF5369" w:rsidRDefault="00AF5369" w:rsidP="00AF5369">
            <w:pPr>
              <w:spacing w:after="0" w:line="240" w:lineRule="auto"/>
              <w:rPr>
                <w:rFonts w:ascii="Trebuchet MS" w:eastAsia="Times New Roman" w:hAnsi="Trebuchet MS" w:cs="Calibri"/>
                <w:color w:val="000000"/>
                <w:lang w:eastAsia="en-GB"/>
              </w:rPr>
            </w:pPr>
            <w:r w:rsidRPr="00AF5369">
              <w:rPr>
                <w:rFonts w:ascii="Trebuchet MS" w:eastAsia="Times New Roman" w:hAnsi="Trebuchet MS" w:cs="Calibri"/>
                <w:color w:val="000000"/>
                <w:lang w:eastAsia="en-GB"/>
              </w:rPr>
              <w:t>Operational expenditure, Union</w:t>
            </w:r>
          </w:p>
        </w:tc>
        <w:tc>
          <w:tcPr>
            <w:tcW w:w="1860" w:type="dxa"/>
            <w:shd w:val="clear" w:color="auto" w:fill="auto"/>
            <w:noWrap/>
            <w:vAlign w:val="bottom"/>
            <w:hideMark/>
          </w:tcPr>
          <w:p w14:paraId="2FB6B644" w14:textId="77777777" w:rsidR="00AF5369" w:rsidRPr="00AF5369" w:rsidRDefault="00AF5369" w:rsidP="00AF5369">
            <w:pPr>
              <w:spacing w:after="0" w:line="240" w:lineRule="auto"/>
              <w:rPr>
                <w:rFonts w:ascii="Trebuchet MS" w:eastAsia="Times New Roman" w:hAnsi="Trebuchet MS" w:cs="Calibri"/>
                <w:color w:val="000000"/>
                <w:lang w:eastAsia="en-GB"/>
              </w:rPr>
            </w:pPr>
            <w:r w:rsidRPr="00AF5369">
              <w:rPr>
                <w:rFonts w:ascii="Trebuchet MS" w:eastAsia="Times New Roman" w:hAnsi="Trebuchet MS" w:cs="Calibri"/>
                <w:color w:val="000000"/>
                <w:lang w:eastAsia="en-GB"/>
              </w:rPr>
              <w:t xml:space="preserve">        44,655,360 </w:t>
            </w:r>
          </w:p>
        </w:tc>
        <w:tc>
          <w:tcPr>
            <w:tcW w:w="2100" w:type="dxa"/>
            <w:shd w:val="clear" w:color="auto" w:fill="auto"/>
            <w:noWrap/>
            <w:vAlign w:val="bottom"/>
            <w:hideMark/>
          </w:tcPr>
          <w:p w14:paraId="0F7B1FC7" w14:textId="77777777" w:rsidR="00AF5369" w:rsidRPr="00AF5369" w:rsidRDefault="00AF5369" w:rsidP="00AF5369">
            <w:pPr>
              <w:spacing w:after="0" w:line="240" w:lineRule="auto"/>
              <w:rPr>
                <w:rFonts w:ascii="Trebuchet MS" w:eastAsia="Times New Roman" w:hAnsi="Trebuchet MS" w:cs="Calibri"/>
                <w:color w:val="000000"/>
                <w:lang w:eastAsia="en-GB"/>
              </w:rPr>
            </w:pPr>
            <w:r w:rsidRPr="00AF5369">
              <w:rPr>
                <w:rFonts w:ascii="Trebuchet MS" w:eastAsia="Times New Roman" w:hAnsi="Trebuchet MS" w:cs="Calibri"/>
                <w:color w:val="000000"/>
                <w:lang w:eastAsia="en-GB"/>
              </w:rPr>
              <w:t xml:space="preserve">           44,655,360 </w:t>
            </w:r>
          </w:p>
        </w:tc>
      </w:tr>
      <w:tr w:rsidR="00AF5369" w:rsidRPr="00AF5369" w14:paraId="68A18996" w14:textId="77777777" w:rsidTr="00AF5369">
        <w:trPr>
          <w:trHeight w:val="580"/>
          <w:jc w:val="center"/>
        </w:trPr>
        <w:tc>
          <w:tcPr>
            <w:tcW w:w="2400" w:type="dxa"/>
            <w:shd w:val="clear" w:color="auto" w:fill="auto"/>
            <w:vAlign w:val="bottom"/>
            <w:hideMark/>
          </w:tcPr>
          <w:p w14:paraId="7AFC9BCD" w14:textId="77777777" w:rsidR="00AF5369" w:rsidRPr="00AF5369" w:rsidRDefault="00AF5369" w:rsidP="00AF5369">
            <w:pPr>
              <w:spacing w:after="0" w:line="240" w:lineRule="auto"/>
              <w:rPr>
                <w:rFonts w:ascii="Trebuchet MS" w:eastAsia="Times New Roman" w:hAnsi="Trebuchet MS" w:cs="Calibri"/>
                <w:color w:val="000000"/>
                <w:lang w:eastAsia="en-GB"/>
              </w:rPr>
            </w:pPr>
            <w:r w:rsidRPr="00AF5369">
              <w:rPr>
                <w:rFonts w:ascii="Trebuchet MS" w:eastAsia="Times New Roman" w:hAnsi="Trebuchet MS" w:cs="Calibri"/>
                <w:color w:val="000000"/>
                <w:lang w:eastAsia="en-GB"/>
              </w:rPr>
              <w:t>Administrative expenditure, Union</w:t>
            </w:r>
          </w:p>
        </w:tc>
        <w:tc>
          <w:tcPr>
            <w:tcW w:w="1860" w:type="dxa"/>
            <w:shd w:val="clear" w:color="auto" w:fill="auto"/>
            <w:noWrap/>
            <w:vAlign w:val="bottom"/>
            <w:hideMark/>
          </w:tcPr>
          <w:p w14:paraId="47F1F698" w14:textId="77777777" w:rsidR="00AF5369" w:rsidRPr="00AF5369" w:rsidRDefault="00AF5369" w:rsidP="00AF5369">
            <w:pPr>
              <w:spacing w:after="0" w:line="240" w:lineRule="auto"/>
              <w:rPr>
                <w:rFonts w:ascii="Trebuchet MS" w:eastAsia="Times New Roman" w:hAnsi="Trebuchet MS" w:cs="Calibri"/>
                <w:color w:val="000000"/>
                <w:lang w:eastAsia="en-GB"/>
              </w:rPr>
            </w:pPr>
            <w:r w:rsidRPr="00AF5369">
              <w:rPr>
                <w:rFonts w:ascii="Trebuchet MS" w:eastAsia="Times New Roman" w:hAnsi="Trebuchet MS" w:cs="Calibri"/>
                <w:color w:val="000000"/>
                <w:lang w:eastAsia="en-GB"/>
              </w:rPr>
              <w:t xml:space="preserve">          2,649,250 </w:t>
            </w:r>
          </w:p>
        </w:tc>
        <w:tc>
          <w:tcPr>
            <w:tcW w:w="2100" w:type="dxa"/>
            <w:shd w:val="clear" w:color="auto" w:fill="auto"/>
            <w:noWrap/>
            <w:vAlign w:val="bottom"/>
            <w:hideMark/>
          </w:tcPr>
          <w:p w14:paraId="288DF29F" w14:textId="77777777" w:rsidR="00AF5369" w:rsidRPr="00AF5369" w:rsidRDefault="00AF5369" w:rsidP="00AF5369">
            <w:pPr>
              <w:spacing w:after="0" w:line="240" w:lineRule="auto"/>
              <w:rPr>
                <w:rFonts w:ascii="Trebuchet MS" w:eastAsia="Times New Roman" w:hAnsi="Trebuchet MS" w:cs="Calibri"/>
                <w:color w:val="000000"/>
                <w:lang w:eastAsia="en-GB"/>
              </w:rPr>
            </w:pPr>
            <w:r w:rsidRPr="00AF5369">
              <w:rPr>
                <w:rFonts w:ascii="Trebuchet MS" w:eastAsia="Times New Roman" w:hAnsi="Trebuchet MS" w:cs="Calibri"/>
                <w:color w:val="000000"/>
                <w:lang w:eastAsia="en-GB"/>
              </w:rPr>
              <w:t xml:space="preserve">             2,649,250 </w:t>
            </w:r>
          </w:p>
        </w:tc>
      </w:tr>
      <w:tr w:rsidR="00AF5369" w:rsidRPr="00AF5369" w14:paraId="6902B76C" w14:textId="77777777" w:rsidTr="00AF5369">
        <w:trPr>
          <w:trHeight w:val="580"/>
          <w:jc w:val="center"/>
        </w:trPr>
        <w:tc>
          <w:tcPr>
            <w:tcW w:w="2400" w:type="dxa"/>
            <w:shd w:val="clear" w:color="auto" w:fill="auto"/>
            <w:vAlign w:val="bottom"/>
            <w:hideMark/>
          </w:tcPr>
          <w:p w14:paraId="182838CE" w14:textId="77777777" w:rsidR="00AF5369" w:rsidRPr="00AF5369" w:rsidRDefault="00AF5369" w:rsidP="00AF5369">
            <w:pPr>
              <w:spacing w:after="0" w:line="240" w:lineRule="auto"/>
              <w:rPr>
                <w:rFonts w:ascii="Trebuchet MS" w:eastAsia="Times New Roman" w:hAnsi="Trebuchet MS" w:cs="Calibri"/>
                <w:color w:val="000000"/>
                <w:lang w:eastAsia="en-GB"/>
              </w:rPr>
            </w:pPr>
            <w:r w:rsidRPr="00AF5369">
              <w:rPr>
                <w:rFonts w:ascii="Trebuchet MS" w:eastAsia="Times New Roman" w:hAnsi="Trebuchet MS" w:cs="Calibri"/>
                <w:color w:val="000000"/>
                <w:lang w:eastAsia="en-GB"/>
              </w:rPr>
              <w:t>Administrative expenditure, IG</w:t>
            </w:r>
          </w:p>
        </w:tc>
        <w:tc>
          <w:tcPr>
            <w:tcW w:w="1860" w:type="dxa"/>
            <w:shd w:val="clear" w:color="auto" w:fill="auto"/>
            <w:noWrap/>
            <w:vAlign w:val="bottom"/>
            <w:hideMark/>
          </w:tcPr>
          <w:p w14:paraId="5A17ED3C" w14:textId="77777777" w:rsidR="00AF5369" w:rsidRPr="00AF5369" w:rsidRDefault="00AF5369" w:rsidP="00AF5369">
            <w:pPr>
              <w:spacing w:after="0" w:line="240" w:lineRule="auto"/>
              <w:rPr>
                <w:rFonts w:ascii="Trebuchet MS" w:eastAsia="Times New Roman" w:hAnsi="Trebuchet MS" w:cs="Calibri"/>
                <w:color w:val="000000"/>
                <w:lang w:eastAsia="en-GB"/>
              </w:rPr>
            </w:pPr>
            <w:r w:rsidRPr="00AF5369">
              <w:rPr>
                <w:rFonts w:ascii="Trebuchet MS" w:eastAsia="Times New Roman" w:hAnsi="Trebuchet MS" w:cs="Calibri"/>
                <w:color w:val="000000"/>
                <w:lang w:eastAsia="en-GB"/>
              </w:rPr>
              <w:t xml:space="preserve">          2,278,355 </w:t>
            </w:r>
          </w:p>
        </w:tc>
        <w:tc>
          <w:tcPr>
            <w:tcW w:w="2100" w:type="dxa"/>
            <w:shd w:val="clear" w:color="auto" w:fill="auto"/>
            <w:noWrap/>
            <w:vAlign w:val="bottom"/>
            <w:hideMark/>
          </w:tcPr>
          <w:p w14:paraId="62F4EBB0" w14:textId="77777777" w:rsidR="00AF5369" w:rsidRPr="00AF5369" w:rsidRDefault="00AF5369" w:rsidP="00AF5369">
            <w:pPr>
              <w:spacing w:after="0" w:line="240" w:lineRule="auto"/>
              <w:rPr>
                <w:rFonts w:ascii="Trebuchet MS" w:eastAsia="Times New Roman" w:hAnsi="Trebuchet MS" w:cs="Calibri"/>
                <w:color w:val="000000"/>
                <w:lang w:eastAsia="en-GB"/>
              </w:rPr>
            </w:pPr>
            <w:r w:rsidRPr="00AF5369">
              <w:rPr>
                <w:rFonts w:ascii="Trebuchet MS" w:eastAsia="Times New Roman" w:hAnsi="Trebuchet MS" w:cs="Calibri"/>
                <w:color w:val="000000"/>
                <w:lang w:eastAsia="en-GB"/>
              </w:rPr>
              <w:t xml:space="preserve">             2,278,355 </w:t>
            </w:r>
          </w:p>
        </w:tc>
      </w:tr>
      <w:tr w:rsidR="00AF5369" w:rsidRPr="00AF5369" w14:paraId="22433016" w14:textId="77777777" w:rsidTr="00AF5369">
        <w:trPr>
          <w:trHeight w:val="580"/>
          <w:jc w:val="center"/>
        </w:trPr>
        <w:tc>
          <w:tcPr>
            <w:tcW w:w="2400" w:type="dxa"/>
            <w:shd w:val="clear" w:color="auto" w:fill="auto"/>
            <w:vAlign w:val="bottom"/>
            <w:hideMark/>
          </w:tcPr>
          <w:p w14:paraId="28438713" w14:textId="77777777" w:rsidR="00AF5369" w:rsidRPr="00AF5369" w:rsidRDefault="00AF5369" w:rsidP="00AF5369">
            <w:pPr>
              <w:spacing w:after="0" w:line="240" w:lineRule="auto"/>
              <w:rPr>
                <w:rFonts w:ascii="Trebuchet MS" w:eastAsia="Times New Roman" w:hAnsi="Trebuchet MS" w:cs="Calibri"/>
                <w:color w:val="000000"/>
                <w:lang w:eastAsia="en-GB"/>
              </w:rPr>
            </w:pPr>
            <w:r w:rsidRPr="00AF5369">
              <w:rPr>
                <w:rFonts w:ascii="Trebuchet MS" w:eastAsia="Times New Roman" w:hAnsi="Trebuchet MS" w:cs="Calibri"/>
                <w:color w:val="000000"/>
                <w:lang w:eastAsia="en-GB"/>
              </w:rPr>
              <w:t>Administrative expenditure, RG</w:t>
            </w:r>
          </w:p>
        </w:tc>
        <w:tc>
          <w:tcPr>
            <w:tcW w:w="1860" w:type="dxa"/>
            <w:shd w:val="clear" w:color="auto" w:fill="auto"/>
            <w:noWrap/>
            <w:vAlign w:val="bottom"/>
            <w:hideMark/>
          </w:tcPr>
          <w:p w14:paraId="41A19967" w14:textId="77777777" w:rsidR="00AF5369" w:rsidRPr="00AF5369" w:rsidRDefault="00AF5369" w:rsidP="00AF5369">
            <w:pPr>
              <w:spacing w:after="0" w:line="240" w:lineRule="auto"/>
              <w:rPr>
                <w:rFonts w:ascii="Trebuchet MS" w:eastAsia="Times New Roman" w:hAnsi="Trebuchet MS" w:cs="Calibri"/>
                <w:color w:val="000000"/>
                <w:lang w:eastAsia="en-GB"/>
              </w:rPr>
            </w:pPr>
            <w:r w:rsidRPr="00AF5369">
              <w:rPr>
                <w:rFonts w:ascii="Trebuchet MS" w:eastAsia="Times New Roman" w:hAnsi="Trebuchet MS" w:cs="Calibri"/>
                <w:color w:val="000000"/>
                <w:lang w:eastAsia="en-GB"/>
              </w:rPr>
              <w:t xml:space="preserve">             370,895 </w:t>
            </w:r>
          </w:p>
        </w:tc>
        <w:tc>
          <w:tcPr>
            <w:tcW w:w="2100" w:type="dxa"/>
            <w:shd w:val="clear" w:color="auto" w:fill="auto"/>
            <w:noWrap/>
            <w:vAlign w:val="bottom"/>
            <w:hideMark/>
          </w:tcPr>
          <w:p w14:paraId="6F86D26A" w14:textId="77777777" w:rsidR="00AF5369" w:rsidRPr="00AF5369" w:rsidRDefault="00AF5369" w:rsidP="00AF5369">
            <w:pPr>
              <w:spacing w:after="0" w:line="240" w:lineRule="auto"/>
              <w:rPr>
                <w:rFonts w:ascii="Trebuchet MS" w:eastAsia="Times New Roman" w:hAnsi="Trebuchet MS" w:cs="Calibri"/>
                <w:color w:val="000000"/>
                <w:lang w:eastAsia="en-GB"/>
              </w:rPr>
            </w:pPr>
            <w:r w:rsidRPr="00AF5369">
              <w:rPr>
                <w:rFonts w:ascii="Trebuchet MS" w:eastAsia="Times New Roman" w:hAnsi="Trebuchet MS" w:cs="Calibri"/>
                <w:color w:val="000000"/>
                <w:lang w:eastAsia="en-GB"/>
              </w:rPr>
              <w:t xml:space="preserve">                370,895 </w:t>
            </w:r>
          </w:p>
        </w:tc>
      </w:tr>
      <w:tr w:rsidR="00AF5369" w:rsidRPr="00AF5369" w14:paraId="4C2EE4E3" w14:textId="77777777" w:rsidTr="00AF5369">
        <w:trPr>
          <w:trHeight w:val="290"/>
          <w:jc w:val="center"/>
        </w:trPr>
        <w:tc>
          <w:tcPr>
            <w:tcW w:w="2400" w:type="dxa"/>
            <w:shd w:val="clear" w:color="auto" w:fill="auto"/>
            <w:vAlign w:val="bottom"/>
            <w:hideMark/>
          </w:tcPr>
          <w:p w14:paraId="06986DF9" w14:textId="77777777" w:rsidR="00AF5369" w:rsidRPr="00AF5369" w:rsidRDefault="00AF5369" w:rsidP="00AF5369">
            <w:pPr>
              <w:spacing w:after="0" w:line="240" w:lineRule="auto"/>
              <w:rPr>
                <w:rFonts w:ascii="Trebuchet MS" w:eastAsia="Times New Roman" w:hAnsi="Trebuchet MS" w:cs="Calibri"/>
                <w:color w:val="000000"/>
                <w:lang w:eastAsia="en-GB"/>
              </w:rPr>
            </w:pPr>
            <w:r w:rsidRPr="00AF5369">
              <w:rPr>
                <w:rFonts w:ascii="Trebuchet MS" w:eastAsia="Times New Roman" w:hAnsi="Trebuchet MS" w:cs="Calibri"/>
                <w:color w:val="000000"/>
                <w:lang w:eastAsia="en-GB"/>
              </w:rPr>
              <w:t>Recoveries</w:t>
            </w:r>
          </w:p>
        </w:tc>
        <w:tc>
          <w:tcPr>
            <w:tcW w:w="1860" w:type="dxa"/>
            <w:shd w:val="clear" w:color="auto" w:fill="auto"/>
            <w:noWrap/>
            <w:vAlign w:val="bottom"/>
            <w:hideMark/>
          </w:tcPr>
          <w:p w14:paraId="20BFA2DB" w14:textId="77777777" w:rsidR="00AF5369" w:rsidRPr="00AF5369" w:rsidRDefault="00AF5369" w:rsidP="00AF5369">
            <w:pPr>
              <w:spacing w:after="0" w:line="240" w:lineRule="auto"/>
              <w:rPr>
                <w:rFonts w:ascii="Trebuchet MS" w:eastAsia="Times New Roman" w:hAnsi="Trebuchet MS" w:cs="Calibri"/>
                <w:color w:val="000000"/>
                <w:lang w:eastAsia="en-GB"/>
              </w:rPr>
            </w:pPr>
          </w:p>
        </w:tc>
        <w:tc>
          <w:tcPr>
            <w:tcW w:w="2100" w:type="dxa"/>
            <w:shd w:val="clear" w:color="auto" w:fill="auto"/>
            <w:noWrap/>
            <w:vAlign w:val="bottom"/>
            <w:hideMark/>
          </w:tcPr>
          <w:p w14:paraId="72D76447" w14:textId="77777777" w:rsidR="00AF5369" w:rsidRPr="00AF5369" w:rsidRDefault="00AF5369" w:rsidP="00AF5369">
            <w:pPr>
              <w:spacing w:after="0" w:line="240" w:lineRule="auto"/>
              <w:rPr>
                <w:rFonts w:ascii="Trebuchet MS" w:eastAsia="Times New Roman" w:hAnsi="Trebuchet MS" w:cs="Calibri"/>
                <w:color w:val="000000"/>
                <w:lang w:eastAsia="en-GB"/>
              </w:rPr>
            </w:pPr>
            <w:r w:rsidRPr="00AF5369">
              <w:rPr>
                <w:rFonts w:ascii="Trebuchet MS" w:eastAsia="Times New Roman" w:hAnsi="Trebuchet MS" w:cs="Calibri"/>
                <w:color w:val="000000"/>
                <w:lang w:eastAsia="en-GB"/>
              </w:rPr>
              <w:t xml:space="preserve">             2,015,423 </w:t>
            </w:r>
          </w:p>
        </w:tc>
      </w:tr>
      <w:tr w:rsidR="00AF5369" w:rsidRPr="00AF5369" w14:paraId="059DD7DE" w14:textId="77777777" w:rsidTr="00AF5369">
        <w:trPr>
          <w:trHeight w:val="580"/>
          <w:jc w:val="center"/>
        </w:trPr>
        <w:tc>
          <w:tcPr>
            <w:tcW w:w="2400" w:type="dxa"/>
            <w:shd w:val="clear" w:color="auto" w:fill="auto"/>
            <w:vAlign w:val="bottom"/>
            <w:hideMark/>
          </w:tcPr>
          <w:p w14:paraId="3E0FC449" w14:textId="77777777" w:rsidR="00AF5369" w:rsidRPr="00AF5369" w:rsidRDefault="00AF5369" w:rsidP="00AF5369">
            <w:pPr>
              <w:spacing w:after="0" w:line="240" w:lineRule="auto"/>
              <w:rPr>
                <w:rFonts w:ascii="Trebuchet MS" w:eastAsia="Times New Roman" w:hAnsi="Trebuchet MS" w:cs="Calibri"/>
                <w:color w:val="000000"/>
                <w:lang w:eastAsia="en-GB"/>
              </w:rPr>
            </w:pPr>
            <w:r w:rsidRPr="00AF5369">
              <w:rPr>
                <w:rFonts w:ascii="Trebuchet MS" w:eastAsia="Times New Roman" w:hAnsi="Trebuchet MS" w:cs="Calibri"/>
                <w:color w:val="000000"/>
                <w:lang w:eastAsia="en-GB"/>
              </w:rPr>
              <w:t>Reactivation of appropriations</w:t>
            </w:r>
          </w:p>
        </w:tc>
        <w:tc>
          <w:tcPr>
            <w:tcW w:w="1860" w:type="dxa"/>
            <w:shd w:val="clear" w:color="auto" w:fill="auto"/>
            <w:noWrap/>
            <w:vAlign w:val="bottom"/>
            <w:hideMark/>
          </w:tcPr>
          <w:p w14:paraId="7DEA0CF7" w14:textId="77777777" w:rsidR="00AF5369" w:rsidRPr="00AF5369" w:rsidRDefault="00AF5369" w:rsidP="00AF5369">
            <w:pPr>
              <w:spacing w:after="0" w:line="240" w:lineRule="auto"/>
              <w:rPr>
                <w:rFonts w:ascii="Trebuchet MS" w:eastAsia="Times New Roman" w:hAnsi="Trebuchet MS" w:cs="Calibri"/>
                <w:color w:val="000000"/>
                <w:lang w:eastAsia="en-GB"/>
              </w:rPr>
            </w:pPr>
            <w:r w:rsidRPr="00AF5369">
              <w:rPr>
                <w:rFonts w:ascii="Trebuchet MS" w:eastAsia="Times New Roman" w:hAnsi="Trebuchet MS" w:cs="Calibri"/>
                <w:color w:val="000000"/>
                <w:lang w:eastAsia="en-GB"/>
              </w:rPr>
              <w:t xml:space="preserve">          4,081,303 </w:t>
            </w:r>
          </w:p>
        </w:tc>
        <w:tc>
          <w:tcPr>
            <w:tcW w:w="2100" w:type="dxa"/>
            <w:shd w:val="clear" w:color="auto" w:fill="auto"/>
            <w:noWrap/>
            <w:vAlign w:val="bottom"/>
            <w:hideMark/>
          </w:tcPr>
          <w:p w14:paraId="170067E1" w14:textId="77777777" w:rsidR="00AF5369" w:rsidRPr="00AF5369" w:rsidRDefault="00AF5369" w:rsidP="00AF5369">
            <w:pPr>
              <w:spacing w:after="0" w:line="240" w:lineRule="auto"/>
              <w:rPr>
                <w:rFonts w:ascii="Trebuchet MS" w:eastAsia="Times New Roman" w:hAnsi="Trebuchet MS" w:cs="Calibri"/>
                <w:color w:val="000000"/>
                <w:lang w:eastAsia="en-GB"/>
              </w:rPr>
            </w:pPr>
          </w:p>
        </w:tc>
      </w:tr>
      <w:tr w:rsidR="00AF5369" w:rsidRPr="00AF5369" w14:paraId="5392D4B8" w14:textId="77777777" w:rsidTr="00AF5369">
        <w:trPr>
          <w:trHeight w:val="290"/>
          <w:jc w:val="center"/>
        </w:trPr>
        <w:tc>
          <w:tcPr>
            <w:tcW w:w="2400" w:type="dxa"/>
            <w:shd w:val="clear" w:color="000000" w:fill="E8EDEE"/>
            <w:vAlign w:val="bottom"/>
            <w:hideMark/>
          </w:tcPr>
          <w:p w14:paraId="136F0ACF" w14:textId="77777777" w:rsidR="00AF5369" w:rsidRPr="00AF5369" w:rsidRDefault="00AF5369" w:rsidP="00AF5369">
            <w:pPr>
              <w:spacing w:after="0" w:line="240" w:lineRule="auto"/>
              <w:rPr>
                <w:rFonts w:ascii="Trebuchet MS" w:eastAsia="Times New Roman" w:hAnsi="Trebuchet MS" w:cs="Calibri"/>
                <w:b/>
                <w:bCs/>
                <w:color w:val="000000"/>
                <w:lang w:eastAsia="en-GB"/>
              </w:rPr>
            </w:pPr>
            <w:r w:rsidRPr="00AF5369">
              <w:rPr>
                <w:rFonts w:ascii="Trebuchet MS" w:eastAsia="Times New Roman" w:hAnsi="Trebuchet MS" w:cs="Calibri"/>
                <w:b/>
                <w:bCs/>
                <w:color w:val="000000"/>
                <w:lang w:eastAsia="en-GB"/>
              </w:rPr>
              <w:t>TOTAL</w:t>
            </w:r>
          </w:p>
        </w:tc>
        <w:tc>
          <w:tcPr>
            <w:tcW w:w="1860" w:type="dxa"/>
            <w:shd w:val="clear" w:color="000000" w:fill="E8EDEE"/>
            <w:noWrap/>
            <w:vAlign w:val="bottom"/>
            <w:hideMark/>
          </w:tcPr>
          <w:p w14:paraId="25FE72A7" w14:textId="47C92484" w:rsidR="00AF5369" w:rsidRPr="00AF5369" w:rsidRDefault="00AF5369" w:rsidP="00AF5369">
            <w:pPr>
              <w:spacing w:after="0" w:line="240" w:lineRule="auto"/>
              <w:jc w:val="right"/>
              <w:rPr>
                <w:rFonts w:ascii="Trebuchet MS" w:eastAsia="Times New Roman" w:hAnsi="Trebuchet MS" w:cs="Calibri"/>
                <w:b/>
                <w:bCs/>
                <w:color w:val="000000"/>
                <w:lang w:eastAsia="en-GB"/>
              </w:rPr>
            </w:pPr>
            <w:r w:rsidRPr="00AF5369">
              <w:rPr>
                <w:rFonts w:ascii="Trebuchet MS" w:eastAsia="Times New Roman" w:hAnsi="Trebuchet MS" w:cs="Calibri"/>
                <w:b/>
                <w:bCs/>
                <w:color w:val="000000"/>
                <w:lang w:eastAsia="en-GB"/>
              </w:rPr>
              <w:t xml:space="preserve">      54,035,163 </w:t>
            </w:r>
          </w:p>
        </w:tc>
        <w:tc>
          <w:tcPr>
            <w:tcW w:w="2100" w:type="dxa"/>
            <w:shd w:val="clear" w:color="000000" w:fill="E8EDEE"/>
            <w:noWrap/>
            <w:vAlign w:val="bottom"/>
            <w:hideMark/>
          </w:tcPr>
          <w:p w14:paraId="2D814723" w14:textId="77777777" w:rsidR="00AF5369" w:rsidRPr="00AF5369" w:rsidRDefault="00AF5369" w:rsidP="00AF5369">
            <w:pPr>
              <w:spacing w:after="0" w:line="240" w:lineRule="auto"/>
              <w:jc w:val="right"/>
              <w:rPr>
                <w:rFonts w:ascii="Trebuchet MS" w:eastAsia="Times New Roman" w:hAnsi="Trebuchet MS" w:cs="Calibri"/>
                <w:b/>
                <w:bCs/>
                <w:color w:val="000000"/>
                <w:lang w:eastAsia="en-GB"/>
              </w:rPr>
            </w:pPr>
            <w:r w:rsidRPr="00AF5369">
              <w:rPr>
                <w:rFonts w:ascii="Trebuchet MS" w:eastAsia="Times New Roman" w:hAnsi="Trebuchet MS" w:cs="Calibri"/>
                <w:b/>
                <w:bCs/>
                <w:color w:val="000000"/>
                <w:lang w:eastAsia="en-GB"/>
              </w:rPr>
              <w:t xml:space="preserve">          51,969,283 </w:t>
            </w:r>
          </w:p>
        </w:tc>
      </w:tr>
    </w:tbl>
    <w:p w14:paraId="14DCB036" w14:textId="77777777" w:rsidR="00AF5369" w:rsidRDefault="00AF5369" w:rsidP="00F02950">
      <w:pPr>
        <w:ind w:left="-426"/>
        <w:jc w:val="both"/>
      </w:pPr>
    </w:p>
    <w:p w14:paraId="030CF758" w14:textId="7160D0BF" w:rsidR="00F02950" w:rsidRPr="007D1F00" w:rsidRDefault="00AF5369" w:rsidP="00F02950">
      <w:pPr>
        <w:ind w:left="-426"/>
        <w:jc w:val="both"/>
        <w:rPr>
          <w:rFonts w:ascii="Arial" w:hAnsi="Arial" w:cs="Arial"/>
          <w:b/>
          <w:bCs/>
        </w:rPr>
      </w:pPr>
      <w:r w:rsidRPr="007D1F00">
        <w:rPr>
          <w:rFonts w:ascii="Arial" w:hAnsi="Arial" w:cs="Arial"/>
        </w:rPr>
        <w:t>The amount shown above as cashed refers to revenue cashed and recorded in the budget.</w:t>
      </w:r>
    </w:p>
    <w:p w14:paraId="51FFB117" w14:textId="77777777" w:rsidR="00AF5369" w:rsidRDefault="00F02950" w:rsidP="00F02950">
      <w:pPr>
        <w:ind w:left="-426"/>
        <w:jc w:val="both"/>
        <w:rPr>
          <w:rFonts w:ascii="Arial" w:hAnsi="Arial" w:cs="Arial"/>
          <w:b/>
          <w:bCs/>
          <w:color w:val="00B0F0"/>
          <w:sz w:val="20"/>
          <w:szCs w:val="20"/>
        </w:rPr>
        <w:sectPr w:rsidR="00AF5369" w:rsidSect="00F02950">
          <w:pgSz w:w="11906" w:h="16838"/>
          <w:pgMar w:top="1417" w:right="1417" w:bottom="1417" w:left="1417" w:header="708" w:footer="708" w:gutter="0"/>
          <w:cols w:space="708"/>
          <w:docGrid w:linePitch="360"/>
        </w:sectPr>
      </w:pPr>
      <w:r>
        <w:rPr>
          <w:rFonts w:ascii="Arial" w:hAnsi="Arial" w:cs="Arial"/>
          <w:sz w:val="20"/>
          <w:szCs w:val="20"/>
        </w:rPr>
        <w:br w:type="textWrapping" w:clear="all"/>
      </w:r>
    </w:p>
    <w:p w14:paraId="430CB733" w14:textId="23F6E6C4" w:rsidR="00AF5369" w:rsidRDefault="00AF5369" w:rsidP="00F02950">
      <w:pPr>
        <w:ind w:left="-426"/>
        <w:jc w:val="both"/>
      </w:pPr>
      <w:r w:rsidRPr="00AF5369">
        <w:rPr>
          <w:rFonts w:ascii="Arial" w:hAnsi="Arial" w:cs="Arial"/>
          <w:b/>
          <w:bCs/>
          <w:color w:val="00B0F0"/>
          <w:sz w:val="20"/>
          <w:szCs w:val="20"/>
        </w:rPr>
        <w:lastRenderedPageBreak/>
        <w:t>Expenditure</w:t>
      </w:r>
      <w:r>
        <w:t xml:space="preserve"> </w:t>
      </w:r>
    </w:p>
    <w:p w14:paraId="0E5DF8B9" w14:textId="07F45DD7" w:rsidR="009845C2" w:rsidRDefault="00AF5369" w:rsidP="00F02950">
      <w:pPr>
        <w:ind w:left="-426"/>
        <w:jc w:val="both"/>
        <w:rPr>
          <w:b/>
          <w:bCs/>
        </w:rPr>
      </w:pPr>
      <w:r w:rsidRPr="00AF5369">
        <w:rPr>
          <w:b/>
          <w:bCs/>
        </w:rPr>
        <w:t xml:space="preserve">TABLE </w:t>
      </w:r>
      <w:r w:rsidR="000C5BE7">
        <w:rPr>
          <w:b/>
          <w:bCs/>
        </w:rPr>
        <w:t>2.3.4</w:t>
      </w:r>
      <w:r w:rsidRPr="00AF5369">
        <w:rPr>
          <w:b/>
          <w:bCs/>
        </w:rPr>
        <w:t>: IMPLEMENTATION OF EXPENDITURE</w:t>
      </w:r>
    </w:p>
    <w:tbl>
      <w:tblPr>
        <w:tblW w:w="15520" w:type="dxa"/>
        <w:jc w:val="center"/>
        <w:tblLook w:val="04A0" w:firstRow="1" w:lastRow="0" w:firstColumn="1" w:lastColumn="0" w:noHBand="0" w:noVBand="1"/>
      </w:tblPr>
      <w:tblGrid>
        <w:gridCol w:w="849"/>
        <w:gridCol w:w="3399"/>
        <w:gridCol w:w="2048"/>
        <w:gridCol w:w="1888"/>
        <w:gridCol w:w="1814"/>
        <w:gridCol w:w="1898"/>
        <w:gridCol w:w="1698"/>
        <w:gridCol w:w="1926"/>
      </w:tblGrid>
      <w:tr w:rsidR="00AF5369" w:rsidRPr="00AF5369" w14:paraId="1DB8B48F" w14:textId="77777777" w:rsidTr="00AF5369">
        <w:trPr>
          <w:trHeight w:val="290"/>
          <w:jc w:val="center"/>
        </w:trPr>
        <w:tc>
          <w:tcPr>
            <w:tcW w:w="849" w:type="dxa"/>
            <w:vMerge w:val="restart"/>
            <w:tcBorders>
              <w:top w:val="single" w:sz="4" w:space="0" w:color="auto"/>
              <w:left w:val="single" w:sz="4" w:space="0" w:color="auto"/>
              <w:bottom w:val="single" w:sz="4" w:space="0" w:color="auto"/>
              <w:right w:val="single" w:sz="4" w:space="0" w:color="auto"/>
            </w:tcBorders>
            <w:shd w:val="clear" w:color="000000" w:fill="92D050"/>
            <w:vAlign w:val="center"/>
            <w:hideMark/>
          </w:tcPr>
          <w:p w14:paraId="15B638AD" w14:textId="77777777" w:rsidR="00AF5369" w:rsidRPr="00AF5369" w:rsidRDefault="00AF5369" w:rsidP="00AF5369">
            <w:pPr>
              <w:spacing w:after="0" w:line="240" w:lineRule="auto"/>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Title</w:t>
            </w:r>
            <w:r w:rsidRPr="00AF5369">
              <w:rPr>
                <w:rFonts w:ascii="Arial" w:eastAsia="Times New Roman" w:hAnsi="Arial" w:cs="Arial"/>
                <w:b/>
                <w:bCs/>
                <w:sz w:val="16"/>
                <w:szCs w:val="16"/>
                <w:lang w:eastAsia="en-GB"/>
              </w:rPr>
              <w:br/>
              <w:t>Chapter</w:t>
            </w:r>
            <w:r w:rsidRPr="00AF5369">
              <w:rPr>
                <w:rFonts w:ascii="Arial" w:eastAsia="Times New Roman" w:hAnsi="Arial" w:cs="Arial"/>
                <w:b/>
                <w:bCs/>
                <w:sz w:val="16"/>
                <w:szCs w:val="16"/>
                <w:lang w:eastAsia="en-GB"/>
              </w:rPr>
              <w:br/>
              <w:t>Article</w:t>
            </w:r>
            <w:r w:rsidRPr="00AF5369">
              <w:rPr>
                <w:rFonts w:ascii="Arial" w:eastAsia="Times New Roman" w:hAnsi="Arial" w:cs="Arial"/>
                <w:b/>
                <w:bCs/>
                <w:sz w:val="16"/>
                <w:szCs w:val="16"/>
                <w:lang w:eastAsia="en-GB"/>
              </w:rPr>
              <w:br/>
              <w:t>Item</w:t>
            </w:r>
          </w:p>
        </w:tc>
        <w:tc>
          <w:tcPr>
            <w:tcW w:w="3399" w:type="dxa"/>
            <w:vMerge w:val="restart"/>
            <w:tcBorders>
              <w:top w:val="single" w:sz="4" w:space="0" w:color="auto"/>
              <w:left w:val="single" w:sz="4" w:space="0" w:color="auto"/>
              <w:bottom w:val="single" w:sz="4" w:space="0" w:color="auto"/>
              <w:right w:val="single" w:sz="4" w:space="0" w:color="auto"/>
            </w:tcBorders>
            <w:shd w:val="clear" w:color="000000" w:fill="92D050"/>
            <w:vAlign w:val="center"/>
            <w:hideMark/>
          </w:tcPr>
          <w:p w14:paraId="0AA906DD" w14:textId="77777777" w:rsidR="00AF5369" w:rsidRPr="00AF5369" w:rsidRDefault="00AF5369" w:rsidP="00AF5369">
            <w:pPr>
              <w:spacing w:after="0" w:line="240" w:lineRule="auto"/>
              <w:jc w:val="center"/>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Heading</w:t>
            </w:r>
          </w:p>
        </w:tc>
        <w:tc>
          <w:tcPr>
            <w:tcW w:w="5750" w:type="dxa"/>
            <w:gridSpan w:val="3"/>
            <w:tcBorders>
              <w:top w:val="single" w:sz="4" w:space="0" w:color="auto"/>
              <w:left w:val="nil"/>
              <w:bottom w:val="single" w:sz="4" w:space="0" w:color="auto"/>
              <w:right w:val="single" w:sz="4" w:space="0" w:color="auto"/>
            </w:tcBorders>
            <w:shd w:val="clear" w:color="000000" w:fill="92D050"/>
            <w:vAlign w:val="center"/>
            <w:hideMark/>
          </w:tcPr>
          <w:p w14:paraId="117900BD" w14:textId="77777777" w:rsidR="00AF5369" w:rsidRPr="00AF5369" w:rsidRDefault="00AF5369" w:rsidP="00AF5369">
            <w:pPr>
              <w:spacing w:after="0" w:line="240" w:lineRule="auto"/>
              <w:jc w:val="center"/>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Commitment</w:t>
            </w:r>
          </w:p>
        </w:tc>
        <w:tc>
          <w:tcPr>
            <w:tcW w:w="5522" w:type="dxa"/>
            <w:gridSpan w:val="3"/>
            <w:tcBorders>
              <w:top w:val="single" w:sz="4" w:space="0" w:color="auto"/>
              <w:left w:val="nil"/>
              <w:bottom w:val="single" w:sz="4" w:space="0" w:color="auto"/>
              <w:right w:val="single" w:sz="4" w:space="0" w:color="auto"/>
            </w:tcBorders>
            <w:shd w:val="clear" w:color="000000" w:fill="92D050"/>
            <w:vAlign w:val="center"/>
            <w:hideMark/>
          </w:tcPr>
          <w:p w14:paraId="6A1E0BD4" w14:textId="77777777" w:rsidR="00AF5369" w:rsidRPr="00AF5369" w:rsidRDefault="00AF5369" w:rsidP="00AF5369">
            <w:pPr>
              <w:spacing w:after="0" w:line="240" w:lineRule="auto"/>
              <w:jc w:val="center"/>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 xml:space="preserve">Payment  </w:t>
            </w:r>
          </w:p>
        </w:tc>
      </w:tr>
      <w:tr w:rsidR="00AF5369" w:rsidRPr="00AF5369" w14:paraId="3D0F2366" w14:textId="77777777" w:rsidTr="00AF5369">
        <w:trPr>
          <w:trHeight w:val="555"/>
          <w:jc w:val="center"/>
        </w:trPr>
        <w:tc>
          <w:tcPr>
            <w:tcW w:w="849" w:type="dxa"/>
            <w:vMerge/>
            <w:tcBorders>
              <w:top w:val="single" w:sz="4" w:space="0" w:color="auto"/>
              <w:left w:val="single" w:sz="4" w:space="0" w:color="auto"/>
              <w:bottom w:val="single" w:sz="4" w:space="0" w:color="auto"/>
              <w:right w:val="single" w:sz="4" w:space="0" w:color="auto"/>
            </w:tcBorders>
            <w:vAlign w:val="center"/>
            <w:hideMark/>
          </w:tcPr>
          <w:p w14:paraId="51F3A50B" w14:textId="77777777" w:rsidR="00AF5369" w:rsidRPr="00AF5369" w:rsidRDefault="00AF5369" w:rsidP="00AF5369">
            <w:pPr>
              <w:spacing w:after="0" w:line="240" w:lineRule="auto"/>
              <w:rPr>
                <w:rFonts w:ascii="Arial" w:eastAsia="Times New Roman" w:hAnsi="Arial" w:cs="Arial"/>
                <w:b/>
                <w:bCs/>
                <w:sz w:val="16"/>
                <w:szCs w:val="16"/>
                <w:lang w:eastAsia="en-GB"/>
              </w:rPr>
            </w:pPr>
          </w:p>
        </w:tc>
        <w:tc>
          <w:tcPr>
            <w:tcW w:w="3399" w:type="dxa"/>
            <w:vMerge/>
            <w:tcBorders>
              <w:top w:val="single" w:sz="4" w:space="0" w:color="auto"/>
              <w:left w:val="single" w:sz="4" w:space="0" w:color="auto"/>
              <w:bottom w:val="single" w:sz="4" w:space="0" w:color="auto"/>
              <w:right w:val="single" w:sz="4" w:space="0" w:color="auto"/>
            </w:tcBorders>
            <w:vAlign w:val="center"/>
            <w:hideMark/>
          </w:tcPr>
          <w:p w14:paraId="0B0F81B3" w14:textId="77777777" w:rsidR="00AF5369" w:rsidRPr="00AF5369" w:rsidRDefault="00AF5369" w:rsidP="00AF5369">
            <w:pPr>
              <w:spacing w:after="0" w:line="240" w:lineRule="auto"/>
              <w:rPr>
                <w:rFonts w:ascii="Arial" w:eastAsia="Times New Roman" w:hAnsi="Arial" w:cs="Arial"/>
                <w:b/>
                <w:bCs/>
                <w:sz w:val="16"/>
                <w:szCs w:val="16"/>
                <w:lang w:eastAsia="en-GB"/>
              </w:rPr>
            </w:pPr>
          </w:p>
        </w:tc>
        <w:tc>
          <w:tcPr>
            <w:tcW w:w="2048" w:type="dxa"/>
            <w:tcBorders>
              <w:top w:val="nil"/>
              <w:left w:val="nil"/>
              <w:bottom w:val="single" w:sz="4" w:space="0" w:color="auto"/>
              <w:right w:val="single" w:sz="4" w:space="0" w:color="auto"/>
            </w:tcBorders>
            <w:shd w:val="clear" w:color="000000" w:fill="92D050"/>
            <w:vAlign w:val="center"/>
            <w:hideMark/>
          </w:tcPr>
          <w:p w14:paraId="6CEF5650" w14:textId="77777777" w:rsidR="00AF5369" w:rsidRPr="00AF5369" w:rsidRDefault="00AF5369" w:rsidP="00AF5369">
            <w:pPr>
              <w:spacing w:after="0" w:line="240" w:lineRule="auto"/>
              <w:jc w:val="center"/>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Commitment appropriations (in EUR)</w:t>
            </w:r>
          </w:p>
        </w:tc>
        <w:tc>
          <w:tcPr>
            <w:tcW w:w="1888" w:type="dxa"/>
            <w:tcBorders>
              <w:top w:val="nil"/>
              <w:left w:val="nil"/>
              <w:bottom w:val="single" w:sz="4" w:space="0" w:color="auto"/>
              <w:right w:val="single" w:sz="4" w:space="0" w:color="auto"/>
            </w:tcBorders>
            <w:shd w:val="clear" w:color="000000" w:fill="92D050"/>
            <w:vAlign w:val="center"/>
            <w:hideMark/>
          </w:tcPr>
          <w:p w14:paraId="34CF344C" w14:textId="77777777" w:rsidR="00AF5369" w:rsidRPr="00AF5369" w:rsidRDefault="00AF5369" w:rsidP="00AF5369">
            <w:pPr>
              <w:spacing w:after="0" w:line="240" w:lineRule="auto"/>
              <w:jc w:val="center"/>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Committed (in EUR)</w:t>
            </w:r>
          </w:p>
        </w:tc>
        <w:tc>
          <w:tcPr>
            <w:tcW w:w="1814" w:type="dxa"/>
            <w:tcBorders>
              <w:top w:val="nil"/>
              <w:left w:val="nil"/>
              <w:bottom w:val="single" w:sz="4" w:space="0" w:color="auto"/>
              <w:right w:val="single" w:sz="4" w:space="0" w:color="auto"/>
            </w:tcBorders>
            <w:shd w:val="clear" w:color="000000" w:fill="92D050"/>
            <w:vAlign w:val="center"/>
            <w:hideMark/>
          </w:tcPr>
          <w:p w14:paraId="0C161D8E" w14:textId="77777777" w:rsidR="00AF5369" w:rsidRPr="00AF5369" w:rsidRDefault="00AF5369" w:rsidP="00AF5369">
            <w:pPr>
              <w:spacing w:after="0" w:line="240" w:lineRule="auto"/>
              <w:jc w:val="center"/>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 xml:space="preserve">% </w:t>
            </w:r>
            <w:proofErr w:type="gramStart"/>
            <w:r w:rsidRPr="00AF5369">
              <w:rPr>
                <w:rFonts w:ascii="Arial" w:eastAsia="Times New Roman" w:hAnsi="Arial" w:cs="Arial"/>
                <w:b/>
                <w:bCs/>
                <w:sz w:val="16"/>
                <w:szCs w:val="16"/>
                <w:lang w:eastAsia="en-GB"/>
              </w:rPr>
              <w:t>execution</w:t>
            </w:r>
            <w:proofErr w:type="gramEnd"/>
          </w:p>
        </w:tc>
        <w:tc>
          <w:tcPr>
            <w:tcW w:w="1898" w:type="dxa"/>
            <w:tcBorders>
              <w:top w:val="nil"/>
              <w:left w:val="nil"/>
              <w:bottom w:val="single" w:sz="4" w:space="0" w:color="auto"/>
              <w:right w:val="single" w:sz="4" w:space="0" w:color="auto"/>
            </w:tcBorders>
            <w:shd w:val="clear" w:color="000000" w:fill="92D050"/>
            <w:vAlign w:val="center"/>
            <w:hideMark/>
          </w:tcPr>
          <w:p w14:paraId="4778912D" w14:textId="77777777" w:rsidR="00AF5369" w:rsidRPr="00AF5369" w:rsidRDefault="00AF5369" w:rsidP="00AF5369">
            <w:pPr>
              <w:spacing w:after="0" w:line="240" w:lineRule="auto"/>
              <w:jc w:val="center"/>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Payment appropriations (in EUR)</w:t>
            </w:r>
          </w:p>
        </w:tc>
        <w:tc>
          <w:tcPr>
            <w:tcW w:w="1698" w:type="dxa"/>
            <w:tcBorders>
              <w:top w:val="nil"/>
              <w:left w:val="nil"/>
              <w:bottom w:val="single" w:sz="4" w:space="0" w:color="auto"/>
              <w:right w:val="single" w:sz="4" w:space="0" w:color="auto"/>
            </w:tcBorders>
            <w:shd w:val="clear" w:color="000000" w:fill="92D050"/>
            <w:vAlign w:val="center"/>
            <w:hideMark/>
          </w:tcPr>
          <w:p w14:paraId="776634D9" w14:textId="77777777" w:rsidR="00AF5369" w:rsidRPr="00AF5369" w:rsidRDefault="00AF5369" w:rsidP="00AF5369">
            <w:pPr>
              <w:spacing w:after="0" w:line="240" w:lineRule="auto"/>
              <w:jc w:val="center"/>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Paid (in EUR)</w:t>
            </w:r>
          </w:p>
        </w:tc>
        <w:tc>
          <w:tcPr>
            <w:tcW w:w="1926" w:type="dxa"/>
            <w:tcBorders>
              <w:top w:val="nil"/>
              <w:left w:val="nil"/>
              <w:bottom w:val="single" w:sz="4" w:space="0" w:color="auto"/>
              <w:right w:val="single" w:sz="4" w:space="0" w:color="auto"/>
            </w:tcBorders>
            <w:shd w:val="clear" w:color="000000" w:fill="92D050"/>
            <w:vAlign w:val="center"/>
            <w:hideMark/>
          </w:tcPr>
          <w:p w14:paraId="2706704E" w14:textId="77777777" w:rsidR="00AF5369" w:rsidRPr="00AF5369" w:rsidRDefault="00AF5369" w:rsidP="00AF5369">
            <w:pPr>
              <w:spacing w:after="0" w:line="240" w:lineRule="auto"/>
              <w:jc w:val="center"/>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 xml:space="preserve">% </w:t>
            </w:r>
            <w:proofErr w:type="gramStart"/>
            <w:r w:rsidRPr="00AF5369">
              <w:rPr>
                <w:rFonts w:ascii="Arial" w:eastAsia="Times New Roman" w:hAnsi="Arial" w:cs="Arial"/>
                <w:b/>
                <w:bCs/>
                <w:sz w:val="16"/>
                <w:szCs w:val="16"/>
                <w:lang w:eastAsia="en-GB"/>
              </w:rPr>
              <w:t>execution</w:t>
            </w:r>
            <w:proofErr w:type="gramEnd"/>
          </w:p>
        </w:tc>
      </w:tr>
      <w:tr w:rsidR="00AF5369" w:rsidRPr="00AF5369" w14:paraId="1AC4A420" w14:textId="77777777" w:rsidTr="00AF5369">
        <w:trPr>
          <w:trHeight w:val="279"/>
          <w:jc w:val="center"/>
        </w:trPr>
        <w:tc>
          <w:tcPr>
            <w:tcW w:w="849" w:type="dxa"/>
            <w:tcBorders>
              <w:top w:val="nil"/>
              <w:left w:val="single" w:sz="4" w:space="0" w:color="auto"/>
              <w:bottom w:val="single" w:sz="4" w:space="0" w:color="auto"/>
              <w:right w:val="single" w:sz="4" w:space="0" w:color="auto"/>
            </w:tcBorders>
            <w:shd w:val="clear" w:color="auto" w:fill="auto"/>
            <w:vAlign w:val="center"/>
            <w:hideMark/>
          </w:tcPr>
          <w:p w14:paraId="08CDC957" w14:textId="77777777" w:rsidR="00AF5369" w:rsidRPr="00AF5369" w:rsidRDefault="00AF5369" w:rsidP="00AF5369">
            <w:pPr>
              <w:spacing w:after="0" w:line="240" w:lineRule="auto"/>
              <w:rPr>
                <w:rFonts w:ascii="Arial" w:eastAsia="Times New Roman" w:hAnsi="Arial" w:cs="Arial"/>
                <w:sz w:val="16"/>
                <w:szCs w:val="16"/>
                <w:lang w:eastAsia="en-GB"/>
              </w:rPr>
            </w:pPr>
            <w:r w:rsidRPr="00AF5369">
              <w:rPr>
                <w:rFonts w:ascii="Arial" w:eastAsia="Times New Roman" w:hAnsi="Arial" w:cs="Arial"/>
                <w:sz w:val="16"/>
                <w:szCs w:val="16"/>
                <w:lang w:eastAsia="en-GB"/>
              </w:rPr>
              <w:t>1 1</w:t>
            </w:r>
          </w:p>
        </w:tc>
        <w:tc>
          <w:tcPr>
            <w:tcW w:w="3399" w:type="dxa"/>
            <w:tcBorders>
              <w:top w:val="nil"/>
              <w:left w:val="nil"/>
              <w:bottom w:val="single" w:sz="4" w:space="0" w:color="auto"/>
              <w:right w:val="single" w:sz="4" w:space="0" w:color="auto"/>
            </w:tcBorders>
            <w:shd w:val="clear" w:color="auto" w:fill="auto"/>
            <w:vAlign w:val="center"/>
            <w:hideMark/>
          </w:tcPr>
          <w:p w14:paraId="59B1B471" w14:textId="77777777" w:rsidR="00AF5369" w:rsidRPr="00AF5369" w:rsidRDefault="00AF5369" w:rsidP="00AF5369">
            <w:pPr>
              <w:spacing w:after="0" w:line="240" w:lineRule="auto"/>
              <w:rPr>
                <w:rFonts w:ascii="Arial" w:eastAsia="Times New Roman" w:hAnsi="Arial" w:cs="Arial"/>
                <w:sz w:val="16"/>
                <w:szCs w:val="16"/>
                <w:lang w:eastAsia="en-GB"/>
              </w:rPr>
            </w:pPr>
            <w:r w:rsidRPr="00AF5369">
              <w:rPr>
                <w:rFonts w:ascii="Arial" w:eastAsia="Times New Roman" w:hAnsi="Arial" w:cs="Arial"/>
                <w:sz w:val="16"/>
                <w:szCs w:val="16"/>
                <w:lang w:eastAsia="en-GB"/>
              </w:rPr>
              <w:t>Staff in active employment</w:t>
            </w:r>
          </w:p>
        </w:tc>
        <w:tc>
          <w:tcPr>
            <w:tcW w:w="2048" w:type="dxa"/>
            <w:tcBorders>
              <w:top w:val="nil"/>
              <w:left w:val="nil"/>
              <w:bottom w:val="single" w:sz="4" w:space="0" w:color="auto"/>
              <w:right w:val="single" w:sz="4" w:space="0" w:color="auto"/>
            </w:tcBorders>
            <w:shd w:val="clear" w:color="auto" w:fill="auto"/>
            <w:vAlign w:val="center"/>
            <w:hideMark/>
          </w:tcPr>
          <w:p w14:paraId="116448D7"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3,643,698 </w:t>
            </w:r>
          </w:p>
        </w:tc>
        <w:tc>
          <w:tcPr>
            <w:tcW w:w="1888" w:type="dxa"/>
            <w:tcBorders>
              <w:top w:val="nil"/>
              <w:left w:val="nil"/>
              <w:bottom w:val="single" w:sz="4" w:space="0" w:color="auto"/>
              <w:right w:val="single" w:sz="4" w:space="0" w:color="auto"/>
            </w:tcBorders>
            <w:shd w:val="clear" w:color="auto" w:fill="auto"/>
            <w:vAlign w:val="center"/>
            <w:hideMark/>
          </w:tcPr>
          <w:p w14:paraId="4F4B2843"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3,515,254 </w:t>
            </w:r>
          </w:p>
        </w:tc>
        <w:tc>
          <w:tcPr>
            <w:tcW w:w="1814" w:type="dxa"/>
            <w:tcBorders>
              <w:top w:val="nil"/>
              <w:left w:val="nil"/>
              <w:bottom w:val="single" w:sz="4" w:space="0" w:color="auto"/>
              <w:right w:val="single" w:sz="4" w:space="0" w:color="auto"/>
            </w:tcBorders>
            <w:shd w:val="clear" w:color="auto" w:fill="auto"/>
            <w:vAlign w:val="center"/>
            <w:hideMark/>
          </w:tcPr>
          <w:p w14:paraId="1154691C"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96.5%</w:t>
            </w:r>
          </w:p>
        </w:tc>
        <w:tc>
          <w:tcPr>
            <w:tcW w:w="1898" w:type="dxa"/>
            <w:tcBorders>
              <w:top w:val="nil"/>
              <w:left w:val="nil"/>
              <w:bottom w:val="single" w:sz="4" w:space="0" w:color="auto"/>
              <w:right w:val="single" w:sz="4" w:space="0" w:color="auto"/>
            </w:tcBorders>
            <w:shd w:val="clear" w:color="auto" w:fill="auto"/>
            <w:vAlign w:val="center"/>
            <w:hideMark/>
          </w:tcPr>
          <w:p w14:paraId="6E5117AF" w14:textId="77777777" w:rsidR="00AF5369" w:rsidRPr="00AF5369" w:rsidRDefault="00AF5369" w:rsidP="009A25C0">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                3,750,274 </w:t>
            </w:r>
          </w:p>
        </w:tc>
        <w:tc>
          <w:tcPr>
            <w:tcW w:w="1698" w:type="dxa"/>
            <w:tcBorders>
              <w:top w:val="nil"/>
              <w:left w:val="nil"/>
              <w:bottom w:val="single" w:sz="4" w:space="0" w:color="auto"/>
              <w:right w:val="single" w:sz="4" w:space="0" w:color="auto"/>
            </w:tcBorders>
            <w:shd w:val="clear" w:color="auto" w:fill="auto"/>
            <w:vAlign w:val="center"/>
            <w:hideMark/>
          </w:tcPr>
          <w:p w14:paraId="38067D7A" w14:textId="77777777" w:rsidR="00AF5369" w:rsidRPr="00AF5369" w:rsidRDefault="00AF5369" w:rsidP="009A25C0">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3,429,142 </w:t>
            </w:r>
          </w:p>
        </w:tc>
        <w:tc>
          <w:tcPr>
            <w:tcW w:w="1926" w:type="dxa"/>
            <w:tcBorders>
              <w:top w:val="nil"/>
              <w:left w:val="nil"/>
              <w:bottom w:val="single" w:sz="4" w:space="0" w:color="auto"/>
              <w:right w:val="single" w:sz="4" w:space="0" w:color="auto"/>
            </w:tcBorders>
            <w:shd w:val="clear" w:color="auto" w:fill="auto"/>
            <w:vAlign w:val="center"/>
            <w:hideMark/>
          </w:tcPr>
          <w:p w14:paraId="6C08702F"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91.4%</w:t>
            </w:r>
          </w:p>
        </w:tc>
      </w:tr>
      <w:tr w:rsidR="00AF5369" w:rsidRPr="00AF5369" w14:paraId="4819020A" w14:textId="77777777" w:rsidTr="00AF5369">
        <w:trPr>
          <w:trHeight w:val="327"/>
          <w:jc w:val="center"/>
        </w:trPr>
        <w:tc>
          <w:tcPr>
            <w:tcW w:w="849" w:type="dxa"/>
            <w:tcBorders>
              <w:top w:val="nil"/>
              <w:left w:val="single" w:sz="4" w:space="0" w:color="auto"/>
              <w:bottom w:val="single" w:sz="4" w:space="0" w:color="auto"/>
              <w:right w:val="single" w:sz="4" w:space="0" w:color="auto"/>
            </w:tcBorders>
            <w:shd w:val="clear" w:color="auto" w:fill="auto"/>
            <w:vAlign w:val="center"/>
            <w:hideMark/>
          </w:tcPr>
          <w:p w14:paraId="04D92C95" w14:textId="77777777" w:rsidR="00AF5369" w:rsidRPr="00AF5369" w:rsidRDefault="00AF5369" w:rsidP="00AF5369">
            <w:pPr>
              <w:spacing w:after="0" w:line="240" w:lineRule="auto"/>
              <w:rPr>
                <w:rFonts w:ascii="Arial" w:eastAsia="Times New Roman" w:hAnsi="Arial" w:cs="Arial"/>
                <w:sz w:val="16"/>
                <w:szCs w:val="16"/>
                <w:lang w:eastAsia="en-GB"/>
              </w:rPr>
            </w:pPr>
            <w:r w:rsidRPr="00AF5369">
              <w:rPr>
                <w:rFonts w:ascii="Arial" w:eastAsia="Times New Roman" w:hAnsi="Arial" w:cs="Arial"/>
                <w:sz w:val="16"/>
                <w:szCs w:val="16"/>
                <w:lang w:eastAsia="en-GB"/>
              </w:rPr>
              <w:t>1 2</w:t>
            </w:r>
          </w:p>
        </w:tc>
        <w:tc>
          <w:tcPr>
            <w:tcW w:w="3399" w:type="dxa"/>
            <w:tcBorders>
              <w:top w:val="nil"/>
              <w:left w:val="nil"/>
              <w:bottom w:val="single" w:sz="4" w:space="0" w:color="auto"/>
              <w:right w:val="single" w:sz="4" w:space="0" w:color="auto"/>
            </w:tcBorders>
            <w:shd w:val="clear" w:color="auto" w:fill="auto"/>
            <w:vAlign w:val="center"/>
            <w:hideMark/>
          </w:tcPr>
          <w:p w14:paraId="1A8FF226" w14:textId="77777777" w:rsidR="00AF5369" w:rsidRPr="00AF5369" w:rsidRDefault="00AF5369" w:rsidP="00AF5369">
            <w:pPr>
              <w:spacing w:after="0" w:line="240" w:lineRule="auto"/>
              <w:rPr>
                <w:rFonts w:ascii="Arial" w:eastAsia="Times New Roman" w:hAnsi="Arial" w:cs="Arial"/>
                <w:sz w:val="16"/>
                <w:szCs w:val="16"/>
                <w:lang w:eastAsia="en-GB"/>
              </w:rPr>
            </w:pPr>
            <w:r w:rsidRPr="00AF5369">
              <w:rPr>
                <w:rFonts w:ascii="Arial" w:eastAsia="Times New Roman" w:hAnsi="Arial" w:cs="Arial"/>
                <w:sz w:val="16"/>
                <w:szCs w:val="16"/>
                <w:lang w:eastAsia="en-GB"/>
              </w:rPr>
              <w:t>Expenditure related to recruitment</w:t>
            </w:r>
          </w:p>
        </w:tc>
        <w:tc>
          <w:tcPr>
            <w:tcW w:w="2048" w:type="dxa"/>
            <w:tcBorders>
              <w:top w:val="nil"/>
              <w:left w:val="nil"/>
              <w:bottom w:val="single" w:sz="4" w:space="0" w:color="auto"/>
              <w:right w:val="single" w:sz="4" w:space="0" w:color="auto"/>
            </w:tcBorders>
            <w:shd w:val="clear" w:color="auto" w:fill="auto"/>
            <w:vAlign w:val="center"/>
            <w:hideMark/>
          </w:tcPr>
          <w:p w14:paraId="1F49611E"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10,400 </w:t>
            </w:r>
          </w:p>
        </w:tc>
        <w:tc>
          <w:tcPr>
            <w:tcW w:w="1888" w:type="dxa"/>
            <w:tcBorders>
              <w:top w:val="nil"/>
              <w:left w:val="nil"/>
              <w:bottom w:val="single" w:sz="4" w:space="0" w:color="auto"/>
              <w:right w:val="single" w:sz="4" w:space="0" w:color="auto"/>
            </w:tcBorders>
            <w:shd w:val="clear" w:color="auto" w:fill="auto"/>
            <w:vAlign w:val="center"/>
            <w:hideMark/>
          </w:tcPr>
          <w:p w14:paraId="5D1F700C"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9,451 </w:t>
            </w:r>
          </w:p>
        </w:tc>
        <w:tc>
          <w:tcPr>
            <w:tcW w:w="1814" w:type="dxa"/>
            <w:tcBorders>
              <w:top w:val="nil"/>
              <w:left w:val="nil"/>
              <w:bottom w:val="single" w:sz="4" w:space="0" w:color="auto"/>
              <w:right w:val="single" w:sz="4" w:space="0" w:color="auto"/>
            </w:tcBorders>
            <w:shd w:val="clear" w:color="auto" w:fill="auto"/>
            <w:vAlign w:val="center"/>
            <w:hideMark/>
          </w:tcPr>
          <w:p w14:paraId="1A1A6663"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90.9%</w:t>
            </w:r>
          </w:p>
        </w:tc>
        <w:tc>
          <w:tcPr>
            <w:tcW w:w="1898" w:type="dxa"/>
            <w:tcBorders>
              <w:top w:val="nil"/>
              <w:left w:val="nil"/>
              <w:bottom w:val="single" w:sz="4" w:space="0" w:color="auto"/>
              <w:right w:val="single" w:sz="4" w:space="0" w:color="auto"/>
            </w:tcBorders>
            <w:shd w:val="clear" w:color="auto" w:fill="auto"/>
            <w:vAlign w:val="center"/>
            <w:hideMark/>
          </w:tcPr>
          <w:p w14:paraId="01D69845" w14:textId="77777777" w:rsidR="00AF5369" w:rsidRPr="00AF5369" w:rsidRDefault="00AF5369" w:rsidP="009A25C0">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                    10,400 </w:t>
            </w:r>
          </w:p>
        </w:tc>
        <w:tc>
          <w:tcPr>
            <w:tcW w:w="1698" w:type="dxa"/>
            <w:tcBorders>
              <w:top w:val="nil"/>
              <w:left w:val="nil"/>
              <w:bottom w:val="single" w:sz="4" w:space="0" w:color="auto"/>
              <w:right w:val="single" w:sz="4" w:space="0" w:color="auto"/>
            </w:tcBorders>
            <w:shd w:val="clear" w:color="auto" w:fill="auto"/>
            <w:vAlign w:val="center"/>
            <w:hideMark/>
          </w:tcPr>
          <w:p w14:paraId="209C3A4D" w14:textId="77777777" w:rsidR="00AF5369" w:rsidRPr="00AF5369" w:rsidRDefault="00AF5369" w:rsidP="009A25C0">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9,451 </w:t>
            </w:r>
          </w:p>
        </w:tc>
        <w:tc>
          <w:tcPr>
            <w:tcW w:w="1926" w:type="dxa"/>
            <w:tcBorders>
              <w:top w:val="nil"/>
              <w:left w:val="nil"/>
              <w:bottom w:val="single" w:sz="4" w:space="0" w:color="auto"/>
              <w:right w:val="single" w:sz="4" w:space="0" w:color="auto"/>
            </w:tcBorders>
            <w:shd w:val="clear" w:color="auto" w:fill="auto"/>
            <w:vAlign w:val="center"/>
            <w:hideMark/>
          </w:tcPr>
          <w:p w14:paraId="24756E66"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90.9%</w:t>
            </w:r>
          </w:p>
        </w:tc>
      </w:tr>
      <w:tr w:rsidR="00AF5369" w:rsidRPr="00AF5369" w14:paraId="1D8213C6" w14:textId="77777777" w:rsidTr="00AF5369">
        <w:trPr>
          <w:trHeight w:val="300"/>
          <w:jc w:val="center"/>
        </w:trPr>
        <w:tc>
          <w:tcPr>
            <w:tcW w:w="849" w:type="dxa"/>
            <w:tcBorders>
              <w:top w:val="nil"/>
              <w:left w:val="single" w:sz="4" w:space="0" w:color="auto"/>
              <w:bottom w:val="single" w:sz="4" w:space="0" w:color="auto"/>
              <w:right w:val="single" w:sz="4" w:space="0" w:color="auto"/>
            </w:tcBorders>
            <w:shd w:val="clear" w:color="auto" w:fill="auto"/>
            <w:vAlign w:val="center"/>
            <w:hideMark/>
          </w:tcPr>
          <w:p w14:paraId="02702250" w14:textId="77777777" w:rsidR="00AF5369" w:rsidRPr="00AF5369" w:rsidRDefault="00AF5369" w:rsidP="00AF5369">
            <w:pPr>
              <w:spacing w:after="0" w:line="240" w:lineRule="auto"/>
              <w:rPr>
                <w:rFonts w:ascii="Arial" w:eastAsia="Times New Roman" w:hAnsi="Arial" w:cs="Arial"/>
                <w:sz w:val="16"/>
                <w:szCs w:val="16"/>
                <w:lang w:eastAsia="en-GB"/>
              </w:rPr>
            </w:pPr>
            <w:r w:rsidRPr="00AF5369">
              <w:rPr>
                <w:rFonts w:ascii="Arial" w:eastAsia="Times New Roman" w:hAnsi="Arial" w:cs="Arial"/>
                <w:sz w:val="16"/>
                <w:szCs w:val="16"/>
                <w:lang w:eastAsia="en-GB"/>
              </w:rPr>
              <w:t>1 3</w:t>
            </w:r>
          </w:p>
        </w:tc>
        <w:tc>
          <w:tcPr>
            <w:tcW w:w="3399" w:type="dxa"/>
            <w:tcBorders>
              <w:top w:val="nil"/>
              <w:left w:val="nil"/>
              <w:bottom w:val="single" w:sz="4" w:space="0" w:color="auto"/>
              <w:right w:val="single" w:sz="4" w:space="0" w:color="auto"/>
            </w:tcBorders>
            <w:shd w:val="clear" w:color="auto" w:fill="auto"/>
            <w:vAlign w:val="center"/>
            <w:hideMark/>
          </w:tcPr>
          <w:p w14:paraId="22E10106" w14:textId="77777777" w:rsidR="00AF5369" w:rsidRPr="00AF5369" w:rsidRDefault="00AF5369" w:rsidP="00AF5369">
            <w:pPr>
              <w:spacing w:after="0" w:line="240" w:lineRule="auto"/>
              <w:rPr>
                <w:rFonts w:ascii="Arial" w:eastAsia="Times New Roman" w:hAnsi="Arial" w:cs="Arial"/>
                <w:sz w:val="16"/>
                <w:szCs w:val="16"/>
                <w:lang w:eastAsia="en-GB"/>
              </w:rPr>
            </w:pPr>
            <w:r w:rsidRPr="00AF5369">
              <w:rPr>
                <w:rFonts w:ascii="Arial" w:eastAsia="Times New Roman" w:hAnsi="Arial" w:cs="Arial"/>
                <w:sz w:val="16"/>
                <w:szCs w:val="16"/>
                <w:lang w:eastAsia="en-GB"/>
              </w:rPr>
              <w:t>Missions and travel</w:t>
            </w:r>
          </w:p>
        </w:tc>
        <w:tc>
          <w:tcPr>
            <w:tcW w:w="2048" w:type="dxa"/>
            <w:tcBorders>
              <w:top w:val="nil"/>
              <w:left w:val="nil"/>
              <w:bottom w:val="single" w:sz="4" w:space="0" w:color="auto"/>
              <w:right w:val="single" w:sz="4" w:space="0" w:color="auto"/>
            </w:tcBorders>
            <w:shd w:val="clear" w:color="auto" w:fill="auto"/>
            <w:vAlign w:val="center"/>
            <w:hideMark/>
          </w:tcPr>
          <w:p w14:paraId="2CF1123C"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58,398 </w:t>
            </w:r>
          </w:p>
        </w:tc>
        <w:tc>
          <w:tcPr>
            <w:tcW w:w="1888" w:type="dxa"/>
            <w:tcBorders>
              <w:top w:val="nil"/>
              <w:left w:val="nil"/>
              <w:bottom w:val="single" w:sz="4" w:space="0" w:color="auto"/>
              <w:right w:val="single" w:sz="4" w:space="0" w:color="auto"/>
            </w:tcBorders>
            <w:shd w:val="clear" w:color="auto" w:fill="auto"/>
            <w:vAlign w:val="center"/>
            <w:hideMark/>
          </w:tcPr>
          <w:p w14:paraId="3755441D"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11,000 </w:t>
            </w:r>
          </w:p>
        </w:tc>
        <w:tc>
          <w:tcPr>
            <w:tcW w:w="1814" w:type="dxa"/>
            <w:tcBorders>
              <w:top w:val="nil"/>
              <w:left w:val="nil"/>
              <w:bottom w:val="single" w:sz="4" w:space="0" w:color="auto"/>
              <w:right w:val="single" w:sz="4" w:space="0" w:color="auto"/>
            </w:tcBorders>
            <w:shd w:val="clear" w:color="auto" w:fill="auto"/>
            <w:vAlign w:val="center"/>
            <w:hideMark/>
          </w:tcPr>
          <w:p w14:paraId="5D22EED7"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18.8%</w:t>
            </w:r>
          </w:p>
        </w:tc>
        <w:tc>
          <w:tcPr>
            <w:tcW w:w="1898" w:type="dxa"/>
            <w:tcBorders>
              <w:top w:val="nil"/>
              <w:left w:val="nil"/>
              <w:bottom w:val="single" w:sz="4" w:space="0" w:color="auto"/>
              <w:right w:val="single" w:sz="4" w:space="0" w:color="auto"/>
            </w:tcBorders>
            <w:shd w:val="clear" w:color="auto" w:fill="auto"/>
            <w:vAlign w:val="center"/>
            <w:hideMark/>
          </w:tcPr>
          <w:p w14:paraId="203193EF" w14:textId="77777777" w:rsidR="00AF5369" w:rsidRPr="00AF5369" w:rsidRDefault="00AF5369" w:rsidP="009A25C0">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                    58,398 </w:t>
            </w:r>
          </w:p>
        </w:tc>
        <w:tc>
          <w:tcPr>
            <w:tcW w:w="1698" w:type="dxa"/>
            <w:tcBorders>
              <w:top w:val="nil"/>
              <w:left w:val="nil"/>
              <w:bottom w:val="single" w:sz="4" w:space="0" w:color="auto"/>
              <w:right w:val="single" w:sz="4" w:space="0" w:color="auto"/>
            </w:tcBorders>
            <w:shd w:val="clear" w:color="auto" w:fill="auto"/>
            <w:vAlign w:val="center"/>
            <w:hideMark/>
          </w:tcPr>
          <w:p w14:paraId="29050BE5" w14:textId="77777777" w:rsidR="00AF5369" w:rsidRPr="00AF5369" w:rsidRDefault="00AF5369" w:rsidP="009A25C0">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5,826 </w:t>
            </w:r>
          </w:p>
        </w:tc>
        <w:tc>
          <w:tcPr>
            <w:tcW w:w="1926" w:type="dxa"/>
            <w:tcBorders>
              <w:top w:val="nil"/>
              <w:left w:val="nil"/>
              <w:bottom w:val="single" w:sz="4" w:space="0" w:color="auto"/>
              <w:right w:val="single" w:sz="4" w:space="0" w:color="auto"/>
            </w:tcBorders>
            <w:shd w:val="clear" w:color="auto" w:fill="auto"/>
            <w:vAlign w:val="center"/>
            <w:hideMark/>
          </w:tcPr>
          <w:p w14:paraId="41A62263"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10.0%</w:t>
            </w:r>
          </w:p>
        </w:tc>
      </w:tr>
      <w:tr w:rsidR="00AF5369" w:rsidRPr="00AF5369" w14:paraId="1546F9B2" w14:textId="77777777" w:rsidTr="00AF5369">
        <w:trPr>
          <w:trHeight w:val="209"/>
          <w:jc w:val="center"/>
        </w:trPr>
        <w:tc>
          <w:tcPr>
            <w:tcW w:w="849" w:type="dxa"/>
            <w:tcBorders>
              <w:top w:val="nil"/>
              <w:left w:val="single" w:sz="4" w:space="0" w:color="auto"/>
              <w:bottom w:val="single" w:sz="4" w:space="0" w:color="auto"/>
              <w:right w:val="single" w:sz="4" w:space="0" w:color="auto"/>
            </w:tcBorders>
            <w:shd w:val="clear" w:color="auto" w:fill="auto"/>
            <w:vAlign w:val="center"/>
            <w:hideMark/>
          </w:tcPr>
          <w:p w14:paraId="223D444F" w14:textId="77777777" w:rsidR="00AF5369" w:rsidRPr="00AF5369" w:rsidRDefault="00AF5369" w:rsidP="00AF5369">
            <w:pPr>
              <w:spacing w:after="0" w:line="240" w:lineRule="auto"/>
              <w:rPr>
                <w:rFonts w:ascii="Arial" w:eastAsia="Times New Roman" w:hAnsi="Arial" w:cs="Arial"/>
                <w:sz w:val="16"/>
                <w:szCs w:val="16"/>
                <w:lang w:eastAsia="en-GB"/>
              </w:rPr>
            </w:pPr>
            <w:r w:rsidRPr="00AF5369">
              <w:rPr>
                <w:rFonts w:ascii="Arial" w:eastAsia="Times New Roman" w:hAnsi="Arial" w:cs="Arial"/>
                <w:sz w:val="16"/>
                <w:szCs w:val="16"/>
                <w:lang w:eastAsia="en-GB"/>
              </w:rPr>
              <w:t>1 4</w:t>
            </w:r>
          </w:p>
        </w:tc>
        <w:tc>
          <w:tcPr>
            <w:tcW w:w="3399" w:type="dxa"/>
            <w:tcBorders>
              <w:top w:val="nil"/>
              <w:left w:val="nil"/>
              <w:bottom w:val="single" w:sz="4" w:space="0" w:color="auto"/>
              <w:right w:val="single" w:sz="4" w:space="0" w:color="auto"/>
            </w:tcBorders>
            <w:shd w:val="clear" w:color="auto" w:fill="auto"/>
            <w:vAlign w:val="center"/>
            <w:hideMark/>
          </w:tcPr>
          <w:p w14:paraId="23725914" w14:textId="77777777" w:rsidR="00AF5369" w:rsidRPr="00AF5369" w:rsidRDefault="00AF5369" w:rsidP="00AF5369">
            <w:pPr>
              <w:spacing w:after="0" w:line="240" w:lineRule="auto"/>
              <w:rPr>
                <w:rFonts w:ascii="Arial" w:eastAsia="Times New Roman" w:hAnsi="Arial" w:cs="Arial"/>
                <w:sz w:val="16"/>
                <w:szCs w:val="16"/>
                <w:lang w:eastAsia="en-GB"/>
              </w:rPr>
            </w:pPr>
            <w:r w:rsidRPr="00AF5369">
              <w:rPr>
                <w:rFonts w:ascii="Arial" w:eastAsia="Times New Roman" w:hAnsi="Arial" w:cs="Arial"/>
                <w:sz w:val="16"/>
                <w:szCs w:val="16"/>
                <w:lang w:eastAsia="en-GB"/>
              </w:rPr>
              <w:t>Sociomedical infrastructure</w:t>
            </w:r>
          </w:p>
        </w:tc>
        <w:tc>
          <w:tcPr>
            <w:tcW w:w="2048" w:type="dxa"/>
            <w:tcBorders>
              <w:top w:val="nil"/>
              <w:left w:val="nil"/>
              <w:bottom w:val="single" w:sz="4" w:space="0" w:color="auto"/>
              <w:right w:val="single" w:sz="4" w:space="0" w:color="auto"/>
            </w:tcBorders>
            <w:shd w:val="clear" w:color="auto" w:fill="auto"/>
            <w:vAlign w:val="center"/>
            <w:hideMark/>
          </w:tcPr>
          <w:p w14:paraId="74D00797"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50,200 </w:t>
            </w:r>
          </w:p>
        </w:tc>
        <w:tc>
          <w:tcPr>
            <w:tcW w:w="1888" w:type="dxa"/>
            <w:tcBorders>
              <w:top w:val="nil"/>
              <w:left w:val="nil"/>
              <w:bottom w:val="single" w:sz="4" w:space="0" w:color="auto"/>
              <w:right w:val="single" w:sz="4" w:space="0" w:color="auto"/>
            </w:tcBorders>
            <w:shd w:val="clear" w:color="auto" w:fill="auto"/>
            <w:vAlign w:val="center"/>
            <w:hideMark/>
          </w:tcPr>
          <w:p w14:paraId="6BC015F4"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33,992 </w:t>
            </w:r>
          </w:p>
        </w:tc>
        <w:tc>
          <w:tcPr>
            <w:tcW w:w="1814" w:type="dxa"/>
            <w:tcBorders>
              <w:top w:val="nil"/>
              <w:left w:val="nil"/>
              <w:bottom w:val="single" w:sz="4" w:space="0" w:color="auto"/>
              <w:right w:val="single" w:sz="4" w:space="0" w:color="auto"/>
            </w:tcBorders>
            <w:shd w:val="clear" w:color="auto" w:fill="auto"/>
            <w:vAlign w:val="center"/>
            <w:hideMark/>
          </w:tcPr>
          <w:p w14:paraId="43171346"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67.7%</w:t>
            </w:r>
          </w:p>
        </w:tc>
        <w:tc>
          <w:tcPr>
            <w:tcW w:w="1898" w:type="dxa"/>
            <w:tcBorders>
              <w:top w:val="nil"/>
              <w:left w:val="nil"/>
              <w:bottom w:val="single" w:sz="4" w:space="0" w:color="auto"/>
              <w:right w:val="single" w:sz="4" w:space="0" w:color="auto"/>
            </w:tcBorders>
            <w:shd w:val="clear" w:color="auto" w:fill="auto"/>
            <w:vAlign w:val="center"/>
            <w:hideMark/>
          </w:tcPr>
          <w:p w14:paraId="674B31FA" w14:textId="77777777" w:rsidR="00AF5369" w:rsidRPr="00AF5369" w:rsidRDefault="00AF5369" w:rsidP="009A25C0">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                    53,196 </w:t>
            </w:r>
          </w:p>
        </w:tc>
        <w:tc>
          <w:tcPr>
            <w:tcW w:w="1698" w:type="dxa"/>
            <w:tcBorders>
              <w:top w:val="nil"/>
              <w:left w:val="nil"/>
              <w:bottom w:val="single" w:sz="4" w:space="0" w:color="auto"/>
              <w:right w:val="single" w:sz="4" w:space="0" w:color="auto"/>
            </w:tcBorders>
            <w:shd w:val="clear" w:color="auto" w:fill="auto"/>
            <w:vAlign w:val="center"/>
            <w:hideMark/>
          </w:tcPr>
          <w:p w14:paraId="4AC943F3" w14:textId="77777777" w:rsidR="00AF5369" w:rsidRPr="00AF5369" w:rsidRDefault="00AF5369" w:rsidP="009A25C0">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27,750 </w:t>
            </w:r>
          </w:p>
        </w:tc>
        <w:tc>
          <w:tcPr>
            <w:tcW w:w="1926" w:type="dxa"/>
            <w:tcBorders>
              <w:top w:val="nil"/>
              <w:left w:val="nil"/>
              <w:bottom w:val="single" w:sz="4" w:space="0" w:color="auto"/>
              <w:right w:val="single" w:sz="4" w:space="0" w:color="auto"/>
            </w:tcBorders>
            <w:shd w:val="clear" w:color="auto" w:fill="auto"/>
            <w:vAlign w:val="center"/>
            <w:hideMark/>
          </w:tcPr>
          <w:p w14:paraId="26408BFC"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52.2%</w:t>
            </w:r>
          </w:p>
        </w:tc>
      </w:tr>
      <w:tr w:rsidR="00AF5369" w:rsidRPr="00AF5369" w14:paraId="7DAC28E6" w14:textId="77777777" w:rsidTr="00AF5369">
        <w:trPr>
          <w:trHeight w:val="541"/>
          <w:jc w:val="center"/>
        </w:trPr>
        <w:tc>
          <w:tcPr>
            <w:tcW w:w="849" w:type="dxa"/>
            <w:tcBorders>
              <w:top w:val="nil"/>
              <w:left w:val="single" w:sz="4" w:space="0" w:color="auto"/>
              <w:bottom w:val="single" w:sz="4" w:space="0" w:color="auto"/>
              <w:right w:val="single" w:sz="4" w:space="0" w:color="auto"/>
            </w:tcBorders>
            <w:shd w:val="clear" w:color="auto" w:fill="auto"/>
            <w:vAlign w:val="center"/>
            <w:hideMark/>
          </w:tcPr>
          <w:p w14:paraId="5EE5EF83" w14:textId="77777777" w:rsidR="00AF5369" w:rsidRPr="00AF5369" w:rsidRDefault="00AF5369" w:rsidP="00AF5369">
            <w:pPr>
              <w:spacing w:after="0" w:line="240" w:lineRule="auto"/>
              <w:rPr>
                <w:rFonts w:ascii="Arial" w:eastAsia="Times New Roman" w:hAnsi="Arial" w:cs="Arial"/>
                <w:sz w:val="16"/>
                <w:szCs w:val="16"/>
                <w:lang w:eastAsia="en-GB"/>
              </w:rPr>
            </w:pPr>
            <w:r w:rsidRPr="00AF5369">
              <w:rPr>
                <w:rFonts w:ascii="Arial" w:eastAsia="Times New Roman" w:hAnsi="Arial" w:cs="Arial"/>
                <w:sz w:val="16"/>
                <w:szCs w:val="16"/>
                <w:lang w:eastAsia="en-GB"/>
              </w:rPr>
              <w:t>1 5</w:t>
            </w:r>
          </w:p>
        </w:tc>
        <w:tc>
          <w:tcPr>
            <w:tcW w:w="3399" w:type="dxa"/>
            <w:tcBorders>
              <w:top w:val="nil"/>
              <w:left w:val="nil"/>
              <w:bottom w:val="single" w:sz="4" w:space="0" w:color="auto"/>
              <w:right w:val="single" w:sz="4" w:space="0" w:color="auto"/>
            </w:tcBorders>
            <w:shd w:val="clear" w:color="auto" w:fill="auto"/>
            <w:vAlign w:val="center"/>
            <w:hideMark/>
          </w:tcPr>
          <w:p w14:paraId="36226A3A" w14:textId="77777777" w:rsidR="00AF5369" w:rsidRPr="00AF5369" w:rsidRDefault="00AF5369" w:rsidP="00AF5369">
            <w:pPr>
              <w:spacing w:after="0" w:line="240" w:lineRule="auto"/>
              <w:rPr>
                <w:rFonts w:ascii="Arial" w:eastAsia="Times New Roman" w:hAnsi="Arial" w:cs="Arial"/>
                <w:sz w:val="16"/>
                <w:szCs w:val="16"/>
                <w:lang w:eastAsia="en-GB"/>
              </w:rPr>
            </w:pPr>
            <w:r w:rsidRPr="00AF5369">
              <w:rPr>
                <w:rFonts w:ascii="Arial" w:eastAsia="Times New Roman" w:hAnsi="Arial" w:cs="Arial"/>
                <w:sz w:val="16"/>
                <w:szCs w:val="16"/>
                <w:lang w:eastAsia="en-GB"/>
              </w:rPr>
              <w:t>Entertainment and representation expenses</w:t>
            </w:r>
          </w:p>
        </w:tc>
        <w:tc>
          <w:tcPr>
            <w:tcW w:w="2048" w:type="dxa"/>
            <w:tcBorders>
              <w:top w:val="nil"/>
              <w:left w:val="nil"/>
              <w:bottom w:val="single" w:sz="4" w:space="0" w:color="auto"/>
              <w:right w:val="single" w:sz="4" w:space="0" w:color="auto"/>
            </w:tcBorders>
            <w:shd w:val="clear" w:color="auto" w:fill="auto"/>
            <w:vAlign w:val="center"/>
            <w:hideMark/>
          </w:tcPr>
          <w:p w14:paraId="615213A7"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5,000 </w:t>
            </w:r>
          </w:p>
        </w:tc>
        <w:tc>
          <w:tcPr>
            <w:tcW w:w="1888" w:type="dxa"/>
            <w:tcBorders>
              <w:top w:val="nil"/>
              <w:left w:val="nil"/>
              <w:bottom w:val="single" w:sz="4" w:space="0" w:color="auto"/>
              <w:right w:val="single" w:sz="4" w:space="0" w:color="auto"/>
            </w:tcBorders>
            <w:shd w:val="clear" w:color="auto" w:fill="auto"/>
            <w:vAlign w:val="center"/>
            <w:hideMark/>
          </w:tcPr>
          <w:p w14:paraId="24C8CCAE"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2,124 </w:t>
            </w:r>
          </w:p>
        </w:tc>
        <w:tc>
          <w:tcPr>
            <w:tcW w:w="1814" w:type="dxa"/>
            <w:tcBorders>
              <w:top w:val="nil"/>
              <w:left w:val="nil"/>
              <w:bottom w:val="single" w:sz="4" w:space="0" w:color="auto"/>
              <w:right w:val="single" w:sz="4" w:space="0" w:color="auto"/>
            </w:tcBorders>
            <w:shd w:val="clear" w:color="auto" w:fill="auto"/>
            <w:vAlign w:val="center"/>
            <w:hideMark/>
          </w:tcPr>
          <w:p w14:paraId="4660EEFA"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42.5%</w:t>
            </w:r>
          </w:p>
        </w:tc>
        <w:tc>
          <w:tcPr>
            <w:tcW w:w="1898" w:type="dxa"/>
            <w:tcBorders>
              <w:top w:val="nil"/>
              <w:left w:val="nil"/>
              <w:bottom w:val="single" w:sz="4" w:space="0" w:color="auto"/>
              <w:right w:val="single" w:sz="4" w:space="0" w:color="auto"/>
            </w:tcBorders>
            <w:shd w:val="clear" w:color="auto" w:fill="auto"/>
            <w:vAlign w:val="center"/>
            <w:hideMark/>
          </w:tcPr>
          <w:p w14:paraId="0FBCB667" w14:textId="77777777" w:rsidR="00AF5369" w:rsidRPr="00AF5369" w:rsidRDefault="00AF5369" w:rsidP="009A25C0">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                      6,050 </w:t>
            </w:r>
          </w:p>
        </w:tc>
        <w:tc>
          <w:tcPr>
            <w:tcW w:w="1698" w:type="dxa"/>
            <w:tcBorders>
              <w:top w:val="nil"/>
              <w:left w:val="nil"/>
              <w:bottom w:val="single" w:sz="4" w:space="0" w:color="auto"/>
              <w:right w:val="single" w:sz="4" w:space="0" w:color="auto"/>
            </w:tcBorders>
            <w:shd w:val="clear" w:color="auto" w:fill="auto"/>
            <w:vAlign w:val="center"/>
            <w:hideMark/>
          </w:tcPr>
          <w:p w14:paraId="55AE4F21" w14:textId="77777777" w:rsidR="00AF5369" w:rsidRPr="00AF5369" w:rsidRDefault="00AF5369" w:rsidP="009A25C0">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3,175 </w:t>
            </w:r>
          </w:p>
        </w:tc>
        <w:tc>
          <w:tcPr>
            <w:tcW w:w="1926" w:type="dxa"/>
            <w:tcBorders>
              <w:top w:val="nil"/>
              <w:left w:val="nil"/>
              <w:bottom w:val="single" w:sz="4" w:space="0" w:color="auto"/>
              <w:right w:val="single" w:sz="4" w:space="0" w:color="auto"/>
            </w:tcBorders>
            <w:shd w:val="clear" w:color="auto" w:fill="auto"/>
            <w:vAlign w:val="center"/>
            <w:hideMark/>
          </w:tcPr>
          <w:p w14:paraId="1B1E8A4B"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52.5%</w:t>
            </w:r>
          </w:p>
        </w:tc>
      </w:tr>
      <w:tr w:rsidR="00AF5369" w:rsidRPr="00AF5369" w14:paraId="4FAA8FDF" w14:textId="77777777" w:rsidTr="00AF5369">
        <w:trPr>
          <w:trHeight w:val="265"/>
          <w:jc w:val="center"/>
        </w:trPr>
        <w:tc>
          <w:tcPr>
            <w:tcW w:w="849" w:type="dxa"/>
            <w:tcBorders>
              <w:top w:val="nil"/>
              <w:left w:val="single" w:sz="4" w:space="0" w:color="auto"/>
              <w:bottom w:val="single" w:sz="4" w:space="0" w:color="auto"/>
              <w:right w:val="single" w:sz="4" w:space="0" w:color="auto"/>
            </w:tcBorders>
            <w:shd w:val="clear" w:color="000000" w:fill="DDEBF7"/>
            <w:vAlign w:val="center"/>
            <w:hideMark/>
          </w:tcPr>
          <w:p w14:paraId="50A9EE99" w14:textId="77777777" w:rsidR="00AF5369" w:rsidRPr="00AF5369" w:rsidRDefault="00AF5369" w:rsidP="00AF5369">
            <w:pPr>
              <w:spacing w:after="0" w:line="240" w:lineRule="auto"/>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Total Title 1</w:t>
            </w:r>
          </w:p>
        </w:tc>
        <w:tc>
          <w:tcPr>
            <w:tcW w:w="3399" w:type="dxa"/>
            <w:tcBorders>
              <w:top w:val="nil"/>
              <w:left w:val="nil"/>
              <w:bottom w:val="single" w:sz="4" w:space="0" w:color="auto"/>
              <w:right w:val="single" w:sz="4" w:space="0" w:color="auto"/>
            </w:tcBorders>
            <w:shd w:val="clear" w:color="000000" w:fill="DDEBF7"/>
            <w:vAlign w:val="center"/>
            <w:hideMark/>
          </w:tcPr>
          <w:p w14:paraId="223344EB" w14:textId="77777777" w:rsidR="00AF5369" w:rsidRPr="00AF5369" w:rsidRDefault="00AF5369" w:rsidP="00AF5369">
            <w:pPr>
              <w:spacing w:after="0" w:line="240" w:lineRule="auto"/>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Staff expenditure</w:t>
            </w:r>
          </w:p>
        </w:tc>
        <w:tc>
          <w:tcPr>
            <w:tcW w:w="2048" w:type="dxa"/>
            <w:tcBorders>
              <w:top w:val="nil"/>
              <w:left w:val="nil"/>
              <w:bottom w:val="single" w:sz="4" w:space="0" w:color="auto"/>
              <w:right w:val="single" w:sz="4" w:space="0" w:color="auto"/>
            </w:tcBorders>
            <w:shd w:val="clear" w:color="000000" w:fill="DDEBF7"/>
            <w:vAlign w:val="center"/>
            <w:hideMark/>
          </w:tcPr>
          <w:p w14:paraId="23E79CFA" w14:textId="77777777" w:rsidR="00AF5369" w:rsidRPr="00AF5369" w:rsidRDefault="00AF5369" w:rsidP="00AF5369">
            <w:pPr>
              <w:spacing w:after="0" w:line="240" w:lineRule="auto"/>
              <w:jc w:val="right"/>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 xml:space="preserve">            3,767,697 </w:t>
            </w:r>
          </w:p>
        </w:tc>
        <w:tc>
          <w:tcPr>
            <w:tcW w:w="1888" w:type="dxa"/>
            <w:tcBorders>
              <w:top w:val="nil"/>
              <w:left w:val="nil"/>
              <w:bottom w:val="single" w:sz="4" w:space="0" w:color="auto"/>
              <w:right w:val="single" w:sz="4" w:space="0" w:color="auto"/>
            </w:tcBorders>
            <w:shd w:val="clear" w:color="000000" w:fill="DDEBF7"/>
            <w:vAlign w:val="center"/>
            <w:hideMark/>
          </w:tcPr>
          <w:p w14:paraId="077DDFBE" w14:textId="77777777" w:rsidR="00AF5369" w:rsidRPr="00AF5369" w:rsidRDefault="00AF5369" w:rsidP="00AF5369">
            <w:pPr>
              <w:spacing w:after="0" w:line="240" w:lineRule="auto"/>
              <w:jc w:val="right"/>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 xml:space="preserve">          3,571,822 </w:t>
            </w:r>
          </w:p>
        </w:tc>
        <w:tc>
          <w:tcPr>
            <w:tcW w:w="1814" w:type="dxa"/>
            <w:tcBorders>
              <w:top w:val="nil"/>
              <w:left w:val="nil"/>
              <w:bottom w:val="single" w:sz="4" w:space="0" w:color="auto"/>
              <w:right w:val="single" w:sz="4" w:space="0" w:color="auto"/>
            </w:tcBorders>
            <w:shd w:val="clear" w:color="000000" w:fill="DDEBF7"/>
            <w:vAlign w:val="center"/>
            <w:hideMark/>
          </w:tcPr>
          <w:p w14:paraId="02FD22FD" w14:textId="77777777" w:rsidR="00AF5369" w:rsidRPr="00AF5369" w:rsidRDefault="00AF5369" w:rsidP="00AF5369">
            <w:pPr>
              <w:spacing w:after="0" w:line="240" w:lineRule="auto"/>
              <w:jc w:val="right"/>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94.8%</w:t>
            </w:r>
          </w:p>
        </w:tc>
        <w:tc>
          <w:tcPr>
            <w:tcW w:w="1898" w:type="dxa"/>
            <w:tcBorders>
              <w:top w:val="nil"/>
              <w:left w:val="nil"/>
              <w:bottom w:val="single" w:sz="4" w:space="0" w:color="auto"/>
              <w:right w:val="single" w:sz="4" w:space="0" w:color="auto"/>
            </w:tcBorders>
            <w:shd w:val="clear" w:color="000000" w:fill="DDEBF7"/>
            <w:vAlign w:val="center"/>
            <w:hideMark/>
          </w:tcPr>
          <w:p w14:paraId="443408C5" w14:textId="77777777" w:rsidR="00AF5369" w:rsidRPr="00AF5369" w:rsidRDefault="00AF5369" w:rsidP="009A25C0">
            <w:pPr>
              <w:spacing w:after="0" w:line="240" w:lineRule="auto"/>
              <w:jc w:val="right"/>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 xml:space="preserve">          3,878,319 </w:t>
            </w:r>
          </w:p>
        </w:tc>
        <w:tc>
          <w:tcPr>
            <w:tcW w:w="1698" w:type="dxa"/>
            <w:tcBorders>
              <w:top w:val="nil"/>
              <w:left w:val="nil"/>
              <w:bottom w:val="single" w:sz="4" w:space="0" w:color="auto"/>
              <w:right w:val="single" w:sz="4" w:space="0" w:color="auto"/>
            </w:tcBorders>
            <w:shd w:val="clear" w:color="000000" w:fill="DDEBF7"/>
            <w:vAlign w:val="center"/>
            <w:hideMark/>
          </w:tcPr>
          <w:p w14:paraId="1B4144A3" w14:textId="77777777" w:rsidR="00AF5369" w:rsidRPr="00AF5369" w:rsidRDefault="00AF5369" w:rsidP="009A25C0">
            <w:pPr>
              <w:spacing w:after="0" w:line="240" w:lineRule="auto"/>
              <w:jc w:val="right"/>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 xml:space="preserve">       3,475,344 </w:t>
            </w:r>
          </w:p>
        </w:tc>
        <w:tc>
          <w:tcPr>
            <w:tcW w:w="1926" w:type="dxa"/>
            <w:tcBorders>
              <w:top w:val="nil"/>
              <w:left w:val="nil"/>
              <w:bottom w:val="single" w:sz="4" w:space="0" w:color="auto"/>
              <w:right w:val="single" w:sz="4" w:space="0" w:color="auto"/>
            </w:tcBorders>
            <w:shd w:val="clear" w:color="000000" w:fill="DDEBF7"/>
            <w:vAlign w:val="center"/>
            <w:hideMark/>
          </w:tcPr>
          <w:p w14:paraId="31F2EE3E" w14:textId="77777777" w:rsidR="00AF5369" w:rsidRPr="00AF5369" w:rsidRDefault="00AF5369" w:rsidP="00AF5369">
            <w:pPr>
              <w:spacing w:after="0" w:line="240" w:lineRule="auto"/>
              <w:jc w:val="right"/>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89.6%</w:t>
            </w:r>
          </w:p>
        </w:tc>
      </w:tr>
      <w:tr w:rsidR="00AF5369" w:rsidRPr="00AF5369" w14:paraId="673EF0E5" w14:textId="77777777" w:rsidTr="00AF5369">
        <w:trPr>
          <w:trHeight w:val="323"/>
          <w:jc w:val="center"/>
        </w:trPr>
        <w:tc>
          <w:tcPr>
            <w:tcW w:w="849" w:type="dxa"/>
            <w:tcBorders>
              <w:top w:val="nil"/>
              <w:left w:val="single" w:sz="4" w:space="0" w:color="auto"/>
              <w:bottom w:val="single" w:sz="4" w:space="0" w:color="auto"/>
              <w:right w:val="single" w:sz="4" w:space="0" w:color="auto"/>
            </w:tcBorders>
            <w:shd w:val="clear" w:color="auto" w:fill="auto"/>
            <w:vAlign w:val="center"/>
            <w:hideMark/>
          </w:tcPr>
          <w:p w14:paraId="5D5E4590" w14:textId="77777777" w:rsidR="00AF5369" w:rsidRPr="00AF5369" w:rsidRDefault="00AF5369" w:rsidP="00AF5369">
            <w:pPr>
              <w:spacing w:after="0" w:line="240" w:lineRule="auto"/>
              <w:rPr>
                <w:rFonts w:ascii="Arial" w:eastAsia="Times New Roman" w:hAnsi="Arial" w:cs="Arial"/>
                <w:sz w:val="16"/>
                <w:szCs w:val="16"/>
                <w:lang w:eastAsia="en-GB"/>
              </w:rPr>
            </w:pPr>
            <w:r w:rsidRPr="00AF5369">
              <w:rPr>
                <w:rFonts w:ascii="Arial" w:eastAsia="Times New Roman" w:hAnsi="Arial" w:cs="Arial"/>
                <w:sz w:val="16"/>
                <w:szCs w:val="16"/>
                <w:lang w:eastAsia="en-GB"/>
              </w:rPr>
              <w:t>2 0</w:t>
            </w:r>
          </w:p>
        </w:tc>
        <w:tc>
          <w:tcPr>
            <w:tcW w:w="3399" w:type="dxa"/>
            <w:tcBorders>
              <w:top w:val="nil"/>
              <w:left w:val="nil"/>
              <w:bottom w:val="single" w:sz="4" w:space="0" w:color="auto"/>
              <w:right w:val="single" w:sz="4" w:space="0" w:color="auto"/>
            </w:tcBorders>
            <w:shd w:val="clear" w:color="auto" w:fill="auto"/>
            <w:vAlign w:val="center"/>
            <w:hideMark/>
          </w:tcPr>
          <w:p w14:paraId="049F8034" w14:textId="77777777" w:rsidR="00AF5369" w:rsidRPr="00AF5369" w:rsidRDefault="00AF5369" w:rsidP="00AF5369">
            <w:pPr>
              <w:spacing w:after="0" w:line="240" w:lineRule="auto"/>
              <w:rPr>
                <w:rFonts w:ascii="Arial" w:eastAsia="Times New Roman" w:hAnsi="Arial" w:cs="Arial"/>
                <w:sz w:val="16"/>
                <w:szCs w:val="16"/>
                <w:lang w:eastAsia="en-GB"/>
              </w:rPr>
            </w:pPr>
            <w:r w:rsidRPr="00AF5369">
              <w:rPr>
                <w:rFonts w:ascii="Arial" w:eastAsia="Times New Roman" w:hAnsi="Arial" w:cs="Arial"/>
                <w:sz w:val="16"/>
                <w:szCs w:val="16"/>
                <w:lang w:eastAsia="en-GB"/>
              </w:rPr>
              <w:t>Investments in immovable property, rental of buildings and associated cost</w:t>
            </w:r>
          </w:p>
        </w:tc>
        <w:tc>
          <w:tcPr>
            <w:tcW w:w="2048" w:type="dxa"/>
            <w:tcBorders>
              <w:top w:val="nil"/>
              <w:left w:val="nil"/>
              <w:bottom w:val="single" w:sz="4" w:space="0" w:color="auto"/>
              <w:right w:val="single" w:sz="4" w:space="0" w:color="auto"/>
            </w:tcBorders>
            <w:shd w:val="clear" w:color="auto" w:fill="auto"/>
            <w:vAlign w:val="center"/>
            <w:hideMark/>
          </w:tcPr>
          <w:p w14:paraId="76060B07"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357,872 </w:t>
            </w:r>
          </w:p>
        </w:tc>
        <w:tc>
          <w:tcPr>
            <w:tcW w:w="1888" w:type="dxa"/>
            <w:tcBorders>
              <w:top w:val="nil"/>
              <w:left w:val="nil"/>
              <w:bottom w:val="single" w:sz="4" w:space="0" w:color="auto"/>
              <w:right w:val="single" w:sz="4" w:space="0" w:color="auto"/>
            </w:tcBorders>
            <w:shd w:val="clear" w:color="auto" w:fill="auto"/>
            <w:vAlign w:val="center"/>
            <w:hideMark/>
          </w:tcPr>
          <w:p w14:paraId="60E1F7F6"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353,580 </w:t>
            </w:r>
          </w:p>
        </w:tc>
        <w:tc>
          <w:tcPr>
            <w:tcW w:w="1814" w:type="dxa"/>
            <w:tcBorders>
              <w:top w:val="nil"/>
              <w:left w:val="nil"/>
              <w:bottom w:val="single" w:sz="4" w:space="0" w:color="auto"/>
              <w:right w:val="single" w:sz="4" w:space="0" w:color="auto"/>
            </w:tcBorders>
            <w:shd w:val="clear" w:color="auto" w:fill="auto"/>
            <w:vAlign w:val="center"/>
            <w:hideMark/>
          </w:tcPr>
          <w:p w14:paraId="57F29246"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98.8%</w:t>
            </w:r>
          </w:p>
        </w:tc>
        <w:tc>
          <w:tcPr>
            <w:tcW w:w="1898" w:type="dxa"/>
            <w:tcBorders>
              <w:top w:val="nil"/>
              <w:left w:val="nil"/>
              <w:bottom w:val="single" w:sz="4" w:space="0" w:color="auto"/>
              <w:right w:val="single" w:sz="4" w:space="0" w:color="auto"/>
            </w:tcBorders>
            <w:shd w:val="clear" w:color="auto" w:fill="auto"/>
            <w:vAlign w:val="center"/>
            <w:hideMark/>
          </w:tcPr>
          <w:p w14:paraId="0FE27594" w14:textId="77777777" w:rsidR="00AF5369" w:rsidRPr="00AF5369" w:rsidRDefault="00AF5369" w:rsidP="009A25C0">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                   363,922 </w:t>
            </w:r>
          </w:p>
        </w:tc>
        <w:tc>
          <w:tcPr>
            <w:tcW w:w="1698" w:type="dxa"/>
            <w:tcBorders>
              <w:top w:val="nil"/>
              <w:left w:val="nil"/>
              <w:bottom w:val="single" w:sz="4" w:space="0" w:color="auto"/>
              <w:right w:val="single" w:sz="4" w:space="0" w:color="auto"/>
            </w:tcBorders>
            <w:shd w:val="clear" w:color="auto" w:fill="auto"/>
            <w:vAlign w:val="center"/>
            <w:hideMark/>
          </w:tcPr>
          <w:p w14:paraId="7DC562B0" w14:textId="77777777" w:rsidR="00AF5369" w:rsidRPr="00AF5369" w:rsidRDefault="00AF5369" w:rsidP="009A25C0">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350,651 </w:t>
            </w:r>
          </w:p>
        </w:tc>
        <w:tc>
          <w:tcPr>
            <w:tcW w:w="1926" w:type="dxa"/>
            <w:tcBorders>
              <w:top w:val="nil"/>
              <w:left w:val="nil"/>
              <w:bottom w:val="single" w:sz="4" w:space="0" w:color="auto"/>
              <w:right w:val="single" w:sz="4" w:space="0" w:color="auto"/>
            </w:tcBorders>
            <w:shd w:val="clear" w:color="auto" w:fill="auto"/>
            <w:vAlign w:val="center"/>
            <w:hideMark/>
          </w:tcPr>
          <w:p w14:paraId="1867F56C"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96.4%</w:t>
            </w:r>
          </w:p>
        </w:tc>
      </w:tr>
      <w:tr w:rsidR="00AF5369" w:rsidRPr="00AF5369" w14:paraId="288AE85F" w14:textId="77777777" w:rsidTr="00AF5369">
        <w:trPr>
          <w:trHeight w:val="230"/>
          <w:jc w:val="center"/>
        </w:trPr>
        <w:tc>
          <w:tcPr>
            <w:tcW w:w="849" w:type="dxa"/>
            <w:tcBorders>
              <w:top w:val="nil"/>
              <w:left w:val="single" w:sz="4" w:space="0" w:color="auto"/>
              <w:bottom w:val="single" w:sz="4" w:space="0" w:color="auto"/>
              <w:right w:val="single" w:sz="4" w:space="0" w:color="auto"/>
            </w:tcBorders>
            <w:shd w:val="clear" w:color="auto" w:fill="auto"/>
            <w:vAlign w:val="center"/>
            <w:hideMark/>
          </w:tcPr>
          <w:p w14:paraId="74AC7806" w14:textId="77777777" w:rsidR="00AF5369" w:rsidRPr="00AF5369" w:rsidRDefault="00AF5369" w:rsidP="00AF5369">
            <w:pPr>
              <w:spacing w:after="0" w:line="240" w:lineRule="auto"/>
              <w:rPr>
                <w:rFonts w:ascii="Arial" w:eastAsia="Times New Roman" w:hAnsi="Arial" w:cs="Arial"/>
                <w:sz w:val="16"/>
                <w:szCs w:val="16"/>
                <w:lang w:eastAsia="en-GB"/>
              </w:rPr>
            </w:pPr>
            <w:r w:rsidRPr="00AF5369">
              <w:rPr>
                <w:rFonts w:ascii="Arial" w:eastAsia="Times New Roman" w:hAnsi="Arial" w:cs="Arial"/>
                <w:sz w:val="16"/>
                <w:szCs w:val="16"/>
                <w:lang w:eastAsia="en-GB"/>
              </w:rPr>
              <w:t>2 1</w:t>
            </w:r>
          </w:p>
        </w:tc>
        <w:tc>
          <w:tcPr>
            <w:tcW w:w="3399" w:type="dxa"/>
            <w:tcBorders>
              <w:top w:val="nil"/>
              <w:left w:val="nil"/>
              <w:bottom w:val="single" w:sz="4" w:space="0" w:color="auto"/>
              <w:right w:val="single" w:sz="4" w:space="0" w:color="auto"/>
            </w:tcBorders>
            <w:shd w:val="clear" w:color="auto" w:fill="auto"/>
            <w:vAlign w:val="center"/>
            <w:hideMark/>
          </w:tcPr>
          <w:p w14:paraId="17858188" w14:textId="77777777" w:rsidR="00AF5369" w:rsidRPr="00AF5369" w:rsidRDefault="00AF5369" w:rsidP="00AF5369">
            <w:pPr>
              <w:spacing w:after="0" w:line="240" w:lineRule="auto"/>
              <w:rPr>
                <w:rFonts w:ascii="Arial" w:eastAsia="Times New Roman" w:hAnsi="Arial" w:cs="Arial"/>
                <w:sz w:val="16"/>
                <w:szCs w:val="16"/>
                <w:lang w:eastAsia="en-GB"/>
              </w:rPr>
            </w:pPr>
            <w:r w:rsidRPr="00AF5369">
              <w:rPr>
                <w:rFonts w:ascii="Arial" w:eastAsia="Times New Roman" w:hAnsi="Arial" w:cs="Arial"/>
                <w:sz w:val="16"/>
                <w:szCs w:val="16"/>
                <w:lang w:eastAsia="en-GB"/>
              </w:rPr>
              <w:t>Information technology</w:t>
            </w:r>
          </w:p>
        </w:tc>
        <w:tc>
          <w:tcPr>
            <w:tcW w:w="2048" w:type="dxa"/>
            <w:tcBorders>
              <w:top w:val="nil"/>
              <w:left w:val="nil"/>
              <w:bottom w:val="single" w:sz="4" w:space="0" w:color="auto"/>
              <w:right w:val="single" w:sz="4" w:space="0" w:color="auto"/>
            </w:tcBorders>
            <w:shd w:val="clear" w:color="auto" w:fill="auto"/>
            <w:vAlign w:val="center"/>
            <w:hideMark/>
          </w:tcPr>
          <w:p w14:paraId="77C701EA"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464,750 </w:t>
            </w:r>
          </w:p>
        </w:tc>
        <w:tc>
          <w:tcPr>
            <w:tcW w:w="1888" w:type="dxa"/>
            <w:tcBorders>
              <w:top w:val="nil"/>
              <w:left w:val="nil"/>
              <w:bottom w:val="single" w:sz="4" w:space="0" w:color="auto"/>
              <w:right w:val="single" w:sz="4" w:space="0" w:color="auto"/>
            </w:tcBorders>
            <w:shd w:val="clear" w:color="auto" w:fill="auto"/>
            <w:vAlign w:val="center"/>
            <w:hideMark/>
          </w:tcPr>
          <w:p w14:paraId="28A16119"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458,180 </w:t>
            </w:r>
          </w:p>
        </w:tc>
        <w:tc>
          <w:tcPr>
            <w:tcW w:w="1814" w:type="dxa"/>
            <w:tcBorders>
              <w:top w:val="nil"/>
              <w:left w:val="nil"/>
              <w:bottom w:val="single" w:sz="4" w:space="0" w:color="auto"/>
              <w:right w:val="single" w:sz="4" w:space="0" w:color="auto"/>
            </w:tcBorders>
            <w:shd w:val="clear" w:color="auto" w:fill="auto"/>
            <w:vAlign w:val="center"/>
            <w:hideMark/>
          </w:tcPr>
          <w:p w14:paraId="5216D5EC"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98.6%</w:t>
            </w:r>
          </w:p>
        </w:tc>
        <w:tc>
          <w:tcPr>
            <w:tcW w:w="1898" w:type="dxa"/>
            <w:tcBorders>
              <w:top w:val="nil"/>
              <w:left w:val="nil"/>
              <w:bottom w:val="single" w:sz="4" w:space="0" w:color="auto"/>
              <w:right w:val="single" w:sz="4" w:space="0" w:color="auto"/>
            </w:tcBorders>
            <w:shd w:val="clear" w:color="auto" w:fill="auto"/>
            <w:vAlign w:val="center"/>
            <w:hideMark/>
          </w:tcPr>
          <w:p w14:paraId="51199068" w14:textId="77777777" w:rsidR="00AF5369" w:rsidRPr="00AF5369" w:rsidRDefault="00AF5369" w:rsidP="009A25C0">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                   727,503 </w:t>
            </w:r>
          </w:p>
        </w:tc>
        <w:tc>
          <w:tcPr>
            <w:tcW w:w="1698" w:type="dxa"/>
            <w:tcBorders>
              <w:top w:val="nil"/>
              <w:left w:val="nil"/>
              <w:bottom w:val="single" w:sz="4" w:space="0" w:color="auto"/>
              <w:right w:val="single" w:sz="4" w:space="0" w:color="auto"/>
            </w:tcBorders>
            <w:shd w:val="clear" w:color="auto" w:fill="auto"/>
            <w:vAlign w:val="center"/>
            <w:hideMark/>
          </w:tcPr>
          <w:p w14:paraId="5CC5BF2B" w14:textId="77777777" w:rsidR="00AF5369" w:rsidRPr="00AF5369" w:rsidRDefault="00AF5369" w:rsidP="009A25C0">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464,887 </w:t>
            </w:r>
          </w:p>
        </w:tc>
        <w:tc>
          <w:tcPr>
            <w:tcW w:w="1926" w:type="dxa"/>
            <w:tcBorders>
              <w:top w:val="nil"/>
              <w:left w:val="nil"/>
              <w:bottom w:val="single" w:sz="4" w:space="0" w:color="auto"/>
              <w:right w:val="single" w:sz="4" w:space="0" w:color="auto"/>
            </w:tcBorders>
            <w:shd w:val="clear" w:color="auto" w:fill="auto"/>
            <w:vAlign w:val="center"/>
            <w:hideMark/>
          </w:tcPr>
          <w:p w14:paraId="2943C936"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63.9%</w:t>
            </w:r>
          </w:p>
        </w:tc>
      </w:tr>
      <w:tr w:rsidR="00AF5369" w:rsidRPr="00AF5369" w14:paraId="546C6787" w14:textId="77777777" w:rsidTr="00AF5369">
        <w:trPr>
          <w:trHeight w:val="261"/>
          <w:jc w:val="center"/>
        </w:trPr>
        <w:tc>
          <w:tcPr>
            <w:tcW w:w="849" w:type="dxa"/>
            <w:tcBorders>
              <w:top w:val="nil"/>
              <w:left w:val="single" w:sz="4" w:space="0" w:color="auto"/>
              <w:bottom w:val="single" w:sz="4" w:space="0" w:color="auto"/>
              <w:right w:val="single" w:sz="4" w:space="0" w:color="auto"/>
            </w:tcBorders>
            <w:shd w:val="clear" w:color="auto" w:fill="auto"/>
            <w:vAlign w:val="center"/>
            <w:hideMark/>
          </w:tcPr>
          <w:p w14:paraId="7401507C" w14:textId="77777777" w:rsidR="00AF5369" w:rsidRPr="00AF5369" w:rsidRDefault="00AF5369" w:rsidP="00AF5369">
            <w:pPr>
              <w:spacing w:after="0" w:line="240" w:lineRule="auto"/>
              <w:rPr>
                <w:rFonts w:ascii="Arial" w:eastAsia="Times New Roman" w:hAnsi="Arial" w:cs="Arial"/>
                <w:sz w:val="16"/>
                <w:szCs w:val="16"/>
                <w:lang w:eastAsia="en-GB"/>
              </w:rPr>
            </w:pPr>
            <w:r w:rsidRPr="00AF5369">
              <w:rPr>
                <w:rFonts w:ascii="Arial" w:eastAsia="Times New Roman" w:hAnsi="Arial" w:cs="Arial"/>
                <w:sz w:val="16"/>
                <w:szCs w:val="16"/>
                <w:lang w:eastAsia="en-GB"/>
              </w:rPr>
              <w:t>2 2</w:t>
            </w:r>
          </w:p>
        </w:tc>
        <w:tc>
          <w:tcPr>
            <w:tcW w:w="3399" w:type="dxa"/>
            <w:tcBorders>
              <w:top w:val="nil"/>
              <w:left w:val="nil"/>
              <w:bottom w:val="single" w:sz="4" w:space="0" w:color="auto"/>
              <w:right w:val="single" w:sz="4" w:space="0" w:color="auto"/>
            </w:tcBorders>
            <w:shd w:val="clear" w:color="auto" w:fill="auto"/>
            <w:vAlign w:val="center"/>
            <w:hideMark/>
          </w:tcPr>
          <w:p w14:paraId="7179AC4A" w14:textId="77777777" w:rsidR="00AF5369" w:rsidRPr="00AF5369" w:rsidRDefault="00AF5369" w:rsidP="00AF5369">
            <w:pPr>
              <w:spacing w:after="0" w:line="240" w:lineRule="auto"/>
              <w:rPr>
                <w:rFonts w:ascii="Arial" w:eastAsia="Times New Roman" w:hAnsi="Arial" w:cs="Arial"/>
                <w:sz w:val="16"/>
                <w:szCs w:val="16"/>
                <w:lang w:eastAsia="en-GB"/>
              </w:rPr>
            </w:pPr>
            <w:r w:rsidRPr="00AF5369">
              <w:rPr>
                <w:rFonts w:ascii="Arial" w:eastAsia="Times New Roman" w:hAnsi="Arial" w:cs="Arial"/>
                <w:sz w:val="16"/>
                <w:szCs w:val="16"/>
                <w:lang w:eastAsia="en-GB"/>
              </w:rPr>
              <w:t>Movable property and associated costs</w:t>
            </w:r>
          </w:p>
        </w:tc>
        <w:tc>
          <w:tcPr>
            <w:tcW w:w="2048" w:type="dxa"/>
            <w:tcBorders>
              <w:top w:val="nil"/>
              <w:left w:val="nil"/>
              <w:bottom w:val="single" w:sz="4" w:space="0" w:color="auto"/>
              <w:right w:val="single" w:sz="4" w:space="0" w:color="auto"/>
            </w:tcBorders>
            <w:shd w:val="clear" w:color="auto" w:fill="auto"/>
            <w:vAlign w:val="center"/>
            <w:hideMark/>
          </w:tcPr>
          <w:p w14:paraId="63D38DD7"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10,000 </w:t>
            </w:r>
          </w:p>
        </w:tc>
        <w:tc>
          <w:tcPr>
            <w:tcW w:w="1888" w:type="dxa"/>
            <w:tcBorders>
              <w:top w:val="nil"/>
              <w:left w:val="nil"/>
              <w:bottom w:val="single" w:sz="4" w:space="0" w:color="auto"/>
              <w:right w:val="single" w:sz="4" w:space="0" w:color="auto"/>
            </w:tcBorders>
            <w:shd w:val="clear" w:color="auto" w:fill="auto"/>
            <w:vAlign w:val="center"/>
            <w:hideMark/>
          </w:tcPr>
          <w:p w14:paraId="45F54DCB"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498 </w:t>
            </w:r>
          </w:p>
        </w:tc>
        <w:tc>
          <w:tcPr>
            <w:tcW w:w="1814" w:type="dxa"/>
            <w:tcBorders>
              <w:top w:val="nil"/>
              <w:left w:val="nil"/>
              <w:bottom w:val="single" w:sz="4" w:space="0" w:color="auto"/>
              <w:right w:val="single" w:sz="4" w:space="0" w:color="auto"/>
            </w:tcBorders>
            <w:shd w:val="clear" w:color="auto" w:fill="auto"/>
            <w:vAlign w:val="center"/>
            <w:hideMark/>
          </w:tcPr>
          <w:p w14:paraId="6EB632AB"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0.0%</w:t>
            </w:r>
          </w:p>
        </w:tc>
        <w:tc>
          <w:tcPr>
            <w:tcW w:w="1898" w:type="dxa"/>
            <w:tcBorders>
              <w:top w:val="nil"/>
              <w:left w:val="nil"/>
              <w:bottom w:val="single" w:sz="4" w:space="0" w:color="auto"/>
              <w:right w:val="single" w:sz="4" w:space="0" w:color="auto"/>
            </w:tcBorders>
            <w:shd w:val="clear" w:color="auto" w:fill="auto"/>
            <w:vAlign w:val="center"/>
            <w:hideMark/>
          </w:tcPr>
          <w:p w14:paraId="5EC2C6BA" w14:textId="77777777" w:rsidR="00AF5369" w:rsidRPr="00AF5369" w:rsidRDefault="00AF5369" w:rsidP="009A25C0">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10,000 </w:t>
            </w:r>
          </w:p>
        </w:tc>
        <w:tc>
          <w:tcPr>
            <w:tcW w:w="1698" w:type="dxa"/>
            <w:tcBorders>
              <w:top w:val="nil"/>
              <w:left w:val="nil"/>
              <w:bottom w:val="single" w:sz="4" w:space="0" w:color="auto"/>
              <w:right w:val="single" w:sz="4" w:space="0" w:color="auto"/>
            </w:tcBorders>
            <w:shd w:val="clear" w:color="auto" w:fill="auto"/>
            <w:vAlign w:val="center"/>
            <w:hideMark/>
          </w:tcPr>
          <w:p w14:paraId="714EAA1B" w14:textId="77777777" w:rsidR="00AF5369" w:rsidRPr="00AF5369" w:rsidRDefault="00AF5369" w:rsidP="009A25C0">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0 </w:t>
            </w:r>
          </w:p>
        </w:tc>
        <w:tc>
          <w:tcPr>
            <w:tcW w:w="1926" w:type="dxa"/>
            <w:tcBorders>
              <w:top w:val="nil"/>
              <w:left w:val="nil"/>
              <w:bottom w:val="single" w:sz="4" w:space="0" w:color="auto"/>
              <w:right w:val="single" w:sz="4" w:space="0" w:color="auto"/>
            </w:tcBorders>
            <w:shd w:val="clear" w:color="auto" w:fill="auto"/>
            <w:vAlign w:val="center"/>
            <w:hideMark/>
          </w:tcPr>
          <w:p w14:paraId="71E0B428"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0.0%</w:t>
            </w:r>
          </w:p>
        </w:tc>
      </w:tr>
      <w:tr w:rsidR="00AF5369" w:rsidRPr="00AF5369" w14:paraId="780E2EB2" w14:textId="77777777" w:rsidTr="00AF5369">
        <w:trPr>
          <w:trHeight w:val="279"/>
          <w:jc w:val="center"/>
        </w:trPr>
        <w:tc>
          <w:tcPr>
            <w:tcW w:w="849" w:type="dxa"/>
            <w:tcBorders>
              <w:top w:val="nil"/>
              <w:left w:val="single" w:sz="4" w:space="0" w:color="auto"/>
              <w:bottom w:val="single" w:sz="4" w:space="0" w:color="auto"/>
              <w:right w:val="single" w:sz="4" w:space="0" w:color="auto"/>
            </w:tcBorders>
            <w:shd w:val="clear" w:color="auto" w:fill="auto"/>
            <w:vAlign w:val="center"/>
            <w:hideMark/>
          </w:tcPr>
          <w:p w14:paraId="5DCC8FC4" w14:textId="77777777" w:rsidR="00AF5369" w:rsidRPr="00AF5369" w:rsidRDefault="00AF5369" w:rsidP="00AF5369">
            <w:pPr>
              <w:spacing w:after="0" w:line="240" w:lineRule="auto"/>
              <w:rPr>
                <w:rFonts w:ascii="Arial" w:eastAsia="Times New Roman" w:hAnsi="Arial" w:cs="Arial"/>
                <w:sz w:val="16"/>
                <w:szCs w:val="16"/>
                <w:lang w:eastAsia="en-GB"/>
              </w:rPr>
            </w:pPr>
            <w:r w:rsidRPr="00AF5369">
              <w:rPr>
                <w:rFonts w:ascii="Arial" w:eastAsia="Times New Roman" w:hAnsi="Arial" w:cs="Arial"/>
                <w:sz w:val="16"/>
                <w:szCs w:val="16"/>
                <w:lang w:eastAsia="en-GB"/>
              </w:rPr>
              <w:t>2 3</w:t>
            </w:r>
          </w:p>
        </w:tc>
        <w:tc>
          <w:tcPr>
            <w:tcW w:w="3399" w:type="dxa"/>
            <w:tcBorders>
              <w:top w:val="nil"/>
              <w:left w:val="nil"/>
              <w:bottom w:val="single" w:sz="4" w:space="0" w:color="auto"/>
              <w:right w:val="single" w:sz="4" w:space="0" w:color="auto"/>
            </w:tcBorders>
            <w:shd w:val="clear" w:color="auto" w:fill="auto"/>
            <w:vAlign w:val="center"/>
            <w:hideMark/>
          </w:tcPr>
          <w:p w14:paraId="0BB4375C" w14:textId="77777777" w:rsidR="00AF5369" w:rsidRPr="00AF5369" w:rsidRDefault="00AF5369" w:rsidP="00AF5369">
            <w:pPr>
              <w:spacing w:after="0" w:line="240" w:lineRule="auto"/>
              <w:rPr>
                <w:rFonts w:ascii="Arial" w:eastAsia="Times New Roman" w:hAnsi="Arial" w:cs="Arial"/>
                <w:sz w:val="16"/>
                <w:szCs w:val="16"/>
                <w:lang w:eastAsia="en-GB"/>
              </w:rPr>
            </w:pPr>
            <w:r w:rsidRPr="00AF5369">
              <w:rPr>
                <w:rFonts w:ascii="Arial" w:eastAsia="Times New Roman" w:hAnsi="Arial" w:cs="Arial"/>
                <w:sz w:val="16"/>
                <w:szCs w:val="16"/>
                <w:lang w:eastAsia="en-GB"/>
              </w:rPr>
              <w:t>Current administrative expenditure</w:t>
            </w:r>
          </w:p>
        </w:tc>
        <w:tc>
          <w:tcPr>
            <w:tcW w:w="2048" w:type="dxa"/>
            <w:tcBorders>
              <w:top w:val="nil"/>
              <w:left w:val="nil"/>
              <w:bottom w:val="single" w:sz="4" w:space="0" w:color="auto"/>
              <w:right w:val="single" w:sz="4" w:space="0" w:color="auto"/>
            </w:tcBorders>
            <w:shd w:val="clear" w:color="auto" w:fill="auto"/>
            <w:vAlign w:val="center"/>
            <w:hideMark/>
          </w:tcPr>
          <w:p w14:paraId="1BBC8024"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9,394 </w:t>
            </w:r>
          </w:p>
        </w:tc>
        <w:tc>
          <w:tcPr>
            <w:tcW w:w="1888" w:type="dxa"/>
            <w:tcBorders>
              <w:top w:val="nil"/>
              <w:left w:val="nil"/>
              <w:bottom w:val="single" w:sz="4" w:space="0" w:color="auto"/>
              <w:right w:val="single" w:sz="4" w:space="0" w:color="auto"/>
            </w:tcBorders>
            <w:shd w:val="clear" w:color="auto" w:fill="auto"/>
            <w:vAlign w:val="center"/>
            <w:hideMark/>
          </w:tcPr>
          <w:p w14:paraId="298CB601"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6,772 </w:t>
            </w:r>
          </w:p>
        </w:tc>
        <w:tc>
          <w:tcPr>
            <w:tcW w:w="1814" w:type="dxa"/>
            <w:tcBorders>
              <w:top w:val="nil"/>
              <w:left w:val="nil"/>
              <w:bottom w:val="single" w:sz="4" w:space="0" w:color="auto"/>
              <w:right w:val="single" w:sz="4" w:space="0" w:color="auto"/>
            </w:tcBorders>
            <w:shd w:val="clear" w:color="auto" w:fill="auto"/>
            <w:vAlign w:val="center"/>
            <w:hideMark/>
          </w:tcPr>
          <w:p w14:paraId="162EFE70"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72.1%</w:t>
            </w:r>
          </w:p>
        </w:tc>
        <w:tc>
          <w:tcPr>
            <w:tcW w:w="1898" w:type="dxa"/>
            <w:tcBorders>
              <w:top w:val="nil"/>
              <w:left w:val="nil"/>
              <w:bottom w:val="single" w:sz="4" w:space="0" w:color="auto"/>
              <w:right w:val="single" w:sz="4" w:space="0" w:color="auto"/>
            </w:tcBorders>
            <w:shd w:val="clear" w:color="auto" w:fill="auto"/>
            <w:vAlign w:val="center"/>
            <w:hideMark/>
          </w:tcPr>
          <w:p w14:paraId="23E3B966" w14:textId="77777777" w:rsidR="00AF5369" w:rsidRPr="00AF5369" w:rsidRDefault="00AF5369" w:rsidP="009A25C0">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                    12,001 </w:t>
            </w:r>
          </w:p>
        </w:tc>
        <w:tc>
          <w:tcPr>
            <w:tcW w:w="1698" w:type="dxa"/>
            <w:tcBorders>
              <w:top w:val="nil"/>
              <w:left w:val="nil"/>
              <w:bottom w:val="single" w:sz="4" w:space="0" w:color="auto"/>
              <w:right w:val="single" w:sz="4" w:space="0" w:color="auto"/>
            </w:tcBorders>
            <w:shd w:val="clear" w:color="auto" w:fill="auto"/>
            <w:vAlign w:val="center"/>
            <w:hideMark/>
          </w:tcPr>
          <w:p w14:paraId="724C460F" w14:textId="77777777" w:rsidR="00AF5369" w:rsidRPr="00AF5369" w:rsidRDefault="00AF5369" w:rsidP="009A25C0">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5,782 </w:t>
            </w:r>
          </w:p>
        </w:tc>
        <w:tc>
          <w:tcPr>
            <w:tcW w:w="1926" w:type="dxa"/>
            <w:tcBorders>
              <w:top w:val="nil"/>
              <w:left w:val="nil"/>
              <w:bottom w:val="single" w:sz="4" w:space="0" w:color="auto"/>
              <w:right w:val="single" w:sz="4" w:space="0" w:color="auto"/>
            </w:tcBorders>
            <w:shd w:val="clear" w:color="auto" w:fill="auto"/>
            <w:vAlign w:val="center"/>
            <w:hideMark/>
          </w:tcPr>
          <w:p w14:paraId="73289CA4"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48.2%</w:t>
            </w:r>
          </w:p>
        </w:tc>
      </w:tr>
      <w:tr w:rsidR="00AF5369" w:rsidRPr="00AF5369" w14:paraId="5234AFBC" w14:textId="77777777" w:rsidTr="00AF5369">
        <w:trPr>
          <w:trHeight w:val="269"/>
          <w:jc w:val="center"/>
        </w:trPr>
        <w:tc>
          <w:tcPr>
            <w:tcW w:w="849" w:type="dxa"/>
            <w:tcBorders>
              <w:top w:val="nil"/>
              <w:left w:val="single" w:sz="4" w:space="0" w:color="auto"/>
              <w:bottom w:val="single" w:sz="4" w:space="0" w:color="auto"/>
              <w:right w:val="single" w:sz="4" w:space="0" w:color="auto"/>
            </w:tcBorders>
            <w:shd w:val="clear" w:color="auto" w:fill="auto"/>
            <w:vAlign w:val="center"/>
            <w:hideMark/>
          </w:tcPr>
          <w:p w14:paraId="53224AE3" w14:textId="77777777" w:rsidR="00AF5369" w:rsidRPr="00AF5369" w:rsidRDefault="00AF5369" w:rsidP="00AF5369">
            <w:pPr>
              <w:spacing w:after="0" w:line="240" w:lineRule="auto"/>
              <w:rPr>
                <w:rFonts w:ascii="Arial" w:eastAsia="Times New Roman" w:hAnsi="Arial" w:cs="Arial"/>
                <w:sz w:val="16"/>
                <w:szCs w:val="16"/>
                <w:lang w:eastAsia="en-GB"/>
              </w:rPr>
            </w:pPr>
            <w:r w:rsidRPr="00AF5369">
              <w:rPr>
                <w:rFonts w:ascii="Arial" w:eastAsia="Times New Roman" w:hAnsi="Arial" w:cs="Arial"/>
                <w:sz w:val="16"/>
                <w:szCs w:val="16"/>
                <w:lang w:eastAsia="en-GB"/>
              </w:rPr>
              <w:t>2 4</w:t>
            </w:r>
          </w:p>
        </w:tc>
        <w:tc>
          <w:tcPr>
            <w:tcW w:w="3399" w:type="dxa"/>
            <w:tcBorders>
              <w:top w:val="nil"/>
              <w:left w:val="nil"/>
              <w:bottom w:val="single" w:sz="4" w:space="0" w:color="auto"/>
              <w:right w:val="single" w:sz="4" w:space="0" w:color="auto"/>
            </w:tcBorders>
            <w:shd w:val="clear" w:color="auto" w:fill="auto"/>
            <w:vAlign w:val="center"/>
            <w:hideMark/>
          </w:tcPr>
          <w:p w14:paraId="659FD9C7" w14:textId="77777777" w:rsidR="00AF5369" w:rsidRPr="00AF5369" w:rsidRDefault="00AF5369" w:rsidP="00AF5369">
            <w:pPr>
              <w:spacing w:after="0" w:line="240" w:lineRule="auto"/>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Correspondence, </w:t>
            </w:r>
            <w:proofErr w:type="gramStart"/>
            <w:r w:rsidRPr="00AF5369">
              <w:rPr>
                <w:rFonts w:ascii="Arial" w:eastAsia="Times New Roman" w:hAnsi="Arial" w:cs="Arial"/>
                <w:sz w:val="16"/>
                <w:szCs w:val="16"/>
                <w:lang w:eastAsia="en-GB"/>
              </w:rPr>
              <w:t>postage</w:t>
            </w:r>
            <w:proofErr w:type="gramEnd"/>
            <w:r w:rsidRPr="00AF5369">
              <w:rPr>
                <w:rFonts w:ascii="Arial" w:eastAsia="Times New Roman" w:hAnsi="Arial" w:cs="Arial"/>
                <w:sz w:val="16"/>
                <w:szCs w:val="16"/>
                <w:lang w:eastAsia="en-GB"/>
              </w:rPr>
              <w:t xml:space="preserve"> and telecommunications</w:t>
            </w:r>
          </w:p>
        </w:tc>
        <w:tc>
          <w:tcPr>
            <w:tcW w:w="2048" w:type="dxa"/>
            <w:tcBorders>
              <w:top w:val="nil"/>
              <w:left w:val="nil"/>
              <w:bottom w:val="single" w:sz="4" w:space="0" w:color="auto"/>
              <w:right w:val="single" w:sz="4" w:space="0" w:color="auto"/>
            </w:tcBorders>
            <w:shd w:val="clear" w:color="auto" w:fill="auto"/>
            <w:vAlign w:val="center"/>
            <w:hideMark/>
          </w:tcPr>
          <w:p w14:paraId="4072960A"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13,000 </w:t>
            </w:r>
          </w:p>
        </w:tc>
        <w:tc>
          <w:tcPr>
            <w:tcW w:w="1888" w:type="dxa"/>
            <w:tcBorders>
              <w:top w:val="nil"/>
              <w:left w:val="nil"/>
              <w:bottom w:val="single" w:sz="4" w:space="0" w:color="auto"/>
              <w:right w:val="single" w:sz="4" w:space="0" w:color="auto"/>
            </w:tcBorders>
            <w:shd w:val="clear" w:color="auto" w:fill="auto"/>
            <w:vAlign w:val="center"/>
            <w:hideMark/>
          </w:tcPr>
          <w:p w14:paraId="06F2C2F2"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10,961 </w:t>
            </w:r>
          </w:p>
        </w:tc>
        <w:tc>
          <w:tcPr>
            <w:tcW w:w="1814" w:type="dxa"/>
            <w:tcBorders>
              <w:top w:val="nil"/>
              <w:left w:val="nil"/>
              <w:bottom w:val="single" w:sz="4" w:space="0" w:color="auto"/>
              <w:right w:val="single" w:sz="4" w:space="0" w:color="auto"/>
            </w:tcBorders>
            <w:shd w:val="clear" w:color="auto" w:fill="auto"/>
            <w:vAlign w:val="center"/>
            <w:hideMark/>
          </w:tcPr>
          <w:p w14:paraId="2A2D7211"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84.3%</w:t>
            </w:r>
          </w:p>
        </w:tc>
        <w:tc>
          <w:tcPr>
            <w:tcW w:w="1898" w:type="dxa"/>
            <w:tcBorders>
              <w:top w:val="nil"/>
              <w:left w:val="nil"/>
              <w:bottom w:val="single" w:sz="4" w:space="0" w:color="auto"/>
              <w:right w:val="single" w:sz="4" w:space="0" w:color="auto"/>
            </w:tcBorders>
            <w:shd w:val="clear" w:color="auto" w:fill="auto"/>
            <w:vAlign w:val="center"/>
            <w:hideMark/>
          </w:tcPr>
          <w:p w14:paraId="2C7DB9D6" w14:textId="77777777" w:rsidR="00AF5369" w:rsidRPr="00AF5369" w:rsidRDefault="00AF5369" w:rsidP="009A25C0">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                    29,359 </w:t>
            </w:r>
          </w:p>
        </w:tc>
        <w:tc>
          <w:tcPr>
            <w:tcW w:w="1698" w:type="dxa"/>
            <w:tcBorders>
              <w:top w:val="nil"/>
              <w:left w:val="nil"/>
              <w:bottom w:val="single" w:sz="4" w:space="0" w:color="auto"/>
              <w:right w:val="single" w:sz="4" w:space="0" w:color="auto"/>
            </w:tcBorders>
            <w:shd w:val="clear" w:color="auto" w:fill="auto"/>
            <w:vAlign w:val="center"/>
            <w:hideMark/>
          </w:tcPr>
          <w:p w14:paraId="6E4F2167" w14:textId="77777777" w:rsidR="00AF5369" w:rsidRPr="00AF5369" w:rsidRDefault="00AF5369" w:rsidP="009A25C0">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10,765 </w:t>
            </w:r>
          </w:p>
        </w:tc>
        <w:tc>
          <w:tcPr>
            <w:tcW w:w="1926" w:type="dxa"/>
            <w:tcBorders>
              <w:top w:val="nil"/>
              <w:left w:val="nil"/>
              <w:bottom w:val="single" w:sz="4" w:space="0" w:color="auto"/>
              <w:right w:val="single" w:sz="4" w:space="0" w:color="auto"/>
            </w:tcBorders>
            <w:shd w:val="clear" w:color="auto" w:fill="auto"/>
            <w:vAlign w:val="center"/>
            <w:hideMark/>
          </w:tcPr>
          <w:p w14:paraId="6CC16460"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36.7%</w:t>
            </w:r>
          </w:p>
        </w:tc>
      </w:tr>
      <w:tr w:rsidR="00AF5369" w:rsidRPr="00AF5369" w14:paraId="2116B0F3" w14:textId="77777777" w:rsidTr="00AF5369">
        <w:trPr>
          <w:trHeight w:val="189"/>
          <w:jc w:val="center"/>
        </w:trPr>
        <w:tc>
          <w:tcPr>
            <w:tcW w:w="849" w:type="dxa"/>
            <w:tcBorders>
              <w:top w:val="nil"/>
              <w:left w:val="single" w:sz="4" w:space="0" w:color="auto"/>
              <w:bottom w:val="single" w:sz="4" w:space="0" w:color="auto"/>
              <w:right w:val="single" w:sz="4" w:space="0" w:color="auto"/>
            </w:tcBorders>
            <w:shd w:val="clear" w:color="auto" w:fill="auto"/>
            <w:vAlign w:val="center"/>
            <w:hideMark/>
          </w:tcPr>
          <w:p w14:paraId="4A4698B0" w14:textId="77777777" w:rsidR="00AF5369" w:rsidRPr="00AF5369" w:rsidRDefault="00AF5369" w:rsidP="00AF5369">
            <w:pPr>
              <w:spacing w:after="0" w:line="240" w:lineRule="auto"/>
              <w:rPr>
                <w:rFonts w:ascii="Arial" w:eastAsia="Times New Roman" w:hAnsi="Arial" w:cs="Arial"/>
                <w:sz w:val="16"/>
                <w:szCs w:val="16"/>
                <w:lang w:eastAsia="en-GB"/>
              </w:rPr>
            </w:pPr>
            <w:r w:rsidRPr="00AF5369">
              <w:rPr>
                <w:rFonts w:ascii="Arial" w:eastAsia="Times New Roman" w:hAnsi="Arial" w:cs="Arial"/>
                <w:sz w:val="16"/>
                <w:szCs w:val="16"/>
                <w:lang w:eastAsia="en-GB"/>
              </w:rPr>
              <w:t>2 5</w:t>
            </w:r>
          </w:p>
        </w:tc>
        <w:tc>
          <w:tcPr>
            <w:tcW w:w="3399" w:type="dxa"/>
            <w:tcBorders>
              <w:top w:val="nil"/>
              <w:left w:val="nil"/>
              <w:bottom w:val="single" w:sz="4" w:space="0" w:color="auto"/>
              <w:right w:val="single" w:sz="4" w:space="0" w:color="auto"/>
            </w:tcBorders>
            <w:shd w:val="clear" w:color="auto" w:fill="auto"/>
            <w:vAlign w:val="center"/>
            <w:hideMark/>
          </w:tcPr>
          <w:p w14:paraId="115C662A" w14:textId="77777777" w:rsidR="00AF5369" w:rsidRPr="00AF5369" w:rsidRDefault="00AF5369" w:rsidP="00AF5369">
            <w:pPr>
              <w:spacing w:after="0" w:line="240" w:lineRule="auto"/>
              <w:rPr>
                <w:rFonts w:ascii="Arial" w:eastAsia="Times New Roman" w:hAnsi="Arial" w:cs="Arial"/>
                <w:sz w:val="16"/>
                <w:szCs w:val="16"/>
                <w:lang w:eastAsia="en-GB"/>
              </w:rPr>
            </w:pPr>
            <w:r w:rsidRPr="00AF5369">
              <w:rPr>
                <w:rFonts w:ascii="Arial" w:eastAsia="Times New Roman" w:hAnsi="Arial" w:cs="Arial"/>
                <w:sz w:val="16"/>
                <w:szCs w:val="16"/>
                <w:lang w:eastAsia="en-GB"/>
              </w:rPr>
              <w:t>Expenditure on formal and other meetings</w:t>
            </w:r>
          </w:p>
        </w:tc>
        <w:tc>
          <w:tcPr>
            <w:tcW w:w="2048" w:type="dxa"/>
            <w:tcBorders>
              <w:top w:val="nil"/>
              <w:left w:val="nil"/>
              <w:bottom w:val="single" w:sz="4" w:space="0" w:color="auto"/>
              <w:right w:val="single" w:sz="4" w:space="0" w:color="auto"/>
            </w:tcBorders>
            <w:shd w:val="clear" w:color="auto" w:fill="auto"/>
            <w:vAlign w:val="center"/>
            <w:hideMark/>
          </w:tcPr>
          <w:p w14:paraId="20C82503"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46,600 </w:t>
            </w:r>
          </w:p>
        </w:tc>
        <w:tc>
          <w:tcPr>
            <w:tcW w:w="1888" w:type="dxa"/>
            <w:tcBorders>
              <w:top w:val="nil"/>
              <w:left w:val="nil"/>
              <w:bottom w:val="single" w:sz="4" w:space="0" w:color="auto"/>
              <w:right w:val="single" w:sz="4" w:space="0" w:color="auto"/>
            </w:tcBorders>
            <w:shd w:val="clear" w:color="auto" w:fill="auto"/>
            <w:vAlign w:val="center"/>
            <w:hideMark/>
          </w:tcPr>
          <w:p w14:paraId="3940B011"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0 </w:t>
            </w:r>
          </w:p>
        </w:tc>
        <w:tc>
          <w:tcPr>
            <w:tcW w:w="1814" w:type="dxa"/>
            <w:tcBorders>
              <w:top w:val="nil"/>
              <w:left w:val="nil"/>
              <w:bottom w:val="single" w:sz="4" w:space="0" w:color="auto"/>
              <w:right w:val="single" w:sz="4" w:space="0" w:color="auto"/>
            </w:tcBorders>
            <w:shd w:val="clear" w:color="auto" w:fill="auto"/>
            <w:vAlign w:val="center"/>
            <w:hideMark/>
          </w:tcPr>
          <w:p w14:paraId="01AF5D10"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0.0%</w:t>
            </w:r>
          </w:p>
        </w:tc>
        <w:tc>
          <w:tcPr>
            <w:tcW w:w="1898" w:type="dxa"/>
            <w:tcBorders>
              <w:top w:val="nil"/>
              <w:left w:val="nil"/>
              <w:bottom w:val="single" w:sz="4" w:space="0" w:color="auto"/>
              <w:right w:val="single" w:sz="4" w:space="0" w:color="auto"/>
            </w:tcBorders>
            <w:shd w:val="clear" w:color="auto" w:fill="auto"/>
            <w:vAlign w:val="center"/>
            <w:hideMark/>
          </w:tcPr>
          <w:p w14:paraId="3F91DCF8" w14:textId="77777777" w:rsidR="00AF5369" w:rsidRPr="00AF5369" w:rsidRDefault="00AF5369" w:rsidP="009A25C0">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                    46,600 </w:t>
            </w:r>
          </w:p>
        </w:tc>
        <w:tc>
          <w:tcPr>
            <w:tcW w:w="1698" w:type="dxa"/>
            <w:tcBorders>
              <w:top w:val="nil"/>
              <w:left w:val="nil"/>
              <w:bottom w:val="single" w:sz="4" w:space="0" w:color="auto"/>
              <w:right w:val="single" w:sz="4" w:space="0" w:color="auto"/>
            </w:tcBorders>
            <w:shd w:val="clear" w:color="auto" w:fill="auto"/>
            <w:vAlign w:val="center"/>
            <w:hideMark/>
          </w:tcPr>
          <w:p w14:paraId="59D6EBBD" w14:textId="77777777" w:rsidR="00AF5369" w:rsidRPr="00AF5369" w:rsidRDefault="00AF5369" w:rsidP="009A25C0">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0 </w:t>
            </w:r>
          </w:p>
        </w:tc>
        <w:tc>
          <w:tcPr>
            <w:tcW w:w="1926" w:type="dxa"/>
            <w:tcBorders>
              <w:top w:val="nil"/>
              <w:left w:val="nil"/>
              <w:bottom w:val="single" w:sz="4" w:space="0" w:color="auto"/>
              <w:right w:val="single" w:sz="4" w:space="0" w:color="auto"/>
            </w:tcBorders>
            <w:shd w:val="clear" w:color="auto" w:fill="auto"/>
            <w:vAlign w:val="center"/>
            <w:hideMark/>
          </w:tcPr>
          <w:p w14:paraId="251E93BE"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0.0%</w:t>
            </w:r>
          </w:p>
        </w:tc>
      </w:tr>
      <w:tr w:rsidR="00AF5369" w:rsidRPr="00AF5369" w14:paraId="36CEC152" w14:textId="77777777" w:rsidTr="00AF5369">
        <w:trPr>
          <w:trHeight w:val="277"/>
          <w:jc w:val="center"/>
        </w:trPr>
        <w:tc>
          <w:tcPr>
            <w:tcW w:w="849" w:type="dxa"/>
            <w:tcBorders>
              <w:top w:val="nil"/>
              <w:left w:val="single" w:sz="4" w:space="0" w:color="auto"/>
              <w:bottom w:val="single" w:sz="4" w:space="0" w:color="auto"/>
              <w:right w:val="single" w:sz="4" w:space="0" w:color="auto"/>
            </w:tcBorders>
            <w:shd w:val="clear" w:color="auto" w:fill="auto"/>
            <w:vAlign w:val="center"/>
            <w:hideMark/>
          </w:tcPr>
          <w:p w14:paraId="7E8F1458" w14:textId="77777777" w:rsidR="00AF5369" w:rsidRPr="00AF5369" w:rsidRDefault="00AF5369" w:rsidP="00AF5369">
            <w:pPr>
              <w:spacing w:after="0" w:line="240" w:lineRule="auto"/>
              <w:rPr>
                <w:rFonts w:ascii="Arial" w:eastAsia="Times New Roman" w:hAnsi="Arial" w:cs="Arial"/>
                <w:sz w:val="16"/>
                <w:szCs w:val="16"/>
                <w:lang w:eastAsia="en-GB"/>
              </w:rPr>
            </w:pPr>
            <w:r w:rsidRPr="00AF5369">
              <w:rPr>
                <w:rFonts w:ascii="Arial" w:eastAsia="Times New Roman" w:hAnsi="Arial" w:cs="Arial"/>
                <w:sz w:val="16"/>
                <w:szCs w:val="16"/>
                <w:lang w:eastAsia="en-GB"/>
              </w:rPr>
              <w:t>2 6</w:t>
            </w:r>
          </w:p>
        </w:tc>
        <w:tc>
          <w:tcPr>
            <w:tcW w:w="3399" w:type="dxa"/>
            <w:tcBorders>
              <w:top w:val="nil"/>
              <w:left w:val="nil"/>
              <w:bottom w:val="single" w:sz="4" w:space="0" w:color="auto"/>
              <w:right w:val="single" w:sz="4" w:space="0" w:color="auto"/>
            </w:tcBorders>
            <w:shd w:val="clear" w:color="auto" w:fill="auto"/>
            <w:vAlign w:val="center"/>
            <w:hideMark/>
          </w:tcPr>
          <w:p w14:paraId="520C6B67" w14:textId="77777777" w:rsidR="00AF5369" w:rsidRPr="00AF5369" w:rsidRDefault="00AF5369" w:rsidP="00AF5369">
            <w:pPr>
              <w:spacing w:after="0" w:line="240" w:lineRule="auto"/>
              <w:rPr>
                <w:rFonts w:ascii="Arial" w:eastAsia="Times New Roman" w:hAnsi="Arial" w:cs="Arial"/>
                <w:sz w:val="16"/>
                <w:szCs w:val="16"/>
                <w:lang w:eastAsia="en-GB"/>
              </w:rPr>
            </w:pPr>
            <w:r w:rsidRPr="00AF5369">
              <w:rPr>
                <w:rFonts w:ascii="Arial" w:eastAsia="Times New Roman" w:hAnsi="Arial" w:cs="Arial"/>
                <w:sz w:val="16"/>
                <w:szCs w:val="16"/>
                <w:lang w:eastAsia="en-GB"/>
              </w:rPr>
              <w:t>Communication costs</w:t>
            </w:r>
          </w:p>
        </w:tc>
        <w:tc>
          <w:tcPr>
            <w:tcW w:w="2048" w:type="dxa"/>
            <w:tcBorders>
              <w:top w:val="nil"/>
              <w:left w:val="nil"/>
              <w:bottom w:val="single" w:sz="4" w:space="0" w:color="auto"/>
              <w:right w:val="single" w:sz="4" w:space="0" w:color="auto"/>
            </w:tcBorders>
            <w:shd w:val="clear" w:color="auto" w:fill="auto"/>
            <w:vAlign w:val="center"/>
            <w:hideMark/>
          </w:tcPr>
          <w:p w14:paraId="41813CF0"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660,051 </w:t>
            </w:r>
          </w:p>
        </w:tc>
        <w:tc>
          <w:tcPr>
            <w:tcW w:w="1888" w:type="dxa"/>
            <w:tcBorders>
              <w:top w:val="nil"/>
              <w:left w:val="nil"/>
              <w:bottom w:val="single" w:sz="4" w:space="0" w:color="auto"/>
              <w:right w:val="single" w:sz="4" w:space="0" w:color="auto"/>
            </w:tcBorders>
            <w:shd w:val="clear" w:color="auto" w:fill="auto"/>
            <w:vAlign w:val="center"/>
            <w:hideMark/>
          </w:tcPr>
          <w:p w14:paraId="160B99F5"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608,276 </w:t>
            </w:r>
          </w:p>
        </w:tc>
        <w:tc>
          <w:tcPr>
            <w:tcW w:w="1814" w:type="dxa"/>
            <w:tcBorders>
              <w:top w:val="nil"/>
              <w:left w:val="nil"/>
              <w:bottom w:val="single" w:sz="4" w:space="0" w:color="auto"/>
              <w:right w:val="single" w:sz="4" w:space="0" w:color="auto"/>
            </w:tcBorders>
            <w:shd w:val="clear" w:color="auto" w:fill="auto"/>
            <w:vAlign w:val="center"/>
            <w:hideMark/>
          </w:tcPr>
          <w:p w14:paraId="561E0C84"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92.2%</w:t>
            </w:r>
          </w:p>
        </w:tc>
        <w:tc>
          <w:tcPr>
            <w:tcW w:w="1898" w:type="dxa"/>
            <w:tcBorders>
              <w:top w:val="nil"/>
              <w:left w:val="nil"/>
              <w:bottom w:val="single" w:sz="4" w:space="0" w:color="auto"/>
              <w:right w:val="single" w:sz="4" w:space="0" w:color="auto"/>
            </w:tcBorders>
            <w:shd w:val="clear" w:color="auto" w:fill="auto"/>
            <w:vAlign w:val="center"/>
            <w:hideMark/>
          </w:tcPr>
          <w:p w14:paraId="59D30CDA" w14:textId="77777777" w:rsidR="00AF5369" w:rsidRPr="00AF5369" w:rsidRDefault="00AF5369" w:rsidP="009A25C0">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                1,057,716 </w:t>
            </w:r>
          </w:p>
        </w:tc>
        <w:tc>
          <w:tcPr>
            <w:tcW w:w="1698" w:type="dxa"/>
            <w:tcBorders>
              <w:top w:val="nil"/>
              <w:left w:val="nil"/>
              <w:bottom w:val="single" w:sz="4" w:space="0" w:color="auto"/>
              <w:right w:val="single" w:sz="4" w:space="0" w:color="auto"/>
            </w:tcBorders>
            <w:shd w:val="clear" w:color="auto" w:fill="auto"/>
            <w:vAlign w:val="center"/>
            <w:hideMark/>
          </w:tcPr>
          <w:p w14:paraId="10A0EC6D" w14:textId="77777777" w:rsidR="00AF5369" w:rsidRPr="00AF5369" w:rsidRDefault="00AF5369" w:rsidP="009A25C0">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537,226 </w:t>
            </w:r>
          </w:p>
        </w:tc>
        <w:tc>
          <w:tcPr>
            <w:tcW w:w="1926" w:type="dxa"/>
            <w:tcBorders>
              <w:top w:val="nil"/>
              <w:left w:val="nil"/>
              <w:bottom w:val="single" w:sz="4" w:space="0" w:color="auto"/>
              <w:right w:val="single" w:sz="4" w:space="0" w:color="auto"/>
            </w:tcBorders>
            <w:shd w:val="clear" w:color="auto" w:fill="auto"/>
            <w:vAlign w:val="center"/>
            <w:hideMark/>
          </w:tcPr>
          <w:p w14:paraId="089AD44A"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50.8%</w:t>
            </w:r>
          </w:p>
        </w:tc>
      </w:tr>
      <w:tr w:rsidR="00AF5369" w:rsidRPr="00AF5369" w14:paraId="7B347C9D" w14:textId="77777777" w:rsidTr="00AF5369">
        <w:trPr>
          <w:trHeight w:val="126"/>
          <w:jc w:val="center"/>
        </w:trPr>
        <w:tc>
          <w:tcPr>
            <w:tcW w:w="849" w:type="dxa"/>
            <w:tcBorders>
              <w:top w:val="nil"/>
              <w:left w:val="single" w:sz="4" w:space="0" w:color="auto"/>
              <w:bottom w:val="single" w:sz="4" w:space="0" w:color="auto"/>
              <w:right w:val="single" w:sz="4" w:space="0" w:color="auto"/>
            </w:tcBorders>
            <w:shd w:val="clear" w:color="auto" w:fill="auto"/>
            <w:vAlign w:val="center"/>
            <w:hideMark/>
          </w:tcPr>
          <w:p w14:paraId="34DB4799" w14:textId="77777777" w:rsidR="00AF5369" w:rsidRPr="00AF5369" w:rsidRDefault="00AF5369" w:rsidP="00AF5369">
            <w:pPr>
              <w:spacing w:after="0" w:line="240" w:lineRule="auto"/>
              <w:rPr>
                <w:rFonts w:ascii="Arial" w:eastAsia="Times New Roman" w:hAnsi="Arial" w:cs="Arial"/>
                <w:sz w:val="16"/>
                <w:szCs w:val="16"/>
                <w:lang w:eastAsia="en-GB"/>
              </w:rPr>
            </w:pPr>
            <w:r w:rsidRPr="00AF5369">
              <w:rPr>
                <w:rFonts w:ascii="Arial" w:eastAsia="Times New Roman" w:hAnsi="Arial" w:cs="Arial"/>
                <w:sz w:val="16"/>
                <w:szCs w:val="16"/>
                <w:lang w:eastAsia="en-GB"/>
              </w:rPr>
              <w:t>2 7</w:t>
            </w:r>
          </w:p>
        </w:tc>
        <w:tc>
          <w:tcPr>
            <w:tcW w:w="3399" w:type="dxa"/>
            <w:tcBorders>
              <w:top w:val="nil"/>
              <w:left w:val="nil"/>
              <w:bottom w:val="single" w:sz="4" w:space="0" w:color="auto"/>
              <w:right w:val="single" w:sz="4" w:space="0" w:color="auto"/>
            </w:tcBorders>
            <w:shd w:val="clear" w:color="auto" w:fill="auto"/>
            <w:vAlign w:val="center"/>
            <w:hideMark/>
          </w:tcPr>
          <w:p w14:paraId="5B568622" w14:textId="77777777" w:rsidR="00AF5369" w:rsidRPr="00AF5369" w:rsidRDefault="00AF5369" w:rsidP="00AF5369">
            <w:pPr>
              <w:spacing w:after="0" w:line="240" w:lineRule="auto"/>
              <w:rPr>
                <w:rFonts w:ascii="Arial" w:eastAsia="Times New Roman" w:hAnsi="Arial" w:cs="Arial"/>
                <w:sz w:val="16"/>
                <w:szCs w:val="16"/>
                <w:lang w:eastAsia="en-GB"/>
              </w:rPr>
            </w:pPr>
            <w:r w:rsidRPr="00AF5369">
              <w:rPr>
                <w:rFonts w:ascii="Arial" w:eastAsia="Times New Roman" w:hAnsi="Arial" w:cs="Arial"/>
                <w:sz w:val="16"/>
                <w:szCs w:val="16"/>
                <w:lang w:eastAsia="en-GB"/>
              </w:rPr>
              <w:t>Service contracts</w:t>
            </w:r>
          </w:p>
        </w:tc>
        <w:tc>
          <w:tcPr>
            <w:tcW w:w="2048" w:type="dxa"/>
            <w:tcBorders>
              <w:top w:val="nil"/>
              <w:left w:val="nil"/>
              <w:bottom w:val="single" w:sz="4" w:space="0" w:color="auto"/>
              <w:right w:val="single" w:sz="4" w:space="0" w:color="auto"/>
            </w:tcBorders>
            <w:shd w:val="clear" w:color="auto" w:fill="auto"/>
            <w:vAlign w:val="center"/>
            <w:hideMark/>
          </w:tcPr>
          <w:p w14:paraId="2164A01E"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167,000 </w:t>
            </w:r>
          </w:p>
        </w:tc>
        <w:tc>
          <w:tcPr>
            <w:tcW w:w="1888" w:type="dxa"/>
            <w:tcBorders>
              <w:top w:val="nil"/>
              <w:left w:val="nil"/>
              <w:bottom w:val="single" w:sz="4" w:space="0" w:color="auto"/>
              <w:right w:val="single" w:sz="4" w:space="0" w:color="auto"/>
            </w:tcBorders>
            <w:shd w:val="clear" w:color="auto" w:fill="auto"/>
            <w:vAlign w:val="center"/>
            <w:hideMark/>
          </w:tcPr>
          <w:p w14:paraId="2C5F699A"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156,453 </w:t>
            </w:r>
          </w:p>
        </w:tc>
        <w:tc>
          <w:tcPr>
            <w:tcW w:w="1814" w:type="dxa"/>
            <w:tcBorders>
              <w:top w:val="nil"/>
              <w:left w:val="nil"/>
              <w:bottom w:val="single" w:sz="4" w:space="0" w:color="auto"/>
              <w:right w:val="single" w:sz="4" w:space="0" w:color="auto"/>
            </w:tcBorders>
            <w:shd w:val="clear" w:color="auto" w:fill="auto"/>
            <w:vAlign w:val="center"/>
            <w:hideMark/>
          </w:tcPr>
          <w:p w14:paraId="63631674"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93.7%</w:t>
            </w:r>
          </w:p>
        </w:tc>
        <w:tc>
          <w:tcPr>
            <w:tcW w:w="1898" w:type="dxa"/>
            <w:tcBorders>
              <w:top w:val="nil"/>
              <w:left w:val="nil"/>
              <w:bottom w:val="single" w:sz="4" w:space="0" w:color="auto"/>
              <w:right w:val="single" w:sz="4" w:space="0" w:color="auto"/>
            </w:tcBorders>
            <w:shd w:val="clear" w:color="auto" w:fill="auto"/>
            <w:vAlign w:val="center"/>
            <w:hideMark/>
          </w:tcPr>
          <w:p w14:paraId="6B61545A" w14:textId="77777777" w:rsidR="00AF5369" w:rsidRPr="00AF5369" w:rsidRDefault="00AF5369" w:rsidP="009A25C0">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                   287,572 </w:t>
            </w:r>
          </w:p>
        </w:tc>
        <w:tc>
          <w:tcPr>
            <w:tcW w:w="1698" w:type="dxa"/>
            <w:tcBorders>
              <w:top w:val="nil"/>
              <w:left w:val="nil"/>
              <w:bottom w:val="single" w:sz="4" w:space="0" w:color="auto"/>
              <w:right w:val="single" w:sz="4" w:space="0" w:color="auto"/>
            </w:tcBorders>
            <w:shd w:val="clear" w:color="auto" w:fill="auto"/>
            <w:vAlign w:val="center"/>
            <w:hideMark/>
          </w:tcPr>
          <w:p w14:paraId="0FEDF656" w14:textId="77777777" w:rsidR="00AF5369" w:rsidRPr="00AF5369" w:rsidRDefault="00AF5369" w:rsidP="009A25C0">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160,626 </w:t>
            </w:r>
          </w:p>
        </w:tc>
        <w:tc>
          <w:tcPr>
            <w:tcW w:w="1926" w:type="dxa"/>
            <w:tcBorders>
              <w:top w:val="nil"/>
              <w:left w:val="nil"/>
              <w:bottom w:val="single" w:sz="4" w:space="0" w:color="auto"/>
              <w:right w:val="single" w:sz="4" w:space="0" w:color="auto"/>
            </w:tcBorders>
            <w:shd w:val="clear" w:color="auto" w:fill="auto"/>
            <w:vAlign w:val="center"/>
            <w:hideMark/>
          </w:tcPr>
          <w:p w14:paraId="370FFB9D"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55.9%</w:t>
            </w:r>
          </w:p>
        </w:tc>
      </w:tr>
      <w:tr w:rsidR="00AF5369" w:rsidRPr="00AF5369" w14:paraId="4E3CFBDE" w14:textId="77777777" w:rsidTr="00AF5369">
        <w:trPr>
          <w:trHeight w:val="213"/>
          <w:jc w:val="center"/>
        </w:trPr>
        <w:tc>
          <w:tcPr>
            <w:tcW w:w="849" w:type="dxa"/>
            <w:tcBorders>
              <w:top w:val="nil"/>
              <w:left w:val="single" w:sz="4" w:space="0" w:color="auto"/>
              <w:bottom w:val="single" w:sz="4" w:space="0" w:color="auto"/>
              <w:right w:val="single" w:sz="4" w:space="0" w:color="auto"/>
            </w:tcBorders>
            <w:shd w:val="clear" w:color="auto" w:fill="auto"/>
            <w:vAlign w:val="center"/>
            <w:hideMark/>
          </w:tcPr>
          <w:p w14:paraId="279D9749" w14:textId="77777777" w:rsidR="00AF5369" w:rsidRPr="00AF5369" w:rsidRDefault="00AF5369" w:rsidP="00AF5369">
            <w:pPr>
              <w:spacing w:after="0" w:line="240" w:lineRule="auto"/>
              <w:rPr>
                <w:rFonts w:ascii="Arial" w:eastAsia="Times New Roman" w:hAnsi="Arial" w:cs="Arial"/>
                <w:sz w:val="16"/>
                <w:szCs w:val="16"/>
                <w:lang w:eastAsia="en-GB"/>
              </w:rPr>
            </w:pPr>
            <w:r w:rsidRPr="00AF5369">
              <w:rPr>
                <w:rFonts w:ascii="Arial" w:eastAsia="Times New Roman" w:hAnsi="Arial" w:cs="Arial"/>
                <w:sz w:val="16"/>
                <w:szCs w:val="16"/>
                <w:lang w:eastAsia="en-GB"/>
              </w:rPr>
              <w:t>2 8</w:t>
            </w:r>
          </w:p>
        </w:tc>
        <w:tc>
          <w:tcPr>
            <w:tcW w:w="3399" w:type="dxa"/>
            <w:tcBorders>
              <w:top w:val="nil"/>
              <w:left w:val="nil"/>
              <w:bottom w:val="single" w:sz="4" w:space="0" w:color="auto"/>
              <w:right w:val="single" w:sz="4" w:space="0" w:color="auto"/>
            </w:tcBorders>
            <w:shd w:val="clear" w:color="auto" w:fill="auto"/>
            <w:vAlign w:val="center"/>
            <w:hideMark/>
          </w:tcPr>
          <w:p w14:paraId="63C195EC" w14:textId="77777777" w:rsidR="00AF5369" w:rsidRPr="00AF5369" w:rsidRDefault="00AF5369" w:rsidP="00AF5369">
            <w:pPr>
              <w:spacing w:after="0" w:line="240" w:lineRule="auto"/>
              <w:rPr>
                <w:rFonts w:ascii="Arial" w:eastAsia="Times New Roman" w:hAnsi="Arial" w:cs="Arial"/>
                <w:sz w:val="16"/>
                <w:szCs w:val="16"/>
                <w:lang w:eastAsia="en-GB"/>
              </w:rPr>
            </w:pPr>
            <w:r w:rsidRPr="00AF5369">
              <w:rPr>
                <w:rFonts w:ascii="Arial" w:eastAsia="Times New Roman" w:hAnsi="Arial" w:cs="Arial"/>
                <w:sz w:val="16"/>
                <w:szCs w:val="16"/>
                <w:lang w:eastAsia="en-GB"/>
              </w:rPr>
              <w:t>Expert contracts and meetings</w:t>
            </w:r>
          </w:p>
        </w:tc>
        <w:tc>
          <w:tcPr>
            <w:tcW w:w="2048" w:type="dxa"/>
            <w:tcBorders>
              <w:top w:val="nil"/>
              <w:left w:val="nil"/>
              <w:bottom w:val="single" w:sz="4" w:space="0" w:color="auto"/>
              <w:right w:val="single" w:sz="4" w:space="0" w:color="auto"/>
            </w:tcBorders>
            <w:shd w:val="clear" w:color="auto" w:fill="auto"/>
            <w:vAlign w:val="center"/>
            <w:hideMark/>
          </w:tcPr>
          <w:p w14:paraId="14A166BD"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123,900 </w:t>
            </w:r>
          </w:p>
        </w:tc>
        <w:tc>
          <w:tcPr>
            <w:tcW w:w="1888" w:type="dxa"/>
            <w:tcBorders>
              <w:top w:val="nil"/>
              <w:left w:val="nil"/>
              <w:bottom w:val="single" w:sz="4" w:space="0" w:color="auto"/>
              <w:right w:val="single" w:sz="4" w:space="0" w:color="auto"/>
            </w:tcBorders>
            <w:shd w:val="clear" w:color="auto" w:fill="auto"/>
            <w:vAlign w:val="center"/>
            <w:hideMark/>
          </w:tcPr>
          <w:p w14:paraId="0EEF18A3"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87,750 </w:t>
            </w:r>
          </w:p>
        </w:tc>
        <w:tc>
          <w:tcPr>
            <w:tcW w:w="1814" w:type="dxa"/>
            <w:tcBorders>
              <w:top w:val="nil"/>
              <w:left w:val="nil"/>
              <w:bottom w:val="single" w:sz="4" w:space="0" w:color="auto"/>
              <w:right w:val="single" w:sz="4" w:space="0" w:color="auto"/>
            </w:tcBorders>
            <w:shd w:val="clear" w:color="auto" w:fill="auto"/>
            <w:vAlign w:val="center"/>
            <w:hideMark/>
          </w:tcPr>
          <w:p w14:paraId="0590CCA2"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70.8%</w:t>
            </w:r>
          </w:p>
        </w:tc>
        <w:tc>
          <w:tcPr>
            <w:tcW w:w="1898" w:type="dxa"/>
            <w:tcBorders>
              <w:top w:val="nil"/>
              <w:left w:val="nil"/>
              <w:bottom w:val="single" w:sz="4" w:space="0" w:color="auto"/>
              <w:right w:val="single" w:sz="4" w:space="0" w:color="auto"/>
            </w:tcBorders>
            <w:shd w:val="clear" w:color="auto" w:fill="auto"/>
            <w:vAlign w:val="center"/>
            <w:hideMark/>
          </w:tcPr>
          <w:p w14:paraId="1F0704CC" w14:textId="77777777" w:rsidR="00AF5369" w:rsidRPr="00AF5369" w:rsidRDefault="00AF5369" w:rsidP="009A25C0">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                   128,175 </w:t>
            </w:r>
          </w:p>
        </w:tc>
        <w:tc>
          <w:tcPr>
            <w:tcW w:w="1698" w:type="dxa"/>
            <w:tcBorders>
              <w:top w:val="nil"/>
              <w:left w:val="nil"/>
              <w:bottom w:val="single" w:sz="4" w:space="0" w:color="auto"/>
              <w:right w:val="single" w:sz="4" w:space="0" w:color="auto"/>
            </w:tcBorders>
            <w:shd w:val="clear" w:color="auto" w:fill="auto"/>
            <w:vAlign w:val="center"/>
            <w:hideMark/>
          </w:tcPr>
          <w:p w14:paraId="6B4FC473" w14:textId="77777777" w:rsidR="00AF5369" w:rsidRPr="00AF5369" w:rsidRDefault="00AF5369" w:rsidP="009A25C0">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90,900 </w:t>
            </w:r>
          </w:p>
        </w:tc>
        <w:tc>
          <w:tcPr>
            <w:tcW w:w="1926" w:type="dxa"/>
            <w:tcBorders>
              <w:top w:val="nil"/>
              <w:left w:val="nil"/>
              <w:bottom w:val="single" w:sz="4" w:space="0" w:color="auto"/>
              <w:right w:val="single" w:sz="4" w:space="0" w:color="auto"/>
            </w:tcBorders>
            <w:shd w:val="clear" w:color="auto" w:fill="auto"/>
            <w:vAlign w:val="center"/>
            <w:hideMark/>
          </w:tcPr>
          <w:p w14:paraId="6E304E69"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70.9%</w:t>
            </w:r>
          </w:p>
        </w:tc>
      </w:tr>
      <w:tr w:rsidR="00AF5369" w:rsidRPr="00AF5369" w14:paraId="1534492E" w14:textId="77777777" w:rsidTr="00AF5369">
        <w:trPr>
          <w:trHeight w:val="290"/>
          <w:jc w:val="center"/>
        </w:trPr>
        <w:tc>
          <w:tcPr>
            <w:tcW w:w="849" w:type="dxa"/>
            <w:tcBorders>
              <w:top w:val="nil"/>
              <w:left w:val="single" w:sz="4" w:space="0" w:color="auto"/>
              <w:bottom w:val="single" w:sz="4" w:space="0" w:color="auto"/>
              <w:right w:val="single" w:sz="4" w:space="0" w:color="auto"/>
            </w:tcBorders>
            <w:shd w:val="clear" w:color="000000" w:fill="DDEBF7"/>
            <w:vAlign w:val="center"/>
            <w:hideMark/>
          </w:tcPr>
          <w:p w14:paraId="149758E1" w14:textId="77777777" w:rsidR="00AF5369" w:rsidRPr="00AF5369" w:rsidRDefault="00AF5369" w:rsidP="00AF5369">
            <w:pPr>
              <w:spacing w:after="0" w:line="240" w:lineRule="auto"/>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Total Title 2</w:t>
            </w:r>
          </w:p>
        </w:tc>
        <w:tc>
          <w:tcPr>
            <w:tcW w:w="3399" w:type="dxa"/>
            <w:tcBorders>
              <w:top w:val="nil"/>
              <w:left w:val="nil"/>
              <w:bottom w:val="single" w:sz="4" w:space="0" w:color="auto"/>
              <w:right w:val="single" w:sz="4" w:space="0" w:color="auto"/>
            </w:tcBorders>
            <w:shd w:val="clear" w:color="000000" w:fill="DDEBF7"/>
            <w:vAlign w:val="center"/>
            <w:hideMark/>
          </w:tcPr>
          <w:p w14:paraId="0D39726E" w14:textId="77777777" w:rsidR="00AF5369" w:rsidRPr="00AF5369" w:rsidRDefault="00AF5369" w:rsidP="00AF5369">
            <w:pPr>
              <w:spacing w:after="0" w:line="240" w:lineRule="auto"/>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Infrastructure</w:t>
            </w:r>
          </w:p>
        </w:tc>
        <w:tc>
          <w:tcPr>
            <w:tcW w:w="2048" w:type="dxa"/>
            <w:tcBorders>
              <w:top w:val="nil"/>
              <w:left w:val="nil"/>
              <w:bottom w:val="single" w:sz="4" w:space="0" w:color="auto"/>
              <w:right w:val="single" w:sz="4" w:space="0" w:color="auto"/>
            </w:tcBorders>
            <w:shd w:val="clear" w:color="000000" w:fill="DDEBF7"/>
            <w:vAlign w:val="center"/>
            <w:hideMark/>
          </w:tcPr>
          <w:p w14:paraId="6FE78C66" w14:textId="77777777" w:rsidR="00AF5369" w:rsidRPr="00AF5369" w:rsidRDefault="00AF5369" w:rsidP="00AF5369">
            <w:pPr>
              <w:spacing w:after="0" w:line="240" w:lineRule="auto"/>
              <w:jc w:val="right"/>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 xml:space="preserve">            1,852,566 </w:t>
            </w:r>
          </w:p>
        </w:tc>
        <w:tc>
          <w:tcPr>
            <w:tcW w:w="1888" w:type="dxa"/>
            <w:tcBorders>
              <w:top w:val="nil"/>
              <w:left w:val="nil"/>
              <w:bottom w:val="single" w:sz="4" w:space="0" w:color="auto"/>
              <w:right w:val="single" w:sz="4" w:space="0" w:color="auto"/>
            </w:tcBorders>
            <w:shd w:val="clear" w:color="000000" w:fill="DDEBF7"/>
            <w:vAlign w:val="center"/>
            <w:hideMark/>
          </w:tcPr>
          <w:p w14:paraId="210205DD" w14:textId="77777777" w:rsidR="00AF5369" w:rsidRPr="00AF5369" w:rsidRDefault="00AF5369" w:rsidP="00AF5369">
            <w:pPr>
              <w:spacing w:after="0" w:line="240" w:lineRule="auto"/>
              <w:jc w:val="right"/>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 xml:space="preserve">          1,682,471 </w:t>
            </w:r>
          </w:p>
        </w:tc>
        <w:tc>
          <w:tcPr>
            <w:tcW w:w="1814" w:type="dxa"/>
            <w:tcBorders>
              <w:top w:val="nil"/>
              <w:left w:val="nil"/>
              <w:bottom w:val="single" w:sz="4" w:space="0" w:color="auto"/>
              <w:right w:val="single" w:sz="4" w:space="0" w:color="auto"/>
            </w:tcBorders>
            <w:shd w:val="clear" w:color="000000" w:fill="DDEBF7"/>
            <w:vAlign w:val="center"/>
            <w:hideMark/>
          </w:tcPr>
          <w:p w14:paraId="65A7BCD5" w14:textId="77777777" w:rsidR="00AF5369" w:rsidRPr="00AF5369" w:rsidRDefault="00AF5369" w:rsidP="00AF5369">
            <w:pPr>
              <w:spacing w:after="0" w:line="240" w:lineRule="auto"/>
              <w:jc w:val="right"/>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90.8%</w:t>
            </w:r>
          </w:p>
        </w:tc>
        <w:tc>
          <w:tcPr>
            <w:tcW w:w="1898" w:type="dxa"/>
            <w:tcBorders>
              <w:top w:val="nil"/>
              <w:left w:val="nil"/>
              <w:bottom w:val="single" w:sz="4" w:space="0" w:color="auto"/>
              <w:right w:val="single" w:sz="4" w:space="0" w:color="auto"/>
            </w:tcBorders>
            <w:shd w:val="clear" w:color="000000" w:fill="DDEBF7"/>
            <w:vAlign w:val="center"/>
            <w:hideMark/>
          </w:tcPr>
          <w:p w14:paraId="6F043781" w14:textId="77777777" w:rsidR="00AF5369" w:rsidRPr="00AF5369" w:rsidRDefault="00AF5369" w:rsidP="00AF5369">
            <w:pPr>
              <w:spacing w:after="0" w:line="240" w:lineRule="auto"/>
              <w:jc w:val="right"/>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 xml:space="preserve">          2,662,848 </w:t>
            </w:r>
          </w:p>
        </w:tc>
        <w:tc>
          <w:tcPr>
            <w:tcW w:w="1698" w:type="dxa"/>
            <w:tcBorders>
              <w:top w:val="nil"/>
              <w:left w:val="nil"/>
              <w:bottom w:val="single" w:sz="4" w:space="0" w:color="auto"/>
              <w:right w:val="single" w:sz="4" w:space="0" w:color="auto"/>
            </w:tcBorders>
            <w:shd w:val="clear" w:color="000000" w:fill="DDEBF7"/>
            <w:vAlign w:val="center"/>
            <w:hideMark/>
          </w:tcPr>
          <w:p w14:paraId="0FD240EF" w14:textId="77777777" w:rsidR="00AF5369" w:rsidRPr="00AF5369" w:rsidRDefault="00AF5369" w:rsidP="00AF5369">
            <w:pPr>
              <w:spacing w:after="0" w:line="240" w:lineRule="auto"/>
              <w:jc w:val="right"/>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 xml:space="preserve">       1,620,836 </w:t>
            </w:r>
          </w:p>
        </w:tc>
        <w:tc>
          <w:tcPr>
            <w:tcW w:w="1926" w:type="dxa"/>
            <w:tcBorders>
              <w:top w:val="nil"/>
              <w:left w:val="nil"/>
              <w:bottom w:val="single" w:sz="4" w:space="0" w:color="auto"/>
              <w:right w:val="single" w:sz="4" w:space="0" w:color="auto"/>
            </w:tcBorders>
            <w:shd w:val="clear" w:color="000000" w:fill="DDEBF7"/>
            <w:vAlign w:val="center"/>
            <w:hideMark/>
          </w:tcPr>
          <w:p w14:paraId="1011C80D" w14:textId="77777777" w:rsidR="00AF5369" w:rsidRPr="00AF5369" w:rsidRDefault="00AF5369" w:rsidP="00AF5369">
            <w:pPr>
              <w:spacing w:after="0" w:line="240" w:lineRule="auto"/>
              <w:jc w:val="right"/>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60.9%</w:t>
            </w:r>
          </w:p>
        </w:tc>
      </w:tr>
      <w:tr w:rsidR="00AF5369" w:rsidRPr="00AF5369" w14:paraId="120147BB" w14:textId="77777777" w:rsidTr="00AF5369">
        <w:trPr>
          <w:trHeight w:val="179"/>
          <w:jc w:val="center"/>
        </w:trPr>
        <w:tc>
          <w:tcPr>
            <w:tcW w:w="849" w:type="dxa"/>
            <w:tcBorders>
              <w:top w:val="nil"/>
              <w:left w:val="single" w:sz="4" w:space="0" w:color="auto"/>
              <w:bottom w:val="single" w:sz="4" w:space="0" w:color="auto"/>
              <w:right w:val="single" w:sz="4" w:space="0" w:color="auto"/>
            </w:tcBorders>
            <w:shd w:val="clear" w:color="000000" w:fill="DDEBF7"/>
            <w:vAlign w:val="center"/>
            <w:hideMark/>
          </w:tcPr>
          <w:p w14:paraId="11E834DE" w14:textId="77777777" w:rsidR="00AF5369" w:rsidRPr="00AF5369" w:rsidRDefault="00AF5369" w:rsidP="00AF5369">
            <w:pPr>
              <w:spacing w:after="0" w:line="240" w:lineRule="auto"/>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Total Title 1+2</w:t>
            </w:r>
          </w:p>
        </w:tc>
        <w:tc>
          <w:tcPr>
            <w:tcW w:w="3399" w:type="dxa"/>
            <w:tcBorders>
              <w:top w:val="nil"/>
              <w:left w:val="nil"/>
              <w:bottom w:val="single" w:sz="4" w:space="0" w:color="auto"/>
              <w:right w:val="single" w:sz="4" w:space="0" w:color="auto"/>
            </w:tcBorders>
            <w:shd w:val="clear" w:color="000000" w:fill="DDEBF7"/>
            <w:vAlign w:val="center"/>
            <w:hideMark/>
          </w:tcPr>
          <w:p w14:paraId="1440E33F" w14:textId="77777777" w:rsidR="00AF5369" w:rsidRPr="00AF5369" w:rsidRDefault="00AF5369" w:rsidP="00AF5369">
            <w:pPr>
              <w:spacing w:after="0" w:line="240" w:lineRule="auto"/>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Administrative expenditure</w:t>
            </w:r>
          </w:p>
        </w:tc>
        <w:tc>
          <w:tcPr>
            <w:tcW w:w="2048" w:type="dxa"/>
            <w:tcBorders>
              <w:top w:val="nil"/>
              <w:left w:val="nil"/>
              <w:bottom w:val="single" w:sz="4" w:space="0" w:color="auto"/>
              <w:right w:val="single" w:sz="4" w:space="0" w:color="auto"/>
            </w:tcBorders>
            <w:shd w:val="clear" w:color="000000" w:fill="DDEBF7"/>
            <w:vAlign w:val="center"/>
            <w:hideMark/>
          </w:tcPr>
          <w:p w14:paraId="185A9D03" w14:textId="77777777" w:rsidR="00AF5369" w:rsidRPr="00AF5369" w:rsidRDefault="00AF5369" w:rsidP="00AF5369">
            <w:pPr>
              <w:spacing w:after="0" w:line="240" w:lineRule="auto"/>
              <w:jc w:val="right"/>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 xml:space="preserve">            5,620,263 </w:t>
            </w:r>
          </w:p>
        </w:tc>
        <w:tc>
          <w:tcPr>
            <w:tcW w:w="1888" w:type="dxa"/>
            <w:tcBorders>
              <w:top w:val="nil"/>
              <w:left w:val="nil"/>
              <w:bottom w:val="single" w:sz="4" w:space="0" w:color="auto"/>
              <w:right w:val="single" w:sz="4" w:space="0" w:color="auto"/>
            </w:tcBorders>
            <w:shd w:val="clear" w:color="000000" w:fill="DDEBF7"/>
            <w:vAlign w:val="center"/>
            <w:hideMark/>
          </w:tcPr>
          <w:p w14:paraId="67464D9C" w14:textId="77777777" w:rsidR="00AF5369" w:rsidRPr="00AF5369" w:rsidRDefault="00AF5369" w:rsidP="00AF5369">
            <w:pPr>
              <w:spacing w:after="0" w:line="240" w:lineRule="auto"/>
              <w:jc w:val="right"/>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 xml:space="preserve">          5,254,293 </w:t>
            </w:r>
          </w:p>
        </w:tc>
        <w:tc>
          <w:tcPr>
            <w:tcW w:w="1814" w:type="dxa"/>
            <w:tcBorders>
              <w:top w:val="nil"/>
              <w:left w:val="nil"/>
              <w:bottom w:val="single" w:sz="4" w:space="0" w:color="auto"/>
              <w:right w:val="single" w:sz="4" w:space="0" w:color="auto"/>
            </w:tcBorders>
            <w:shd w:val="clear" w:color="000000" w:fill="DDEBF7"/>
            <w:vAlign w:val="center"/>
            <w:hideMark/>
          </w:tcPr>
          <w:p w14:paraId="0F1C4B7E" w14:textId="77777777" w:rsidR="00AF5369" w:rsidRPr="00AF5369" w:rsidRDefault="00AF5369" w:rsidP="00AF5369">
            <w:pPr>
              <w:spacing w:after="0" w:line="240" w:lineRule="auto"/>
              <w:jc w:val="right"/>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93.5%</w:t>
            </w:r>
          </w:p>
        </w:tc>
        <w:tc>
          <w:tcPr>
            <w:tcW w:w="1898" w:type="dxa"/>
            <w:tcBorders>
              <w:top w:val="nil"/>
              <w:left w:val="nil"/>
              <w:bottom w:val="single" w:sz="4" w:space="0" w:color="auto"/>
              <w:right w:val="single" w:sz="4" w:space="0" w:color="auto"/>
            </w:tcBorders>
            <w:shd w:val="clear" w:color="000000" w:fill="DDEBF7"/>
            <w:vAlign w:val="center"/>
            <w:hideMark/>
          </w:tcPr>
          <w:p w14:paraId="4B88D0E1" w14:textId="77777777" w:rsidR="00AF5369" w:rsidRPr="00AF5369" w:rsidRDefault="00AF5369" w:rsidP="00AF5369">
            <w:pPr>
              <w:spacing w:after="0" w:line="240" w:lineRule="auto"/>
              <w:jc w:val="right"/>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 xml:space="preserve">          6,541,166 </w:t>
            </w:r>
          </w:p>
        </w:tc>
        <w:tc>
          <w:tcPr>
            <w:tcW w:w="1698" w:type="dxa"/>
            <w:tcBorders>
              <w:top w:val="nil"/>
              <w:left w:val="nil"/>
              <w:bottom w:val="single" w:sz="4" w:space="0" w:color="auto"/>
              <w:right w:val="single" w:sz="4" w:space="0" w:color="auto"/>
            </w:tcBorders>
            <w:shd w:val="clear" w:color="000000" w:fill="DDEBF7"/>
            <w:vAlign w:val="center"/>
            <w:hideMark/>
          </w:tcPr>
          <w:p w14:paraId="5AC212BD" w14:textId="77777777" w:rsidR="00AF5369" w:rsidRPr="00AF5369" w:rsidRDefault="00AF5369" w:rsidP="00AF5369">
            <w:pPr>
              <w:spacing w:after="0" w:line="240" w:lineRule="auto"/>
              <w:jc w:val="right"/>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 xml:space="preserve">       5,096,181 </w:t>
            </w:r>
          </w:p>
        </w:tc>
        <w:tc>
          <w:tcPr>
            <w:tcW w:w="1926" w:type="dxa"/>
            <w:tcBorders>
              <w:top w:val="nil"/>
              <w:left w:val="nil"/>
              <w:bottom w:val="single" w:sz="4" w:space="0" w:color="auto"/>
              <w:right w:val="single" w:sz="4" w:space="0" w:color="auto"/>
            </w:tcBorders>
            <w:shd w:val="clear" w:color="000000" w:fill="DDEBF7"/>
            <w:vAlign w:val="center"/>
            <w:hideMark/>
          </w:tcPr>
          <w:p w14:paraId="6255D60B" w14:textId="77777777" w:rsidR="00AF5369" w:rsidRPr="00AF5369" w:rsidRDefault="00AF5369" w:rsidP="00AF5369">
            <w:pPr>
              <w:spacing w:after="0" w:line="240" w:lineRule="auto"/>
              <w:jc w:val="right"/>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77.9%</w:t>
            </w:r>
          </w:p>
        </w:tc>
      </w:tr>
      <w:tr w:rsidR="00AF5369" w:rsidRPr="00AF5369" w14:paraId="6810A553" w14:textId="77777777" w:rsidTr="00AF5369">
        <w:trPr>
          <w:trHeight w:val="329"/>
          <w:jc w:val="center"/>
        </w:trPr>
        <w:tc>
          <w:tcPr>
            <w:tcW w:w="849" w:type="dxa"/>
            <w:tcBorders>
              <w:top w:val="nil"/>
              <w:left w:val="single" w:sz="4" w:space="0" w:color="auto"/>
              <w:bottom w:val="single" w:sz="4" w:space="0" w:color="auto"/>
              <w:right w:val="single" w:sz="4" w:space="0" w:color="auto"/>
            </w:tcBorders>
            <w:shd w:val="clear" w:color="auto" w:fill="auto"/>
            <w:hideMark/>
          </w:tcPr>
          <w:p w14:paraId="56297B58" w14:textId="77777777" w:rsidR="00AF5369" w:rsidRPr="00AF5369" w:rsidRDefault="00AF5369" w:rsidP="00AF5369">
            <w:pPr>
              <w:spacing w:after="0" w:line="240" w:lineRule="auto"/>
              <w:rPr>
                <w:rFonts w:ascii="Arial" w:eastAsia="Times New Roman" w:hAnsi="Arial" w:cs="Arial"/>
                <w:sz w:val="16"/>
                <w:szCs w:val="16"/>
                <w:lang w:eastAsia="en-GB"/>
              </w:rPr>
            </w:pPr>
            <w:r w:rsidRPr="00AF5369">
              <w:rPr>
                <w:rFonts w:ascii="Arial" w:eastAsia="Times New Roman" w:hAnsi="Arial" w:cs="Arial"/>
                <w:sz w:val="16"/>
                <w:szCs w:val="16"/>
                <w:lang w:eastAsia="en-GB"/>
              </w:rPr>
              <w:t>3 0 0 1</w:t>
            </w:r>
          </w:p>
        </w:tc>
        <w:tc>
          <w:tcPr>
            <w:tcW w:w="3399" w:type="dxa"/>
            <w:tcBorders>
              <w:top w:val="nil"/>
              <w:left w:val="nil"/>
              <w:bottom w:val="single" w:sz="4" w:space="0" w:color="auto"/>
              <w:right w:val="single" w:sz="4" w:space="0" w:color="auto"/>
            </w:tcBorders>
            <w:shd w:val="clear" w:color="auto" w:fill="auto"/>
            <w:hideMark/>
          </w:tcPr>
          <w:p w14:paraId="106DB178" w14:textId="77777777" w:rsidR="00AF5369" w:rsidRPr="00AF5369" w:rsidRDefault="00AF5369" w:rsidP="00AF5369">
            <w:pPr>
              <w:spacing w:after="0" w:line="240" w:lineRule="auto"/>
              <w:rPr>
                <w:rFonts w:ascii="Arial" w:eastAsia="Times New Roman" w:hAnsi="Arial" w:cs="Arial"/>
                <w:sz w:val="16"/>
                <w:szCs w:val="16"/>
                <w:lang w:eastAsia="en-GB"/>
              </w:rPr>
            </w:pPr>
            <w:r w:rsidRPr="00AF5369">
              <w:rPr>
                <w:rFonts w:ascii="Arial" w:eastAsia="Times New Roman" w:hAnsi="Arial" w:cs="Arial"/>
                <w:sz w:val="16"/>
                <w:szCs w:val="16"/>
                <w:lang w:eastAsia="en-GB"/>
              </w:rPr>
              <w:t>Implementing the research agenda of FCH JU: FP7</w:t>
            </w:r>
          </w:p>
        </w:tc>
        <w:tc>
          <w:tcPr>
            <w:tcW w:w="2048" w:type="dxa"/>
            <w:tcBorders>
              <w:top w:val="nil"/>
              <w:left w:val="nil"/>
              <w:bottom w:val="single" w:sz="4" w:space="0" w:color="auto"/>
              <w:right w:val="single" w:sz="4" w:space="0" w:color="auto"/>
            </w:tcBorders>
            <w:shd w:val="clear" w:color="auto" w:fill="auto"/>
            <w:vAlign w:val="center"/>
            <w:hideMark/>
          </w:tcPr>
          <w:p w14:paraId="5B3DFB8B"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7,774 </w:t>
            </w:r>
          </w:p>
        </w:tc>
        <w:tc>
          <w:tcPr>
            <w:tcW w:w="1888" w:type="dxa"/>
            <w:tcBorders>
              <w:top w:val="nil"/>
              <w:left w:val="nil"/>
              <w:bottom w:val="single" w:sz="4" w:space="0" w:color="auto"/>
              <w:right w:val="single" w:sz="4" w:space="0" w:color="auto"/>
            </w:tcBorders>
            <w:shd w:val="clear" w:color="auto" w:fill="auto"/>
            <w:vAlign w:val="center"/>
            <w:hideMark/>
          </w:tcPr>
          <w:p w14:paraId="73E7F11D"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0 </w:t>
            </w:r>
          </w:p>
        </w:tc>
        <w:tc>
          <w:tcPr>
            <w:tcW w:w="1814" w:type="dxa"/>
            <w:tcBorders>
              <w:top w:val="nil"/>
              <w:left w:val="nil"/>
              <w:bottom w:val="single" w:sz="4" w:space="0" w:color="auto"/>
              <w:right w:val="single" w:sz="4" w:space="0" w:color="auto"/>
            </w:tcBorders>
            <w:shd w:val="clear" w:color="auto" w:fill="auto"/>
            <w:vAlign w:val="center"/>
            <w:hideMark/>
          </w:tcPr>
          <w:p w14:paraId="2419DBC6"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0.0%</w:t>
            </w:r>
          </w:p>
        </w:tc>
        <w:tc>
          <w:tcPr>
            <w:tcW w:w="1898" w:type="dxa"/>
            <w:tcBorders>
              <w:top w:val="nil"/>
              <w:left w:val="nil"/>
              <w:bottom w:val="single" w:sz="4" w:space="0" w:color="auto"/>
              <w:right w:val="single" w:sz="4" w:space="0" w:color="auto"/>
            </w:tcBorders>
            <w:shd w:val="clear" w:color="auto" w:fill="auto"/>
            <w:vAlign w:val="center"/>
            <w:hideMark/>
          </w:tcPr>
          <w:p w14:paraId="0F1106AF" w14:textId="77777777" w:rsidR="00AF5369" w:rsidRPr="00AF5369" w:rsidRDefault="00AF5369" w:rsidP="009A25C0">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                1,115,775 </w:t>
            </w:r>
          </w:p>
        </w:tc>
        <w:tc>
          <w:tcPr>
            <w:tcW w:w="1698" w:type="dxa"/>
            <w:tcBorders>
              <w:top w:val="nil"/>
              <w:left w:val="nil"/>
              <w:bottom w:val="single" w:sz="4" w:space="0" w:color="auto"/>
              <w:right w:val="single" w:sz="4" w:space="0" w:color="auto"/>
            </w:tcBorders>
            <w:shd w:val="clear" w:color="auto" w:fill="auto"/>
            <w:vAlign w:val="center"/>
            <w:hideMark/>
          </w:tcPr>
          <w:p w14:paraId="1B3A338E" w14:textId="77777777" w:rsidR="00AF5369" w:rsidRPr="00AF5369" w:rsidRDefault="00AF5369" w:rsidP="009A25C0">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1,091,651 </w:t>
            </w:r>
          </w:p>
        </w:tc>
        <w:tc>
          <w:tcPr>
            <w:tcW w:w="1926" w:type="dxa"/>
            <w:tcBorders>
              <w:top w:val="nil"/>
              <w:left w:val="nil"/>
              <w:bottom w:val="single" w:sz="4" w:space="0" w:color="auto"/>
              <w:right w:val="single" w:sz="4" w:space="0" w:color="auto"/>
            </w:tcBorders>
            <w:shd w:val="clear" w:color="auto" w:fill="auto"/>
            <w:vAlign w:val="center"/>
            <w:hideMark/>
          </w:tcPr>
          <w:p w14:paraId="22D8891B"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97.8%</w:t>
            </w:r>
          </w:p>
        </w:tc>
      </w:tr>
      <w:tr w:rsidR="00AF5369" w:rsidRPr="00AF5369" w14:paraId="3AF9BE20" w14:textId="77777777" w:rsidTr="00AF5369">
        <w:trPr>
          <w:trHeight w:val="505"/>
          <w:jc w:val="center"/>
        </w:trPr>
        <w:tc>
          <w:tcPr>
            <w:tcW w:w="849" w:type="dxa"/>
            <w:tcBorders>
              <w:top w:val="nil"/>
              <w:left w:val="single" w:sz="4" w:space="0" w:color="auto"/>
              <w:bottom w:val="single" w:sz="4" w:space="0" w:color="auto"/>
              <w:right w:val="single" w:sz="4" w:space="0" w:color="auto"/>
            </w:tcBorders>
            <w:shd w:val="clear" w:color="auto" w:fill="auto"/>
            <w:hideMark/>
          </w:tcPr>
          <w:p w14:paraId="61A35D28" w14:textId="77777777" w:rsidR="00AF5369" w:rsidRPr="00AF5369" w:rsidRDefault="00AF5369" w:rsidP="00AF5369">
            <w:pPr>
              <w:spacing w:after="0" w:line="240" w:lineRule="auto"/>
              <w:rPr>
                <w:rFonts w:ascii="Arial" w:eastAsia="Times New Roman" w:hAnsi="Arial" w:cs="Arial"/>
                <w:sz w:val="16"/>
                <w:szCs w:val="16"/>
                <w:lang w:eastAsia="en-GB"/>
              </w:rPr>
            </w:pPr>
            <w:r w:rsidRPr="00AF5369">
              <w:rPr>
                <w:rFonts w:ascii="Arial" w:eastAsia="Times New Roman" w:hAnsi="Arial" w:cs="Arial"/>
                <w:sz w:val="16"/>
                <w:szCs w:val="16"/>
                <w:lang w:eastAsia="en-GB"/>
              </w:rPr>
              <w:t>3 0 0 2</w:t>
            </w:r>
          </w:p>
        </w:tc>
        <w:tc>
          <w:tcPr>
            <w:tcW w:w="3399" w:type="dxa"/>
            <w:tcBorders>
              <w:top w:val="nil"/>
              <w:left w:val="nil"/>
              <w:bottom w:val="single" w:sz="4" w:space="0" w:color="auto"/>
              <w:right w:val="single" w:sz="4" w:space="0" w:color="auto"/>
            </w:tcBorders>
            <w:shd w:val="clear" w:color="auto" w:fill="auto"/>
            <w:hideMark/>
          </w:tcPr>
          <w:p w14:paraId="5339B8F9" w14:textId="77777777" w:rsidR="00AF5369" w:rsidRPr="00AF5369" w:rsidRDefault="00AF5369" w:rsidP="00AF5369">
            <w:pPr>
              <w:spacing w:after="0" w:line="240" w:lineRule="auto"/>
              <w:rPr>
                <w:rFonts w:ascii="Arial" w:eastAsia="Times New Roman" w:hAnsi="Arial" w:cs="Arial"/>
                <w:sz w:val="16"/>
                <w:szCs w:val="16"/>
                <w:lang w:eastAsia="en-GB"/>
              </w:rPr>
            </w:pPr>
            <w:r w:rsidRPr="00AF5369">
              <w:rPr>
                <w:rFonts w:ascii="Arial" w:eastAsia="Times New Roman" w:hAnsi="Arial" w:cs="Arial"/>
                <w:sz w:val="16"/>
                <w:szCs w:val="16"/>
                <w:lang w:eastAsia="en-GB"/>
              </w:rPr>
              <w:t>Implementing the research agenda of FCH JU: H2020</w:t>
            </w:r>
          </w:p>
        </w:tc>
        <w:tc>
          <w:tcPr>
            <w:tcW w:w="2048" w:type="dxa"/>
            <w:tcBorders>
              <w:top w:val="nil"/>
              <w:left w:val="nil"/>
              <w:bottom w:val="single" w:sz="4" w:space="0" w:color="auto"/>
              <w:right w:val="single" w:sz="4" w:space="0" w:color="auto"/>
            </w:tcBorders>
            <w:shd w:val="clear" w:color="auto" w:fill="auto"/>
            <w:vAlign w:val="center"/>
            <w:hideMark/>
          </w:tcPr>
          <w:p w14:paraId="687A0272"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10,219,393 </w:t>
            </w:r>
          </w:p>
        </w:tc>
        <w:tc>
          <w:tcPr>
            <w:tcW w:w="1888" w:type="dxa"/>
            <w:tcBorders>
              <w:top w:val="nil"/>
              <w:left w:val="nil"/>
              <w:bottom w:val="single" w:sz="4" w:space="0" w:color="auto"/>
              <w:right w:val="single" w:sz="4" w:space="0" w:color="auto"/>
            </w:tcBorders>
            <w:shd w:val="clear" w:color="auto" w:fill="auto"/>
            <w:vAlign w:val="center"/>
            <w:hideMark/>
          </w:tcPr>
          <w:p w14:paraId="2BBCAF06"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10,057,144 </w:t>
            </w:r>
          </w:p>
        </w:tc>
        <w:tc>
          <w:tcPr>
            <w:tcW w:w="1814" w:type="dxa"/>
            <w:tcBorders>
              <w:top w:val="nil"/>
              <w:left w:val="nil"/>
              <w:bottom w:val="single" w:sz="4" w:space="0" w:color="auto"/>
              <w:right w:val="single" w:sz="4" w:space="0" w:color="auto"/>
            </w:tcBorders>
            <w:shd w:val="clear" w:color="auto" w:fill="auto"/>
            <w:vAlign w:val="center"/>
            <w:hideMark/>
          </w:tcPr>
          <w:p w14:paraId="00934A55"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98.4%</w:t>
            </w:r>
          </w:p>
        </w:tc>
        <w:tc>
          <w:tcPr>
            <w:tcW w:w="1898" w:type="dxa"/>
            <w:tcBorders>
              <w:top w:val="nil"/>
              <w:left w:val="nil"/>
              <w:bottom w:val="single" w:sz="4" w:space="0" w:color="auto"/>
              <w:right w:val="single" w:sz="4" w:space="0" w:color="auto"/>
            </w:tcBorders>
            <w:shd w:val="clear" w:color="auto" w:fill="auto"/>
            <w:vAlign w:val="center"/>
            <w:hideMark/>
          </w:tcPr>
          <w:p w14:paraId="2D97477E" w14:textId="77777777" w:rsidR="00AF5369" w:rsidRPr="00AF5369" w:rsidRDefault="00AF5369" w:rsidP="009A25C0">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              48,560,550 </w:t>
            </w:r>
          </w:p>
        </w:tc>
        <w:tc>
          <w:tcPr>
            <w:tcW w:w="1698" w:type="dxa"/>
            <w:tcBorders>
              <w:top w:val="nil"/>
              <w:left w:val="nil"/>
              <w:bottom w:val="single" w:sz="4" w:space="0" w:color="auto"/>
              <w:right w:val="single" w:sz="4" w:space="0" w:color="auto"/>
            </w:tcBorders>
            <w:shd w:val="clear" w:color="auto" w:fill="auto"/>
            <w:vAlign w:val="center"/>
            <w:hideMark/>
          </w:tcPr>
          <w:p w14:paraId="1F9E717C" w14:textId="77777777" w:rsidR="00AF5369" w:rsidRPr="00AF5369" w:rsidRDefault="00AF5369" w:rsidP="009A25C0">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 xml:space="preserve">42,621,296 </w:t>
            </w:r>
          </w:p>
        </w:tc>
        <w:tc>
          <w:tcPr>
            <w:tcW w:w="1926" w:type="dxa"/>
            <w:tcBorders>
              <w:top w:val="nil"/>
              <w:left w:val="nil"/>
              <w:bottom w:val="single" w:sz="4" w:space="0" w:color="auto"/>
              <w:right w:val="single" w:sz="4" w:space="0" w:color="auto"/>
            </w:tcBorders>
            <w:shd w:val="clear" w:color="auto" w:fill="auto"/>
            <w:vAlign w:val="center"/>
            <w:hideMark/>
          </w:tcPr>
          <w:p w14:paraId="1C7476AE" w14:textId="77777777" w:rsidR="00AF5369" w:rsidRPr="00AF5369" w:rsidRDefault="00AF5369" w:rsidP="00AF5369">
            <w:pPr>
              <w:spacing w:after="0" w:line="240" w:lineRule="auto"/>
              <w:jc w:val="right"/>
              <w:rPr>
                <w:rFonts w:ascii="Arial" w:eastAsia="Times New Roman" w:hAnsi="Arial" w:cs="Arial"/>
                <w:sz w:val="16"/>
                <w:szCs w:val="16"/>
                <w:lang w:eastAsia="en-GB"/>
              </w:rPr>
            </w:pPr>
            <w:r w:rsidRPr="00AF5369">
              <w:rPr>
                <w:rFonts w:ascii="Arial" w:eastAsia="Times New Roman" w:hAnsi="Arial" w:cs="Arial"/>
                <w:sz w:val="16"/>
                <w:szCs w:val="16"/>
                <w:lang w:eastAsia="en-GB"/>
              </w:rPr>
              <w:t>87.8%</w:t>
            </w:r>
          </w:p>
        </w:tc>
      </w:tr>
      <w:tr w:rsidR="00AF5369" w:rsidRPr="00AF5369" w14:paraId="5C739A66" w14:textId="77777777" w:rsidTr="00AF5369">
        <w:trPr>
          <w:trHeight w:val="50"/>
          <w:jc w:val="center"/>
        </w:trPr>
        <w:tc>
          <w:tcPr>
            <w:tcW w:w="849" w:type="dxa"/>
            <w:tcBorders>
              <w:top w:val="nil"/>
              <w:left w:val="single" w:sz="4" w:space="0" w:color="auto"/>
              <w:bottom w:val="single" w:sz="4" w:space="0" w:color="auto"/>
              <w:right w:val="single" w:sz="4" w:space="0" w:color="auto"/>
            </w:tcBorders>
            <w:shd w:val="clear" w:color="000000" w:fill="DDEBF7"/>
            <w:hideMark/>
          </w:tcPr>
          <w:p w14:paraId="19FFA9B5" w14:textId="77777777" w:rsidR="00AF5369" w:rsidRPr="00AF5369" w:rsidRDefault="00AF5369" w:rsidP="00AF5369">
            <w:pPr>
              <w:spacing w:after="0" w:line="240" w:lineRule="auto"/>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Total Title 3</w:t>
            </w:r>
          </w:p>
        </w:tc>
        <w:tc>
          <w:tcPr>
            <w:tcW w:w="3399" w:type="dxa"/>
            <w:tcBorders>
              <w:top w:val="nil"/>
              <w:left w:val="nil"/>
              <w:bottom w:val="single" w:sz="4" w:space="0" w:color="auto"/>
              <w:right w:val="single" w:sz="4" w:space="0" w:color="auto"/>
            </w:tcBorders>
            <w:shd w:val="clear" w:color="000000" w:fill="DDEBF7"/>
            <w:hideMark/>
          </w:tcPr>
          <w:p w14:paraId="001E38E9" w14:textId="77777777" w:rsidR="00AF5369" w:rsidRPr="00AF5369" w:rsidRDefault="00AF5369" w:rsidP="00AF5369">
            <w:pPr>
              <w:spacing w:after="0" w:line="240" w:lineRule="auto"/>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Operational expenditure</w:t>
            </w:r>
          </w:p>
        </w:tc>
        <w:tc>
          <w:tcPr>
            <w:tcW w:w="2048" w:type="dxa"/>
            <w:tcBorders>
              <w:top w:val="nil"/>
              <w:left w:val="nil"/>
              <w:bottom w:val="single" w:sz="4" w:space="0" w:color="auto"/>
              <w:right w:val="single" w:sz="4" w:space="0" w:color="auto"/>
            </w:tcBorders>
            <w:shd w:val="clear" w:color="000000" w:fill="DDEBF7"/>
            <w:vAlign w:val="center"/>
            <w:hideMark/>
          </w:tcPr>
          <w:p w14:paraId="2279DFF2" w14:textId="77777777" w:rsidR="00AF5369" w:rsidRPr="00AF5369" w:rsidRDefault="00AF5369" w:rsidP="00AF5369">
            <w:pPr>
              <w:spacing w:after="0" w:line="240" w:lineRule="auto"/>
              <w:jc w:val="right"/>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 xml:space="preserve">          10,227,166 </w:t>
            </w:r>
          </w:p>
        </w:tc>
        <w:tc>
          <w:tcPr>
            <w:tcW w:w="1888" w:type="dxa"/>
            <w:tcBorders>
              <w:top w:val="nil"/>
              <w:left w:val="nil"/>
              <w:bottom w:val="single" w:sz="4" w:space="0" w:color="auto"/>
              <w:right w:val="single" w:sz="4" w:space="0" w:color="auto"/>
            </w:tcBorders>
            <w:shd w:val="clear" w:color="000000" w:fill="DDEBF7"/>
            <w:vAlign w:val="center"/>
            <w:hideMark/>
          </w:tcPr>
          <w:p w14:paraId="3890FB37" w14:textId="77777777" w:rsidR="00AF5369" w:rsidRPr="00AF5369" w:rsidRDefault="00AF5369" w:rsidP="00AF5369">
            <w:pPr>
              <w:spacing w:after="0" w:line="240" w:lineRule="auto"/>
              <w:jc w:val="right"/>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 xml:space="preserve">        10,057,144 </w:t>
            </w:r>
          </w:p>
        </w:tc>
        <w:tc>
          <w:tcPr>
            <w:tcW w:w="1814" w:type="dxa"/>
            <w:tcBorders>
              <w:top w:val="nil"/>
              <w:left w:val="nil"/>
              <w:bottom w:val="single" w:sz="4" w:space="0" w:color="auto"/>
              <w:right w:val="single" w:sz="4" w:space="0" w:color="auto"/>
            </w:tcBorders>
            <w:shd w:val="clear" w:color="000000" w:fill="DDEBF7"/>
            <w:vAlign w:val="center"/>
            <w:hideMark/>
          </w:tcPr>
          <w:p w14:paraId="2D024CF7" w14:textId="77777777" w:rsidR="00AF5369" w:rsidRPr="00AF5369" w:rsidRDefault="00AF5369" w:rsidP="00AF5369">
            <w:pPr>
              <w:spacing w:after="0" w:line="240" w:lineRule="auto"/>
              <w:jc w:val="right"/>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98.3%</w:t>
            </w:r>
          </w:p>
        </w:tc>
        <w:tc>
          <w:tcPr>
            <w:tcW w:w="1898" w:type="dxa"/>
            <w:tcBorders>
              <w:top w:val="nil"/>
              <w:left w:val="nil"/>
              <w:bottom w:val="single" w:sz="4" w:space="0" w:color="auto"/>
              <w:right w:val="single" w:sz="4" w:space="0" w:color="auto"/>
            </w:tcBorders>
            <w:shd w:val="clear" w:color="000000" w:fill="DDEBF7"/>
            <w:vAlign w:val="center"/>
            <w:hideMark/>
          </w:tcPr>
          <w:p w14:paraId="4C4F6D5B" w14:textId="77777777" w:rsidR="00AF5369" w:rsidRPr="00AF5369" w:rsidRDefault="00AF5369" w:rsidP="00AF5369">
            <w:pPr>
              <w:spacing w:after="0" w:line="240" w:lineRule="auto"/>
              <w:jc w:val="right"/>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 xml:space="preserve">        49,676,325 </w:t>
            </w:r>
          </w:p>
        </w:tc>
        <w:tc>
          <w:tcPr>
            <w:tcW w:w="1698" w:type="dxa"/>
            <w:tcBorders>
              <w:top w:val="nil"/>
              <w:left w:val="nil"/>
              <w:bottom w:val="single" w:sz="4" w:space="0" w:color="auto"/>
              <w:right w:val="single" w:sz="4" w:space="0" w:color="auto"/>
            </w:tcBorders>
            <w:shd w:val="clear" w:color="000000" w:fill="DDEBF7"/>
            <w:vAlign w:val="center"/>
            <w:hideMark/>
          </w:tcPr>
          <w:p w14:paraId="1E231CCB" w14:textId="77777777" w:rsidR="00AF5369" w:rsidRPr="00AF5369" w:rsidRDefault="00AF5369" w:rsidP="00AF5369">
            <w:pPr>
              <w:spacing w:after="0" w:line="240" w:lineRule="auto"/>
              <w:jc w:val="right"/>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 xml:space="preserve">     43,712,948 </w:t>
            </w:r>
          </w:p>
        </w:tc>
        <w:tc>
          <w:tcPr>
            <w:tcW w:w="1926" w:type="dxa"/>
            <w:tcBorders>
              <w:top w:val="nil"/>
              <w:left w:val="nil"/>
              <w:bottom w:val="single" w:sz="4" w:space="0" w:color="auto"/>
              <w:right w:val="single" w:sz="4" w:space="0" w:color="auto"/>
            </w:tcBorders>
            <w:shd w:val="clear" w:color="000000" w:fill="DDEBF7"/>
            <w:vAlign w:val="center"/>
            <w:hideMark/>
          </w:tcPr>
          <w:p w14:paraId="44145E54" w14:textId="77777777" w:rsidR="00AF5369" w:rsidRPr="00AF5369" w:rsidRDefault="00AF5369" w:rsidP="00AF5369">
            <w:pPr>
              <w:spacing w:after="0" w:line="240" w:lineRule="auto"/>
              <w:jc w:val="right"/>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88.0%</w:t>
            </w:r>
          </w:p>
        </w:tc>
      </w:tr>
      <w:tr w:rsidR="00AF5369" w:rsidRPr="00AF5369" w14:paraId="1888BBC6" w14:textId="77777777" w:rsidTr="00AF5369">
        <w:trPr>
          <w:trHeight w:val="310"/>
          <w:jc w:val="center"/>
        </w:trPr>
        <w:tc>
          <w:tcPr>
            <w:tcW w:w="4248" w:type="dxa"/>
            <w:gridSpan w:val="2"/>
            <w:tcBorders>
              <w:top w:val="single" w:sz="4" w:space="0" w:color="auto"/>
              <w:left w:val="single" w:sz="4" w:space="0" w:color="auto"/>
              <w:bottom w:val="single" w:sz="4" w:space="0" w:color="auto"/>
              <w:right w:val="single" w:sz="4" w:space="0" w:color="auto"/>
            </w:tcBorders>
            <w:shd w:val="clear" w:color="000000" w:fill="DDEBF7"/>
            <w:hideMark/>
          </w:tcPr>
          <w:p w14:paraId="59F72BBF" w14:textId="77777777" w:rsidR="00AF5369" w:rsidRPr="00AF5369" w:rsidRDefault="00AF5369" w:rsidP="00AF5369">
            <w:pPr>
              <w:spacing w:after="0" w:line="240" w:lineRule="auto"/>
              <w:jc w:val="center"/>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Total budget implementation</w:t>
            </w:r>
          </w:p>
        </w:tc>
        <w:tc>
          <w:tcPr>
            <w:tcW w:w="2048" w:type="dxa"/>
            <w:tcBorders>
              <w:top w:val="nil"/>
              <w:left w:val="nil"/>
              <w:bottom w:val="single" w:sz="4" w:space="0" w:color="auto"/>
              <w:right w:val="single" w:sz="4" w:space="0" w:color="auto"/>
            </w:tcBorders>
            <w:shd w:val="clear" w:color="000000" w:fill="DDEBF7"/>
            <w:vAlign w:val="center"/>
            <w:hideMark/>
          </w:tcPr>
          <w:p w14:paraId="7A561F6A" w14:textId="77777777" w:rsidR="00AF5369" w:rsidRPr="00AF5369" w:rsidRDefault="00AF5369" w:rsidP="00AF5369">
            <w:pPr>
              <w:spacing w:after="0" w:line="240" w:lineRule="auto"/>
              <w:jc w:val="right"/>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 xml:space="preserve">         15,847,430 </w:t>
            </w:r>
          </w:p>
        </w:tc>
        <w:tc>
          <w:tcPr>
            <w:tcW w:w="1888" w:type="dxa"/>
            <w:tcBorders>
              <w:top w:val="nil"/>
              <w:left w:val="nil"/>
              <w:bottom w:val="single" w:sz="4" w:space="0" w:color="auto"/>
              <w:right w:val="single" w:sz="4" w:space="0" w:color="auto"/>
            </w:tcBorders>
            <w:shd w:val="clear" w:color="000000" w:fill="DDEBF7"/>
            <w:vAlign w:val="center"/>
            <w:hideMark/>
          </w:tcPr>
          <w:p w14:paraId="55002E53" w14:textId="77777777" w:rsidR="00AF5369" w:rsidRPr="00AF5369" w:rsidRDefault="00AF5369" w:rsidP="00AF5369">
            <w:pPr>
              <w:spacing w:after="0" w:line="240" w:lineRule="auto"/>
              <w:jc w:val="right"/>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 xml:space="preserve">      15,311,437 </w:t>
            </w:r>
          </w:p>
        </w:tc>
        <w:tc>
          <w:tcPr>
            <w:tcW w:w="1814" w:type="dxa"/>
            <w:tcBorders>
              <w:top w:val="nil"/>
              <w:left w:val="nil"/>
              <w:bottom w:val="single" w:sz="4" w:space="0" w:color="auto"/>
              <w:right w:val="single" w:sz="4" w:space="0" w:color="auto"/>
            </w:tcBorders>
            <w:shd w:val="clear" w:color="000000" w:fill="DDEBF7"/>
            <w:vAlign w:val="center"/>
            <w:hideMark/>
          </w:tcPr>
          <w:p w14:paraId="02FE1A12" w14:textId="77777777" w:rsidR="00AF5369" w:rsidRPr="00AF5369" w:rsidRDefault="00AF5369" w:rsidP="00AF5369">
            <w:pPr>
              <w:spacing w:after="0" w:line="240" w:lineRule="auto"/>
              <w:jc w:val="right"/>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96.6%</w:t>
            </w:r>
          </w:p>
        </w:tc>
        <w:tc>
          <w:tcPr>
            <w:tcW w:w="1898" w:type="dxa"/>
            <w:tcBorders>
              <w:top w:val="nil"/>
              <w:left w:val="nil"/>
              <w:bottom w:val="single" w:sz="4" w:space="0" w:color="auto"/>
              <w:right w:val="single" w:sz="4" w:space="0" w:color="auto"/>
            </w:tcBorders>
            <w:shd w:val="clear" w:color="000000" w:fill="DDEBF7"/>
            <w:vAlign w:val="center"/>
            <w:hideMark/>
          </w:tcPr>
          <w:p w14:paraId="693AD7F0" w14:textId="77777777" w:rsidR="00AF5369" w:rsidRPr="00AF5369" w:rsidRDefault="00AF5369" w:rsidP="00AF5369">
            <w:pPr>
              <w:spacing w:after="0" w:line="240" w:lineRule="auto"/>
              <w:jc w:val="right"/>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 xml:space="preserve">        56,217,491 </w:t>
            </w:r>
          </w:p>
        </w:tc>
        <w:tc>
          <w:tcPr>
            <w:tcW w:w="1698" w:type="dxa"/>
            <w:tcBorders>
              <w:top w:val="nil"/>
              <w:left w:val="nil"/>
              <w:bottom w:val="single" w:sz="4" w:space="0" w:color="auto"/>
              <w:right w:val="single" w:sz="4" w:space="0" w:color="auto"/>
            </w:tcBorders>
            <w:shd w:val="clear" w:color="000000" w:fill="DDEBF7"/>
            <w:vAlign w:val="center"/>
            <w:hideMark/>
          </w:tcPr>
          <w:p w14:paraId="117B0343" w14:textId="77777777" w:rsidR="00AF5369" w:rsidRPr="00AF5369" w:rsidRDefault="00AF5369" w:rsidP="00AF5369">
            <w:pPr>
              <w:spacing w:after="0" w:line="240" w:lineRule="auto"/>
              <w:jc w:val="right"/>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 xml:space="preserve">     48,809,128 </w:t>
            </w:r>
          </w:p>
        </w:tc>
        <w:tc>
          <w:tcPr>
            <w:tcW w:w="1926" w:type="dxa"/>
            <w:tcBorders>
              <w:top w:val="nil"/>
              <w:left w:val="nil"/>
              <w:bottom w:val="single" w:sz="4" w:space="0" w:color="auto"/>
              <w:right w:val="single" w:sz="4" w:space="0" w:color="auto"/>
            </w:tcBorders>
            <w:shd w:val="clear" w:color="000000" w:fill="DDEBF7"/>
            <w:vAlign w:val="center"/>
            <w:hideMark/>
          </w:tcPr>
          <w:p w14:paraId="3738C921" w14:textId="77777777" w:rsidR="00AF5369" w:rsidRPr="00AF5369" w:rsidRDefault="00AF5369" w:rsidP="00AF5369">
            <w:pPr>
              <w:spacing w:after="0" w:line="240" w:lineRule="auto"/>
              <w:jc w:val="right"/>
              <w:rPr>
                <w:rFonts w:ascii="Arial" w:eastAsia="Times New Roman" w:hAnsi="Arial" w:cs="Arial"/>
                <w:b/>
                <w:bCs/>
                <w:sz w:val="16"/>
                <w:szCs w:val="16"/>
                <w:lang w:eastAsia="en-GB"/>
              </w:rPr>
            </w:pPr>
            <w:r w:rsidRPr="00AF5369">
              <w:rPr>
                <w:rFonts w:ascii="Arial" w:eastAsia="Times New Roman" w:hAnsi="Arial" w:cs="Arial"/>
                <w:b/>
                <w:bCs/>
                <w:sz w:val="16"/>
                <w:szCs w:val="16"/>
                <w:lang w:eastAsia="en-GB"/>
              </w:rPr>
              <w:t>86.8%</w:t>
            </w:r>
          </w:p>
        </w:tc>
      </w:tr>
    </w:tbl>
    <w:p w14:paraId="12AB39D9" w14:textId="77777777" w:rsidR="00AF5369" w:rsidRDefault="00AF5369" w:rsidP="00F02950">
      <w:pPr>
        <w:ind w:left="-426"/>
        <w:jc w:val="both"/>
        <w:rPr>
          <w:rFonts w:ascii="Arial" w:hAnsi="Arial" w:cs="Arial"/>
          <w:b/>
          <w:bCs/>
          <w:sz w:val="20"/>
          <w:szCs w:val="20"/>
        </w:rPr>
        <w:sectPr w:rsidR="00AF5369" w:rsidSect="00AF5369">
          <w:pgSz w:w="16838" w:h="11906" w:orient="landscape"/>
          <w:pgMar w:top="1418" w:right="1418" w:bottom="1418" w:left="1418" w:header="709" w:footer="709" w:gutter="0"/>
          <w:cols w:space="708"/>
          <w:docGrid w:linePitch="360"/>
        </w:sectPr>
      </w:pPr>
    </w:p>
    <w:p w14:paraId="7C30A540" w14:textId="73BF3FD2" w:rsidR="007D1F00" w:rsidRDefault="007D1F00" w:rsidP="00B62463">
      <w:pPr>
        <w:jc w:val="both"/>
      </w:pPr>
      <w:r>
        <w:rPr>
          <w:rFonts w:ascii="Arial" w:hAnsi="Arial" w:cs="Arial"/>
          <w:b/>
          <w:bCs/>
          <w:color w:val="00B0F0"/>
          <w:sz w:val="20"/>
          <w:szCs w:val="20"/>
        </w:rPr>
        <w:lastRenderedPageBreak/>
        <w:t>Administrative e</w:t>
      </w:r>
      <w:r w:rsidRPr="00AF5369">
        <w:rPr>
          <w:rFonts w:ascii="Arial" w:hAnsi="Arial" w:cs="Arial"/>
          <w:b/>
          <w:bCs/>
          <w:color w:val="00B0F0"/>
          <w:sz w:val="20"/>
          <w:szCs w:val="20"/>
        </w:rPr>
        <w:t>xpenditure</w:t>
      </w:r>
      <w:r>
        <w:t xml:space="preserve"> </w:t>
      </w:r>
    </w:p>
    <w:p w14:paraId="46B15FA5" w14:textId="10BC62AD" w:rsidR="007D1F00" w:rsidRPr="007D1F00" w:rsidRDefault="007D1F00" w:rsidP="00B62463">
      <w:pPr>
        <w:jc w:val="both"/>
        <w:rPr>
          <w:rFonts w:ascii="Arial" w:hAnsi="Arial" w:cs="Arial"/>
          <w:sz w:val="20"/>
          <w:szCs w:val="20"/>
        </w:rPr>
      </w:pPr>
      <w:r w:rsidRPr="007D1F00">
        <w:rPr>
          <w:rFonts w:ascii="Arial" w:hAnsi="Arial" w:cs="Arial"/>
          <w:sz w:val="20"/>
          <w:szCs w:val="20"/>
        </w:rPr>
        <w:t xml:space="preserve">The JU’s administrative budget execution improved to 93% (86% in 2020) in terms of commitment appropriations, recording the best performance in its history. </w:t>
      </w:r>
      <w:bookmarkStart w:id="148" w:name="_Hlk97216294"/>
      <w:r w:rsidRPr="007D1F00">
        <w:rPr>
          <w:rFonts w:ascii="Arial" w:hAnsi="Arial" w:cs="Arial"/>
          <w:sz w:val="20"/>
          <w:szCs w:val="20"/>
        </w:rPr>
        <w:t>Th</w:t>
      </w:r>
      <w:r>
        <w:rPr>
          <w:rFonts w:ascii="Arial" w:hAnsi="Arial" w:cs="Arial"/>
          <w:sz w:val="20"/>
          <w:szCs w:val="20"/>
        </w:rPr>
        <w:t>is</w:t>
      </w:r>
      <w:r w:rsidRPr="007D1F00">
        <w:rPr>
          <w:rFonts w:ascii="Arial" w:hAnsi="Arial" w:cs="Arial"/>
          <w:sz w:val="20"/>
          <w:szCs w:val="20"/>
        </w:rPr>
        <w:t xml:space="preserve"> improvement </w:t>
      </w:r>
      <w:r>
        <w:rPr>
          <w:rFonts w:ascii="Arial" w:hAnsi="Arial" w:cs="Arial"/>
          <w:sz w:val="20"/>
          <w:szCs w:val="20"/>
        </w:rPr>
        <w:t>i</w:t>
      </w:r>
      <w:r w:rsidRPr="007D1F00">
        <w:rPr>
          <w:rFonts w:ascii="Arial" w:hAnsi="Arial" w:cs="Arial"/>
          <w:sz w:val="20"/>
          <w:szCs w:val="20"/>
        </w:rPr>
        <w:t xml:space="preserve">s attributed to the </w:t>
      </w:r>
      <w:r w:rsidR="009A25C0">
        <w:rPr>
          <w:rFonts w:ascii="Arial" w:hAnsi="Arial" w:cs="Arial"/>
          <w:sz w:val="20"/>
          <w:szCs w:val="20"/>
        </w:rPr>
        <w:t xml:space="preserve">improved planning for 2021 activities, </w:t>
      </w:r>
      <w:proofErr w:type="gramStart"/>
      <w:r w:rsidR="009A25C0">
        <w:rPr>
          <w:rFonts w:ascii="Arial" w:hAnsi="Arial" w:cs="Arial"/>
          <w:sz w:val="20"/>
          <w:szCs w:val="20"/>
        </w:rPr>
        <w:t>taking into account</w:t>
      </w:r>
      <w:proofErr w:type="gramEnd"/>
      <w:r w:rsidR="009A25C0">
        <w:rPr>
          <w:rFonts w:ascii="Arial" w:hAnsi="Arial" w:cs="Arial"/>
          <w:sz w:val="20"/>
          <w:szCs w:val="20"/>
        </w:rPr>
        <w:t xml:space="preserve"> </w:t>
      </w:r>
      <w:r w:rsidRPr="007D1F00">
        <w:rPr>
          <w:rFonts w:ascii="Arial" w:hAnsi="Arial" w:cs="Arial"/>
          <w:sz w:val="20"/>
          <w:szCs w:val="20"/>
        </w:rPr>
        <w:t xml:space="preserve">all potential disruptions and </w:t>
      </w:r>
      <w:r>
        <w:rPr>
          <w:rFonts w:ascii="Arial" w:hAnsi="Arial" w:cs="Arial"/>
          <w:sz w:val="20"/>
          <w:szCs w:val="20"/>
        </w:rPr>
        <w:t>limitations</w:t>
      </w:r>
      <w:r w:rsidRPr="007D1F00">
        <w:rPr>
          <w:rFonts w:ascii="Arial" w:hAnsi="Arial" w:cs="Arial"/>
          <w:sz w:val="20"/>
          <w:szCs w:val="20"/>
        </w:rPr>
        <w:t>.</w:t>
      </w:r>
      <w:bookmarkEnd w:id="148"/>
    </w:p>
    <w:p w14:paraId="47D79961" w14:textId="77777777" w:rsidR="009A25C0" w:rsidRDefault="007D1F00" w:rsidP="00B62463">
      <w:pPr>
        <w:jc w:val="both"/>
        <w:rPr>
          <w:rFonts w:ascii="Arial" w:hAnsi="Arial" w:cs="Arial"/>
          <w:sz w:val="20"/>
          <w:szCs w:val="20"/>
        </w:rPr>
      </w:pPr>
      <w:r w:rsidRPr="007D1F00">
        <w:rPr>
          <w:rFonts w:ascii="Arial" w:hAnsi="Arial" w:cs="Arial"/>
          <w:sz w:val="20"/>
          <w:szCs w:val="20"/>
        </w:rPr>
        <w:t xml:space="preserve">Unused appropriations coming from the 2021 budget as well as appropriations becoming available in 2021 from decommitments of previous years totalled EUR 459 829 and will be reactivated either in 2022 </w:t>
      </w:r>
      <w:r w:rsidR="009A25C0">
        <w:rPr>
          <w:rFonts w:ascii="Arial" w:hAnsi="Arial" w:cs="Arial"/>
          <w:sz w:val="20"/>
          <w:szCs w:val="20"/>
        </w:rPr>
        <w:t>budget (</w:t>
      </w:r>
      <w:r w:rsidRPr="007D1F00">
        <w:rPr>
          <w:rFonts w:ascii="Arial" w:hAnsi="Arial" w:cs="Arial"/>
          <w:sz w:val="20"/>
          <w:szCs w:val="20"/>
        </w:rPr>
        <w:t>through amendment</w:t>
      </w:r>
      <w:r w:rsidR="009A25C0">
        <w:rPr>
          <w:rFonts w:ascii="Arial" w:hAnsi="Arial" w:cs="Arial"/>
          <w:sz w:val="20"/>
          <w:szCs w:val="20"/>
        </w:rPr>
        <w:t>)</w:t>
      </w:r>
      <w:r w:rsidRPr="007D1F00">
        <w:rPr>
          <w:rFonts w:ascii="Arial" w:hAnsi="Arial" w:cs="Arial"/>
          <w:sz w:val="20"/>
          <w:szCs w:val="20"/>
        </w:rPr>
        <w:t xml:space="preserve"> or in 2023 initial budget</w:t>
      </w:r>
      <w:r w:rsidR="009A25C0">
        <w:rPr>
          <w:rFonts w:ascii="Arial" w:hAnsi="Arial" w:cs="Arial"/>
          <w:sz w:val="20"/>
          <w:szCs w:val="20"/>
        </w:rPr>
        <w:t>,</w:t>
      </w:r>
      <w:r w:rsidRPr="007D1F00">
        <w:rPr>
          <w:rFonts w:ascii="Arial" w:hAnsi="Arial" w:cs="Arial"/>
          <w:sz w:val="20"/>
          <w:szCs w:val="20"/>
        </w:rPr>
        <w:t xml:space="preserve"> in accordance with the needs and JU’s financial rules.</w:t>
      </w:r>
      <w:r w:rsidR="009A25C0">
        <w:rPr>
          <w:rFonts w:ascii="Arial" w:hAnsi="Arial" w:cs="Arial"/>
          <w:sz w:val="20"/>
          <w:szCs w:val="20"/>
        </w:rPr>
        <w:t xml:space="preserve"> </w:t>
      </w:r>
    </w:p>
    <w:p w14:paraId="7BF6C41F" w14:textId="77777777" w:rsidR="009A25C0" w:rsidRPr="009A25C0" w:rsidRDefault="009A25C0" w:rsidP="00B62463">
      <w:pPr>
        <w:jc w:val="both"/>
        <w:rPr>
          <w:rFonts w:ascii="Arial" w:hAnsi="Arial" w:cs="Arial"/>
          <w:sz w:val="20"/>
          <w:szCs w:val="20"/>
        </w:rPr>
      </w:pPr>
      <w:r w:rsidRPr="009A25C0">
        <w:rPr>
          <w:rFonts w:ascii="Arial" w:hAnsi="Arial" w:cs="Arial"/>
          <w:sz w:val="20"/>
          <w:szCs w:val="20"/>
        </w:rPr>
        <w:t xml:space="preserve">In terms of payments appropriations, the execution rate also improved to 78% (from 73% in 2020). </w:t>
      </w:r>
    </w:p>
    <w:p w14:paraId="44CECD1A" w14:textId="54849841" w:rsidR="009A25C0" w:rsidRPr="009A25C0" w:rsidRDefault="009A25C0" w:rsidP="00B62463">
      <w:pPr>
        <w:jc w:val="both"/>
        <w:rPr>
          <w:rFonts w:ascii="Arial" w:hAnsi="Arial" w:cs="Arial"/>
          <w:sz w:val="20"/>
          <w:szCs w:val="20"/>
        </w:rPr>
      </w:pPr>
      <w:r w:rsidRPr="009A25C0">
        <w:rPr>
          <w:rFonts w:ascii="Arial" w:hAnsi="Arial" w:cs="Arial"/>
          <w:sz w:val="20"/>
          <w:szCs w:val="20"/>
        </w:rPr>
        <w:t xml:space="preserve">More specifically, Title 1 commitment and payment rates improved compared to 2020 (commitment rates: 95% in 2021, 88% in 2020, payment rates: 90% in 2021 and 85% in 2020). Staff in active employment comprised 57% of total administrative budget and showed a commitment rate of 96%, showcasing a very good planning. Mission budget execution improved to 19% in 2021 (from 12% in 2020) </w:t>
      </w:r>
      <w:bookmarkStart w:id="149" w:name="_Hlk97216453"/>
      <w:r w:rsidRPr="009A25C0">
        <w:rPr>
          <w:rFonts w:ascii="Arial" w:hAnsi="Arial" w:cs="Arial"/>
          <w:sz w:val="20"/>
          <w:szCs w:val="20"/>
        </w:rPr>
        <w:t xml:space="preserve">but </w:t>
      </w:r>
      <w:r>
        <w:rPr>
          <w:rFonts w:ascii="Arial" w:hAnsi="Arial" w:cs="Arial"/>
          <w:sz w:val="20"/>
          <w:szCs w:val="20"/>
        </w:rPr>
        <w:t>falls behind the</w:t>
      </w:r>
      <w:r w:rsidRPr="009A25C0">
        <w:rPr>
          <w:rFonts w:ascii="Arial" w:hAnsi="Arial" w:cs="Arial"/>
          <w:sz w:val="20"/>
          <w:szCs w:val="20"/>
        </w:rPr>
        <w:t xml:space="preserve"> </w:t>
      </w:r>
      <w:bookmarkEnd w:id="149"/>
      <w:r w:rsidRPr="009A25C0">
        <w:rPr>
          <w:rFonts w:ascii="Arial" w:hAnsi="Arial" w:cs="Arial"/>
          <w:sz w:val="20"/>
          <w:szCs w:val="20"/>
        </w:rPr>
        <w:t>levels of pre-COVID period</w:t>
      </w:r>
      <w:r>
        <w:rPr>
          <w:rFonts w:ascii="Arial" w:hAnsi="Arial" w:cs="Arial"/>
          <w:sz w:val="20"/>
          <w:szCs w:val="20"/>
        </w:rPr>
        <w:t>.</w:t>
      </w:r>
    </w:p>
    <w:p w14:paraId="4C9F3164" w14:textId="77777777" w:rsidR="009A25C0" w:rsidRPr="009A25C0" w:rsidRDefault="009A25C0" w:rsidP="00B62463">
      <w:pPr>
        <w:jc w:val="both"/>
        <w:rPr>
          <w:rFonts w:ascii="Arial" w:hAnsi="Arial" w:cs="Arial"/>
          <w:sz w:val="20"/>
          <w:szCs w:val="20"/>
        </w:rPr>
      </w:pPr>
      <w:r w:rsidRPr="009A25C0">
        <w:rPr>
          <w:rFonts w:ascii="Arial" w:hAnsi="Arial" w:cs="Arial"/>
          <w:sz w:val="20"/>
          <w:szCs w:val="20"/>
        </w:rPr>
        <w:t xml:space="preserve">Title 2 also improved in both commitment and payments rates compared to 2020 (committed: 91% in 2021 and 82% in 2020, paid: 61% in 2021 and 56% in 2020). </w:t>
      </w:r>
    </w:p>
    <w:p w14:paraId="48DFAAE4" w14:textId="214A3A0F" w:rsidR="00AF5369" w:rsidRPr="00AF5369" w:rsidRDefault="009A25C0" w:rsidP="00B62463">
      <w:pPr>
        <w:jc w:val="both"/>
        <w:rPr>
          <w:rFonts w:ascii="Arial" w:hAnsi="Arial" w:cs="Arial"/>
          <w:b/>
          <w:bCs/>
          <w:sz w:val="20"/>
          <w:szCs w:val="20"/>
        </w:rPr>
      </w:pPr>
      <w:r w:rsidRPr="009A25C0">
        <w:rPr>
          <w:rFonts w:ascii="Arial" w:hAnsi="Arial" w:cs="Arial"/>
          <w:sz w:val="20"/>
          <w:szCs w:val="20"/>
        </w:rPr>
        <w:t xml:space="preserve">Specifically, the budget lines for investments in immovable property, rental of building and associated costs as well as information technology showed a perfect execution of 99%, followed closely by service contracts (94%) and communication costs (92%). </w:t>
      </w:r>
      <w:r>
        <w:rPr>
          <w:rFonts w:ascii="Arial" w:hAnsi="Arial" w:cs="Arial"/>
          <w:sz w:val="20"/>
          <w:szCs w:val="20"/>
        </w:rPr>
        <w:t>Unused</w:t>
      </w:r>
      <w:r w:rsidRPr="009A25C0">
        <w:rPr>
          <w:rFonts w:ascii="Arial" w:hAnsi="Arial" w:cs="Arial"/>
          <w:sz w:val="20"/>
          <w:szCs w:val="20"/>
        </w:rPr>
        <w:t xml:space="preserve"> </w:t>
      </w:r>
      <w:r>
        <w:rPr>
          <w:rFonts w:ascii="Arial" w:hAnsi="Arial" w:cs="Arial"/>
          <w:sz w:val="20"/>
          <w:szCs w:val="20"/>
        </w:rPr>
        <w:t xml:space="preserve">commitment </w:t>
      </w:r>
      <w:r w:rsidRPr="009A25C0">
        <w:rPr>
          <w:rFonts w:ascii="Arial" w:hAnsi="Arial" w:cs="Arial"/>
          <w:sz w:val="20"/>
          <w:szCs w:val="20"/>
        </w:rPr>
        <w:t>appropriations come mainly from communication costs (EUR 51 775) since the organisation of the annual European Hydrogen week was less expensive than initially budgeted, as well as expert contracts and meetings (EUR 36</w:t>
      </w:r>
      <w:r>
        <w:rPr>
          <w:rFonts w:ascii="Arial" w:hAnsi="Arial" w:cs="Arial"/>
          <w:sz w:val="20"/>
          <w:szCs w:val="20"/>
        </w:rPr>
        <w:t xml:space="preserve"> 150</w:t>
      </w:r>
      <w:r w:rsidRPr="009A25C0">
        <w:rPr>
          <w:rFonts w:ascii="Arial" w:hAnsi="Arial" w:cs="Arial"/>
          <w:sz w:val="20"/>
          <w:szCs w:val="20"/>
        </w:rPr>
        <w:t xml:space="preserve">) </w:t>
      </w:r>
      <w:bookmarkStart w:id="150" w:name="_Hlk97216622"/>
      <w:r>
        <w:rPr>
          <w:rFonts w:ascii="Arial" w:hAnsi="Arial" w:cs="Arial"/>
          <w:sz w:val="20"/>
          <w:szCs w:val="20"/>
        </w:rPr>
        <w:t>due to changes in planned reviews, stemming from amendments of grants’ reporting periods</w:t>
      </w:r>
      <w:r w:rsidRPr="009A25C0">
        <w:rPr>
          <w:rFonts w:ascii="Arial" w:hAnsi="Arial" w:cs="Arial"/>
          <w:sz w:val="20"/>
          <w:szCs w:val="20"/>
        </w:rPr>
        <w:t>.</w:t>
      </w:r>
      <w:bookmarkEnd w:id="150"/>
      <w:r w:rsidRPr="009A25C0">
        <w:rPr>
          <w:rFonts w:ascii="Arial" w:hAnsi="Arial" w:cs="Arial"/>
          <w:sz w:val="20"/>
          <w:szCs w:val="20"/>
        </w:rPr>
        <w:t xml:space="preserve"> In terms of payments, </w:t>
      </w:r>
      <w:r w:rsidR="008A4999">
        <w:rPr>
          <w:rFonts w:ascii="Arial" w:hAnsi="Arial" w:cs="Arial"/>
          <w:sz w:val="20"/>
          <w:szCs w:val="20"/>
        </w:rPr>
        <w:t xml:space="preserve">the improvement compared to 2020 </w:t>
      </w:r>
      <w:r w:rsidR="008A4999">
        <w:rPr>
          <w:rFonts w:ascii="Arial" w:hAnsi="Arial" w:cs="Arial"/>
          <w:sz w:val="20"/>
          <w:szCs w:val="20"/>
          <w:lang w:val="en-US"/>
        </w:rPr>
        <w:t>came</w:t>
      </w:r>
      <w:r w:rsidR="008A4999">
        <w:rPr>
          <w:rFonts w:ascii="Arial" w:hAnsi="Arial" w:cs="Arial"/>
          <w:sz w:val="20"/>
          <w:szCs w:val="20"/>
        </w:rPr>
        <w:t xml:space="preserve"> a result of enhanced planning </w:t>
      </w:r>
      <w:r w:rsidR="008A4999">
        <w:rPr>
          <w:rFonts w:ascii="Arial" w:hAnsi="Arial" w:cs="Arial"/>
          <w:sz w:val="20"/>
          <w:szCs w:val="20"/>
          <w:lang w:val="en-US"/>
        </w:rPr>
        <w:t>for</w:t>
      </w:r>
      <w:r w:rsidR="008A4999">
        <w:rPr>
          <w:rFonts w:ascii="Arial" w:hAnsi="Arial" w:cs="Arial"/>
          <w:sz w:val="20"/>
          <w:szCs w:val="20"/>
        </w:rPr>
        <w:t xml:space="preserve"> payments. In 2022, it is expected that this rate will be further improved as any potential reactivation </w:t>
      </w:r>
      <w:r>
        <w:rPr>
          <w:rFonts w:ascii="Arial" w:hAnsi="Arial" w:cs="Arial"/>
          <w:sz w:val="20"/>
          <w:szCs w:val="20"/>
        </w:rPr>
        <w:t>unused</w:t>
      </w:r>
      <w:r w:rsidRPr="009A25C0">
        <w:rPr>
          <w:rFonts w:ascii="Arial" w:hAnsi="Arial" w:cs="Arial"/>
          <w:sz w:val="20"/>
          <w:szCs w:val="20"/>
        </w:rPr>
        <w:t xml:space="preserve"> appropriations come from Information technology (EUR 262 616 which represents ¼ of the </w:t>
      </w:r>
      <w:r w:rsidR="00B62463">
        <w:rPr>
          <w:rFonts w:ascii="Arial" w:hAnsi="Arial" w:cs="Arial"/>
          <w:sz w:val="20"/>
          <w:szCs w:val="20"/>
        </w:rPr>
        <w:t>unused</w:t>
      </w:r>
      <w:r w:rsidRPr="009A25C0">
        <w:rPr>
          <w:rFonts w:ascii="Arial" w:hAnsi="Arial" w:cs="Arial"/>
          <w:sz w:val="20"/>
          <w:szCs w:val="20"/>
        </w:rPr>
        <w:t xml:space="preserve"> payment appropriations in Title 2) and communication costs </w:t>
      </w:r>
      <w:r w:rsidR="00B62463" w:rsidRPr="00B62463">
        <w:rPr>
          <w:rFonts w:ascii="Arial" w:hAnsi="Arial" w:cs="Arial"/>
          <w:sz w:val="20"/>
          <w:szCs w:val="20"/>
        </w:rPr>
        <w:t xml:space="preserve">EUR 520 490 which represents half of the </w:t>
      </w:r>
      <w:r w:rsidR="00B62463">
        <w:rPr>
          <w:rFonts w:ascii="Arial" w:hAnsi="Arial" w:cs="Arial"/>
          <w:sz w:val="20"/>
          <w:szCs w:val="20"/>
        </w:rPr>
        <w:t>unused</w:t>
      </w:r>
      <w:r w:rsidR="00B62463" w:rsidRPr="00B62463">
        <w:rPr>
          <w:rFonts w:ascii="Arial" w:hAnsi="Arial" w:cs="Arial"/>
          <w:sz w:val="20"/>
          <w:szCs w:val="20"/>
        </w:rPr>
        <w:t xml:space="preserve"> payment appropriations in Title 2</w:t>
      </w:r>
      <w:r w:rsidRPr="009A25C0">
        <w:rPr>
          <w:rFonts w:ascii="Arial" w:hAnsi="Arial" w:cs="Arial"/>
          <w:sz w:val="20"/>
          <w:szCs w:val="20"/>
        </w:rPr>
        <w:t xml:space="preserve">) since many contracts </w:t>
      </w:r>
      <w:bookmarkStart w:id="151" w:name="_Hlk97216919"/>
      <w:r w:rsidR="00B62463">
        <w:rPr>
          <w:rFonts w:ascii="Arial" w:hAnsi="Arial" w:cs="Arial"/>
          <w:sz w:val="20"/>
          <w:szCs w:val="20"/>
        </w:rPr>
        <w:t xml:space="preserve">and agreements </w:t>
      </w:r>
      <w:bookmarkEnd w:id="151"/>
      <w:r w:rsidRPr="009A25C0">
        <w:rPr>
          <w:rFonts w:ascii="Arial" w:hAnsi="Arial" w:cs="Arial"/>
          <w:sz w:val="20"/>
          <w:szCs w:val="20"/>
        </w:rPr>
        <w:t>will be paid only in 2022.</w:t>
      </w:r>
    </w:p>
    <w:p w14:paraId="2A86E2ED" w14:textId="59BC734B" w:rsidR="00B62463" w:rsidRDefault="00B62463" w:rsidP="00B62463">
      <w:pPr>
        <w:jc w:val="both"/>
      </w:pPr>
      <w:r>
        <w:rPr>
          <w:rFonts w:ascii="Arial" w:hAnsi="Arial" w:cs="Arial"/>
          <w:b/>
          <w:bCs/>
          <w:color w:val="00B0F0"/>
          <w:sz w:val="20"/>
          <w:szCs w:val="20"/>
        </w:rPr>
        <w:t>Operational e</w:t>
      </w:r>
      <w:r w:rsidRPr="00AF5369">
        <w:rPr>
          <w:rFonts w:ascii="Arial" w:hAnsi="Arial" w:cs="Arial"/>
          <w:b/>
          <w:bCs/>
          <w:color w:val="00B0F0"/>
          <w:sz w:val="20"/>
          <w:szCs w:val="20"/>
        </w:rPr>
        <w:t>xpenditure</w:t>
      </w:r>
      <w:r>
        <w:t xml:space="preserve"> </w:t>
      </w:r>
    </w:p>
    <w:p w14:paraId="01D6D716" w14:textId="5878300E" w:rsidR="00B62463" w:rsidRPr="00B62463" w:rsidRDefault="00B62463" w:rsidP="00B62463">
      <w:pPr>
        <w:jc w:val="both"/>
        <w:rPr>
          <w:rFonts w:ascii="Arial" w:hAnsi="Arial" w:cs="Arial"/>
          <w:sz w:val="20"/>
          <w:szCs w:val="20"/>
        </w:rPr>
      </w:pPr>
      <w:r w:rsidRPr="00B62463">
        <w:rPr>
          <w:rFonts w:ascii="Arial" w:hAnsi="Arial" w:cs="Arial"/>
          <w:sz w:val="20"/>
          <w:szCs w:val="20"/>
        </w:rPr>
        <w:t xml:space="preserve">As regards </w:t>
      </w:r>
      <w:r w:rsidRPr="00B62463">
        <w:rPr>
          <w:rFonts w:ascii="Arial" w:hAnsi="Arial" w:cs="Arial"/>
          <w:b/>
          <w:bCs/>
          <w:sz w:val="20"/>
          <w:szCs w:val="20"/>
        </w:rPr>
        <w:t>FP7 operational costs</w:t>
      </w:r>
      <w:r w:rsidRPr="00B62463">
        <w:rPr>
          <w:rFonts w:ascii="Arial" w:hAnsi="Arial" w:cs="Arial"/>
          <w:sz w:val="20"/>
          <w:szCs w:val="20"/>
        </w:rPr>
        <w:t>, the execution rate o</w:t>
      </w:r>
      <w:r>
        <w:rPr>
          <w:rFonts w:ascii="Arial" w:hAnsi="Arial" w:cs="Arial"/>
          <w:sz w:val="20"/>
          <w:szCs w:val="20"/>
        </w:rPr>
        <w:t>n</w:t>
      </w:r>
      <w:r w:rsidRPr="00B62463">
        <w:rPr>
          <w:rFonts w:ascii="Arial" w:hAnsi="Arial" w:cs="Arial"/>
          <w:sz w:val="20"/>
          <w:szCs w:val="20"/>
        </w:rPr>
        <w:t xml:space="preserve"> the payment appropriations reached 98% (from 89% in 2020). It should be noted that only 3 FP7 payments were carried out in 2021.</w:t>
      </w:r>
    </w:p>
    <w:p w14:paraId="2A060ABC" w14:textId="6A1563C2" w:rsidR="00B62463" w:rsidRPr="00B62463" w:rsidRDefault="00B62463" w:rsidP="00B62463">
      <w:pPr>
        <w:jc w:val="both"/>
        <w:rPr>
          <w:rFonts w:ascii="Arial" w:hAnsi="Arial" w:cs="Arial"/>
          <w:sz w:val="20"/>
          <w:szCs w:val="20"/>
        </w:rPr>
      </w:pPr>
      <w:r w:rsidRPr="00B62463">
        <w:rPr>
          <w:rFonts w:ascii="Arial" w:hAnsi="Arial" w:cs="Arial"/>
          <w:sz w:val="20"/>
          <w:szCs w:val="20"/>
        </w:rPr>
        <w:t xml:space="preserve">In reference to </w:t>
      </w:r>
      <w:r w:rsidRPr="00B62463">
        <w:rPr>
          <w:rFonts w:ascii="Arial" w:hAnsi="Arial" w:cs="Arial"/>
          <w:b/>
          <w:bCs/>
          <w:sz w:val="20"/>
          <w:szCs w:val="20"/>
        </w:rPr>
        <w:t>H2020 operational costs</w:t>
      </w:r>
      <w:r w:rsidRPr="00B62463">
        <w:rPr>
          <w:rFonts w:ascii="Arial" w:hAnsi="Arial" w:cs="Arial"/>
          <w:sz w:val="20"/>
          <w:szCs w:val="20"/>
        </w:rPr>
        <w:t xml:space="preserve"> (call, </w:t>
      </w:r>
      <w:bookmarkStart w:id="152" w:name="_Hlk97217036"/>
      <w:r>
        <w:rPr>
          <w:rFonts w:ascii="Arial" w:hAnsi="Arial" w:cs="Arial"/>
          <w:sz w:val="20"/>
          <w:szCs w:val="20"/>
        </w:rPr>
        <w:t>procurement activities</w:t>
      </w:r>
      <w:bookmarkEnd w:id="152"/>
      <w:r w:rsidRPr="00B62463">
        <w:rPr>
          <w:rFonts w:ascii="Arial" w:hAnsi="Arial" w:cs="Arial"/>
          <w:sz w:val="20"/>
          <w:szCs w:val="20"/>
        </w:rPr>
        <w:t>, JRC and European Hydrogen Safety Panel), the commitment execution rate slightly improved to 98% in 2021 (97% in 2020). In terms of payments, the implementation rate reached 88% lower than in 2020 (97%).</w:t>
      </w:r>
    </w:p>
    <w:p w14:paraId="44D69A6D" w14:textId="313327CB" w:rsidR="00B62463" w:rsidRPr="00B62463" w:rsidRDefault="00F36073" w:rsidP="00B62463">
      <w:pPr>
        <w:jc w:val="both"/>
        <w:rPr>
          <w:rFonts w:ascii="Arial" w:hAnsi="Arial" w:cs="Arial"/>
          <w:sz w:val="20"/>
          <w:szCs w:val="20"/>
        </w:rPr>
      </w:pPr>
      <w:bookmarkStart w:id="153" w:name="_Hlk97218068"/>
      <w:r>
        <w:rPr>
          <w:rFonts w:ascii="Arial" w:hAnsi="Arial" w:cs="Arial"/>
          <w:sz w:val="20"/>
          <w:szCs w:val="20"/>
        </w:rPr>
        <w:t>S</w:t>
      </w:r>
      <w:r w:rsidR="00B62463" w:rsidRPr="00B62463">
        <w:rPr>
          <w:rFonts w:ascii="Arial" w:hAnsi="Arial" w:cs="Arial"/>
          <w:sz w:val="20"/>
          <w:szCs w:val="20"/>
        </w:rPr>
        <w:t>everal delays in grants’</w:t>
      </w:r>
      <w:r>
        <w:rPr>
          <w:rFonts w:ascii="Arial" w:hAnsi="Arial" w:cs="Arial"/>
          <w:sz w:val="20"/>
          <w:szCs w:val="20"/>
        </w:rPr>
        <w:t xml:space="preserve"> progress and</w:t>
      </w:r>
      <w:r w:rsidR="00B62463" w:rsidRPr="00B62463">
        <w:rPr>
          <w:rFonts w:ascii="Arial" w:hAnsi="Arial" w:cs="Arial"/>
          <w:sz w:val="20"/>
          <w:szCs w:val="20"/>
        </w:rPr>
        <w:t xml:space="preserve"> implementation were reported</w:t>
      </w:r>
      <w:r>
        <w:rPr>
          <w:rFonts w:ascii="Arial" w:hAnsi="Arial" w:cs="Arial"/>
          <w:sz w:val="20"/>
          <w:szCs w:val="20"/>
        </w:rPr>
        <w:t xml:space="preserve"> in 2021</w:t>
      </w:r>
      <w:r w:rsidR="00B62463">
        <w:rPr>
          <w:rFonts w:ascii="Arial" w:hAnsi="Arial" w:cs="Arial"/>
          <w:sz w:val="20"/>
          <w:szCs w:val="20"/>
        </w:rPr>
        <w:t>. These delays were mitigated with amendments</w:t>
      </w:r>
      <w:r w:rsidR="00B62463" w:rsidRPr="00B62463">
        <w:rPr>
          <w:rFonts w:ascii="Arial" w:hAnsi="Arial" w:cs="Arial"/>
          <w:sz w:val="20"/>
          <w:szCs w:val="20"/>
        </w:rPr>
        <w:t xml:space="preserve"> that shifted </w:t>
      </w:r>
      <w:r w:rsidR="00B62463">
        <w:rPr>
          <w:rFonts w:ascii="Arial" w:hAnsi="Arial" w:cs="Arial"/>
          <w:sz w:val="20"/>
          <w:szCs w:val="20"/>
        </w:rPr>
        <w:t xml:space="preserve">planned </w:t>
      </w:r>
      <w:r w:rsidR="00B62463" w:rsidRPr="00B62463">
        <w:rPr>
          <w:rFonts w:ascii="Arial" w:hAnsi="Arial" w:cs="Arial"/>
          <w:sz w:val="20"/>
          <w:szCs w:val="20"/>
        </w:rPr>
        <w:t>payment</w:t>
      </w:r>
      <w:r w:rsidR="00B62463">
        <w:rPr>
          <w:rFonts w:ascii="Arial" w:hAnsi="Arial" w:cs="Arial"/>
          <w:sz w:val="20"/>
          <w:szCs w:val="20"/>
        </w:rPr>
        <w:t>s</w:t>
      </w:r>
      <w:r w:rsidR="00B62463" w:rsidRPr="00B62463">
        <w:rPr>
          <w:rFonts w:ascii="Arial" w:hAnsi="Arial" w:cs="Arial"/>
          <w:sz w:val="20"/>
          <w:szCs w:val="20"/>
        </w:rPr>
        <w:t xml:space="preserve"> from 2021 to 2022. Other delays resulted in claims much lower than initially estimated. In total, delays in project implementation accounted for </w:t>
      </w:r>
      <w:r>
        <w:rPr>
          <w:rFonts w:ascii="Arial" w:hAnsi="Arial" w:cs="Arial"/>
          <w:sz w:val="20"/>
          <w:szCs w:val="20"/>
        </w:rPr>
        <w:t>an estimated deviation of</w:t>
      </w:r>
      <w:r w:rsidR="00B62463" w:rsidRPr="00B62463">
        <w:rPr>
          <w:rFonts w:ascii="Arial" w:hAnsi="Arial" w:cs="Arial"/>
          <w:sz w:val="20"/>
          <w:szCs w:val="20"/>
        </w:rPr>
        <w:t xml:space="preserve"> EUR 22 400 </w:t>
      </w:r>
      <w:r>
        <w:rPr>
          <w:rFonts w:ascii="Arial" w:hAnsi="Arial" w:cs="Arial"/>
          <w:sz w:val="20"/>
          <w:szCs w:val="20"/>
        </w:rPr>
        <w:t xml:space="preserve">000 </w:t>
      </w:r>
      <w:r w:rsidR="00B62463" w:rsidRPr="00B62463">
        <w:rPr>
          <w:rFonts w:ascii="Arial" w:hAnsi="Arial" w:cs="Arial"/>
          <w:sz w:val="20"/>
          <w:szCs w:val="20"/>
        </w:rPr>
        <w:t xml:space="preserve">compared to initial forecast, representing 1/3 of initial budget for H2020 payments. Most of this deviation was timely identified and corrected by returning to the Commission an amount of EUR 16 500 </w:t>
      </w:r>
      <w:r>
        <w:rPr>
          <w:rFonts w:ascii="Arial" w:hAnsi="Arial" w:cs="Arial"/>
          <w:sz w:val="20"/>
          <w:szCs w:val="20"/>
        </w:rPr>
        <w:t xml:space="preserve">000 </w:t>
      </w:r>
      <w:r w:rsidR="00B62463" w:rsidRPr="00B62463">
        <w:rPr>
          <w:rFonts w:ascii="Arial" w:hAnsi="Arial" w:cs="Arial"/>
          <w:sz w:val="20"/>
          <w:szCs w:val="20"/>
        </w:rPr>
        <w:t xml:space="preserve">in the context of the Global Transfer of Appropriations. The </w:t>
      </w:r>
      <w:r>
        <w:rPr>
          <w:rFonts w:ascii="Arial" w:hAnsi="Arial" w:cs="Arial"/>
          <w:sz w:val="20"/>
          <w:szCs w:val="20"/>
        </w:rPr>
        <w:t>unused payment</w:t>
      </w:r>
      <w:r w:rsidR="00B62463" w:rsidRPr="00B62463">
        <w:rPr>
          <w:rFonts w:ascii="Arial" w:hAnsi="Arial" w:cs="Arial"/>
          <w:sz w:val="20"/>
          <w:szCs w:val="20"/>
        </w:rPr>
        <w:t xml:space="preserve"> appropriations of EUR 5 939</w:t>
      </w:r>
      <w:r>
        <w:rPr>
          <w:rFonts w:ascii="Arial" w:hAnsi="Arial" w:cs="Arial"/>
          <w:sz w:val="20"/>
          <w:szCs w:val="20"/>
        </w:rPr>
        <w:t xml:space="preserve"> 254</w:t>
      </w:r>
      <w:r w:rsidR="00B62463" w:rsidRPr="00B62463">
        <w:rPr>
          <w:rFonts w:ascii="Arial" w:hAnsi="Arial" w:cs="Arial"/>
          <w:sz w:val="20"/>
          <w:szCs w:val="20"/>
        </w:rPr>
        <w:t xml:space="preserve"> came from underclaim of 2 projects for which their claims were </w:t>
      </w:r>
      <w:r>
        <w:rPr>
          <w:rFonts w:ascii="Arial" w:hAnsi="Arial" w:cs="Arial"/>
          <w:sz w:val="20"/>
          <w:szCs w:val="20"/>
        </w:rPr>
        <w:t>submitted after the abovementioned correction.</w:t>
      </w:r>
    </w:p>
    <w:bookmarkEnd w:id="153"/>
    <w:p w14:paraId="2F2EC91C" w14:textId="021E472B" w:rsidR="00F02950" w:rsidRDefault="00F36073" w:rsidP="00F36073">
      <w:pPr>
        <w:jc w:val="both"/>
        <w:rPr>
          <w:rFonts w:ascii="Arial" w:hAnsi="Arial" w:cs="Arial"/>
          <w:b/>
          <w:bCs/>
          <w:color w:val="00B0F0"/>
          <w:sz w:val="20"/>
          <w:szCs w:val="20"/>
        </w:rPr>
      </w:pPr>
      <w:r w:rsidRPr="00F36073">
        <w:rPr>
          <w:rFonts w:ascii="Arial" w:hAnsi="Arial" w:cs="Arial"/>
          <w:b/>
          <w:bCs/>
          <w:color w:val="00B0F0"/>
          <w:sz w:val="20"/>
          <w:szCs w:val="20"/>
        </w:rPr>
        <w:t>Overview of programme implementation</w:t>
      </w:r>
    </w:p>
    <w:p w14:paraId="5E9CEDEC" w14:textId="139B1362" w:rsidR="00F36073" w:rsidRDefault="00F36073" w:rsidP="00F36073">
      <w:pPr>
        <w:jc w:val="both"/>
        <w:rPr>
          <w:rFonts w:ascii="Arial" w:hAnsi="Arial" w:cs="Arial"/>
          <w:sz w:val="20"/>
          <w:szCs w:val="20"/>
        </w:rPr>
      </w:pPr>
      <w:r w:rsidRPr="00F36073">
        <w:rPr>
          <w:rFonts w:ascii="Arial" w:hAnsi="Arial" w:cs="Arial"/>
          <w:sz w:val="20"/>
          <w:szCs w:val="20"/>
        </w:rPr>
        <w:t>The following tables give an overview of FP7 and H2020 implementation:</w:t>
      </w:r>
    </w:p>
    <w:p w14:paraId="3F435C23" w14:textId="163273C6" w:rsidR="00F36073" w:rsidRDefault="00F36073" w:rsidP="00F36073">
      <w:pPr>
        <w:jc w:val="both"/>
        <w:rPr>
          <w:rFonts w:ascii="Arial" w:hAnsi="Arial" w:cs="Arial"/>
          <w:sz w:val="20"/>
          <w:szCs w:val="20"/>
        </w:rPr>
      </w:pPr>
    </w:p>
    <w:p w14:paraId="3DB0CEDC" w14:textId="74FC9F66" w:rsidR="00F36073" w:rsidRDefault="00F36073" w:rsidP="00AB25EE">
      <w:pPr>
        <w:jc w:val="both"/>
        <w:rPr>
          <w:b/>
          <w:bCs/>
        </w:rPr>
      </w:pPr>
      <w:r w:rsidRPr="00AF5369">
        <w:rPr>
          <w:b/>
          <w:bCs/>
        </w:rPr>
        <w:t xml:space="preserve">TABLE </w:t>
      </w:r>
      <w:r w:rsidR="000C5BE7">
        <w:rPr>
          <w:b/>
          <w:bCs/>
        </w:rPr>
        <w:t>2.3.5</w:t>
      </w:r>
      <w:r w:rsidRPr="00AF5369">
        <w:rPr>
          <w:b/>
          <w:bCs/>
        </w:rPr>
        <w:t xml:space="preserve">: IMPLEMENTATION OF </w:t>
      </w:r>
      <w:r>
        <w:rPr>
          <w:b/>
          <w:bCs/>
        </w:rPr>
        <w:t>FP7 PROGRAMME</w:t>
      </w:r>
      <w:r w:rsidR="00AB25EE">
        <w:rPr>
          <w:b/>
          <w:bCs/>
        </w:rPr>
        <w:t xml:space="preserve"> (amounts in EUR)</w:t>
      </w:r>
    </w:p>
    <w:tbl>
      <w:tblPr>
        <w:tblW w:w="904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620"/>
        <w:gridCol w:w="2020"/>
        <w:gridCol w:w="2280"/>
        <w:gridCol w:w="2120"/>
      </w:tblGrid>
      <w:tr w:rsidR="00AB25EE" w:rsidRPr="005463EB" w14:paraId="1956C6BB" w14:textId="77777777" w:rsidTr="00DF2591">
        <w:trPr>
          <w:trHeight w:val="600"/>
        </w:trPr>
        <w:tc>
          <w:tcPr>
            <w:tcW w:w="2620" w:type="dxa"/>
            <w:shd w:val="clear" w:color="000000" w:fill="92D050"/>
            <w:vAlign w:val="center"/>
            <w:hideMark/>
          </w:tcPr>
          <w:p w14:paraId="256F24A7" w14:textId="77777777" w:rsidR="00AB25EE" w:rsidRPr="005463EB" w:rsidRDefault="00AB25EE" w:rsidP="00DF2591">
            <w:pPr>
              <w:spacing w:after="0" w:line="240" w:lineRule="auto"/>
              <w:jc w:val="center"/>
              <w:rPr>
                <w:rFonts w:ascii="Arial" w:eastAsia="Times New Roman" w:hAnsi="Arial" w:cs="Arial"/>
                <w:b/>
                <w:bCs/>
                <w:color w:val="000000"/>
                <w:sz w:val="20"/>
                <w:szCs w:val="20"/>
                <w:lang w:eastAsia="en-GB"/>
              </w:rPr>
            </w:pPr>
            <w:r w:rsidRPr="005463EB">
              <w:rPr>
                <w:rFonts w:ascii="Arial" w:eastAsia="Times New Roman" w:hAnsi="Arial" w:cs="Arial"/>
                <w:b/>
                <w:bCs/>
                <w:color w:val="000000"/>
                <w:sz w:val="20"/>
                <w:szCs w:val="20"/>
                <w:lang w:eastAsia="en-GB"/>
              </w:rPr>
              <w:t>Type</w:t>
            </w:r>
          </w:p>
        </w:tc>
        <w:tc>
          <w:tcPr>
            <w:tcW w:w="2020" w:type="dxa"/>
            <w:tcBorders>
              <w:bottom w:val="single" w:sz="8" w:space="0" w:color="auto"/>
            </w:tcBorders>
            <w:shd w:val="clear" w:color="000000" w:fill="92D050"/>
            <w:vAlign w:val="center"/>
            <w:hideMark/>
          </w:tcPr>
          <w:p w14:paraId="33DDDE8E" w14:textId="77777777" w:rsidR="00AB25EE" w:rsidRPr="005463EB" w:rsidRDefault="00AB25EE" w:rsidP="00DF2591">
            <w:pPr>
              <w:spacing w:after="0" w:line="240" w:lineRule="auto"/>
              <w:jc w:val="center"/>
              <w:rPr>
                <w:rFonts w:ascii="Arial" w:eastAsia="Times New Roman" w:hAnsi="Arial" w:cs="Arial"/>
                <w:b/>
                <w:bCs/>
                <w:color w:val="000000"/>
                <w:sz w:val="20"/>
                <w:szCs w:val="20"/>
                <w:lang w:eastAsia="en-GB"/>
              </w:rPr>
            </w:pPr>
            <w:r w:rsidRPr="005463EB">
              <w:rPr>
                <w:rFonts w:ascii="Arial" w:eastAsia="Times New Roman" w:hAnsi="Arial" w:cs="Arial"/>
                <w:b/>
                <w:bCs/>
                <w:color w:val="000000"/>
                <w:sz w:val="20"/>
                <w:szCs w:val="20"/>
                <w:lang w:eastAsia="en-GB"/>
              </w:rPr>
              <w:t>Execution until 31/12/202</w:t>
            </w:r>
            <w:r>
              <w:rPr>
                <w:rFonts w:ascii="Arial" w:eastAsia="Times New Roman" w:hAnsi="Arial" w:cs="Arial"/>
                <w:b/>
                <w:bCs/>
                <w:color w:val="000000"/>
                <w:sz w:val="20"/>
                <w:szCs w:val="20"/>
                <w:lang w:eastAsia="en-GB"/>
              </w:rPr>
              <w:t>1</w:t>
            </w:r>
          </w:p>
        </w:tc>
        <w:tc>
          <w:tcPr>
            <w:tcW w:w="2280" w:type="dxa"/>
            <w:tcBorders>
              <w:bottom w:val="single" w:sz="8" w:space="0" w:color="auto"/>
            </w:tcBorders>
            <w:shd w:val="clear" w:color="000000" w:fill="92D050"/>
            <w:vAlign w:val="center"/>
            <w:hideMark/>
          </w:tcPr>
          <w:p w14:paraId="61AFB6CA" w14:textId="77777777" w:rsidR="00AB25EE" w:rsidRPr="005463EB" w:rsidRDefault="00AB25EE" w:rsidP="00DF2591">
            <w:pPr>
              <w:spacing w:after="0" w:line="240" w:lineRule="auto"/>
              <w:jc w:val="center"/>
              <w:rPr>
                <w:rFonts w:ascii="Arial" w:eastAsia="Times New Roman" w:hAnsi="Arial" w:cs="Arial"/>
                <w:b/>
                <w:bCs/>
                <w:color w:val="000000"/>
                <w:sz w:val="20"/>
                <w:szCs w:val="20"/>
                <w:lang w:eastAsia="en-GB"/>
              </w:rPr>
            </w:pPr>
            <w:r w:rsidRPr="005463EB">
              <w:rPr>
                <w:rFonts w:ascii="Arial" w:eastAsia="Times New Roman" w:hAnsi="Arial" w:cs="Arial"/>
                <w:b/>
                <w:bCs/>
                <w:color w:val="000000"/>
                <w:sz w:val="20"/>
                <w:szCs w:val="20"/>
                <w:lang w:eastAsia="en-GB"/>
              </w:rPr>
              <w:t>Subsequent years</w:t>
            </w:r>
          </w:p>
        </w:tc>
        <w:tc>
          <w:tcPr>
            <w:tcW w:w="2120" w:type="dxa"/>
            <w:tcBorders>
              <w:bottom w:val="single" w:sz="8" w:space="0" w:color="auto"/>
            </w:tcBorders>
            <w:shd w:val="clear" w:color="000000" w:fill="92D050"/>
            <w:vAlign w:val="center"/>
            <w:hideMark/>
          </w:tcPr>
          <w:p w14:paraId="2D044EFB" w14:textId="77777777" w:rsidR="00AB25EE" w:rsidRPr="005463EB" w:rsidRDefault="00AB25EE" w:rsidP="00DF2591">
            <w:pPr>
              <w:spacing w:after="0" w:line="240" w:lineRule="auto"/>
              <w:jc w:val="center"/>
              <w:rPr>
                <w:rFonts w:ascii="Arial" w:eastAsia="Times New Roman" w:hAnsi="Arial" w:cs="Arial"/>
                <w:b/>
                <w:bCs/>
                <w:color w:val="000000"/>
                <w:sz w:val="20"/>
                <w:szCs w:val="20"/>
                <w:lang w:eastAsia="en-GB"/>
              </w:rPr>
            </w:pPr>
            <w:r w:rsidRPr="005463EB">
              <w:rPr>
                <w:rFonts w:ascii="Arial" w:eastAsia="Times New Roman" w:hAnsi="Arial" w:cs="Arial"/>
                <w:b/>
                <w:bCs/>
                <w:color w:val="000000"/>
                <w:sz w:val="20"/>
                <w:szCs w:val="20"/>
                <w:lang w:eastAsia="en-GB"/>
              </w:rPr>
              <w:t>Total</w:t>
            </w:r>
          </w:p>
        </w:tc>
      </w:tr>
      <w:tr w:rsidR="00AB25EE" w:rsidRPr="005463EB" w14:paraId="2FCE376B" w14:textId="77777777" w:rsidTr="00DF2591">
        <w:trPr>
          <w:trHeight w:val="540"/>
        </w:trPr>
        <w:tc>
          <w:tcPr>
            <w:tcW w:w="2620" w:type="dxa"/>
            <w:shd w:val="clear" w:color="auto" w:fill="auto"/>
            <w:vAlign w:val="center"/>
            <w:hideMark/>
          </w:tcPr>
          <w:p w14:paraId="3112BBB7" w14:textId="77777777" w:rsidR="00AB25EE" w:rsidRPr="005463EB" w:rsidRDefault="00AB25EE" w:rsidP="00DF2591">
            <w:pPr>
              <w:spacing w:after="0" w:line="240" w:lineRule="auto"/>
              <w:rPr>
                <w:rFonts w:ascii="Arial" w:eastAsia="Times New Roman" w:hAnsi="Arial" w:cs="Arial"/>
                <w:color w:val="000000"/>
                <w:sz w:val="16"/>
                <w:szCs w:val="16"/>
                <w:lang w:eastAsia="en-GB"/>
              </w:rPr>
            </w:pPr>
            <w:r w:rsidRPr="005463EB">
              <w:rPr>
                <w:rFonts w:ascii="Arial" w:eastAsia="Times New Roman" w:hAnsi="Arial" w:cs="Arial"/>
                <w:color w:val="000000"/>
                <w:sz w:val="16"/>
                <w:szCs w:val="16"/>
                <w:lang w:eastAsia="en-GB"/>
              </w:rPr>
              <w:t>Commitments (operational costs)</w:t>
            </w:r>
          </w:p>
        </w:tc>
        <w:tc>
          <w:tcPr>
            <w:tcW w:w="2020" w:type="dxa"/>
            <w:tcBorders>
              <w:top w:val="single" w:sz="8" w:space="0" w:color="auto"/>
              <w:left w:val="nil"/>
              <w:bottom w:val="single" w:sz="8" w:space="0" w:color="auto"/>
              <w:right w:val="single" w:sz="8" w:space="0" w:color="auto"/>
            </w:tcBorders>
            <w:shd w:val="clear" w:color="auto" w:fill="auto"/>
            <w:noWrap/>
            <w:vAlign w:val="center"/>
            <w:hideMark/>
          </w:tcPr>
          <w:p w14:paraId="36B835C5" w14:textId="77777777" w:rsidR="00AB25EE" w:rsidRPr="005463EB" w:rsidRDefault="00AB25EE" w:rsidP="00DF2591">
            <w:pPr>
              <w:spacing w:after="0" w:line="240" w:lineRule="auto"/>
              <w:jc w:val="center"/>
              <w:rPr>
                <w:rFonts w:ascii="Arial" w:eastAsia="Times New Roman" w:hAnsi="Arial" w:cs="Arial"/>
                <w:sz w:val="16"/>
                <w:szCs w:val="16"/>
                <w:lang w:eastAsia="en-GB"/>
              </w:rPr>
            </w:pPr>
            <w:r w:rsidRPr="006E2189">
              <w:rPr>
                <w:rFonts w:ascii="Arial" w:eastAsia="Times New Roman" w:hAnsi="Arial" w:cs="Arial"/>
                <w:sz w:val="16"/>
                <w:szCs w:val="16"/>
                <w:lang w:eastAsia="en-GB"/>
              </w:rPr>
              <w:t xml:space="preserve">               425,813,121 </w:t>
            </w:r>
          </w:p>
        </w:tc>
        <w:tc>
          <w:tcPr>
            <w:tcW w:w="228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3F39BAF" w14:textId="77777777" w:rsidR="00AB25EE" w:rsidRPr="005463EB" w:rsidRDefault="00AB25EE" w:rsidP="00DF2591">
            <w:pPr>
              <w:spacing w:after="0" w:line="240" w:lineRule="auto"/>
              <w:jc w:val="center"/>
              <w:rPr>
                <w:rFonts w:ascii="Arial" w:eastAsia="Times New Roman" w:hAnsi="Arial" w:cs="Arial"/>
                <w:sz w:val="16"/>
                <w:szCs w:val="16"/>
                <w:lang w:eastAsia="en-GB"/>
              </w:rPr>
            </w:pPr>
          </w:p>
        </w:tc>
        <w:tc>
          <w:tcPr>
            <w:tcW w:w="21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3A86F9A" w14:textId="77777777" w:rsidR="00AB25EE" w:rsidRPr="005463EB" w:rsidRDefault="00AB25EE" w:rsidP="00DF2591">
            <w:pPr>
              <w:spacing w:after="0" w:line="240" w:lineRule="auto"/>
              <w:jc w:val="center"/>
              <w:rPr>
                <w:rFonts w:ascii="Arial" w:eastAsia="Times New Roman" w:hAnsi="Arial" w:cs="Arial"/>
                <w:sz w:val="16"/>
                <w:szCs w:val="16"/>
                <w:lang w:eastAsia="en-GB"/>
              </w:rPr>
            </w:pPr>
            <w:r w:rsidRPr="006E2189">
              <w:rPr>
                <w:rFonts w:ascii="Arial" w:eastAsia="Times New Roman" w:hAnsi="Arial" w:cs="Arial"/>
                <w:sz w:val="16"/>
                <w:szCs w:val="16"/>
                <w:lang w:eastAsia="en-GB"/>
              </w:rPr>
              <w:t xml:space="preserve">                 425,813,121 </w:t>
            </w:r>
          </w:p>
        </w:tc>
      </w:tr>
      <w:tr w:rsidR="00AB25EE" w:rsidRPr="005463EB" w14:paraId="4E90DFC8" w14:textId="77777777" w:rsidTr="00DF2591">
        <w:trPr>
          <w:trHeight w:val="555"/>
        </w:trPr>
        <w:tc>
          <w:tcPr>
            <w:tcW w:w="2620" w:type="dxa"/>
            <w:shd w:val="clear" w:color="auto" w:fill="auto"/>
            <w:vAlign w:val="center"/>
            <w:hideMark/>
          </w:tcPr>
          <w:p w14:paraId="1530E0DC" w14:textId="77777777" w:rsidR="00AB25EE" w:rsidRPr="005463EB" w:rsidRDefault="00AB25EE" w:rsidP="00DF2591">
            <w:pPr>
              <w:spacing w:after="0" w:line="240" w:lineRule="auto"/>
              <w:rPr>
                <w:rFonts w:ascii="Arial" w:eastAsia="Times New Roman" w:hAnsi="Arial" w:cs="Arial"/>
                <w:color w:val="000000"/>
                <w:sz w:val="16"/>
                <w:szCs w:val="16"/>
                <w:lang w:eastAsia="en-GB"/>
              </w:rPr>
            </w:pPr>
            <w:r w:rsidRPr="005463EB">
              <w:rPr>
                <w:rFonts w:ascii="Arial" w:eastAsia="Times New Roman" w:hAnsi="Arial" w:cs="Arial"/>
                <w:color w:val="000000"/>
                <w:sz w:val="16"/>
                <w:szCs w:val="16"/>
                <w:lang w:eastAsia="en-GB"/>
              </w:rPr>
              <w:t>Payments (operational costs)</w:t>
            </w:r>
          </w:p>
        </w:tc>
        <w:tc>
          <w:tcPr>
            <w:tcW w:w="2020" w:type="dxa"/>
            <w:tcBorders>
              <w:top w:val="single" w:sz="8" w:space="0" w:color="auto"/>
              <w:left w:val="nil"/>
              <w:bottom w:val="single" w:sz="8" w:space="0" w:color="auto"/>
              <w:right w:val="single" w:sz="8" w:space="0" w:color="auto"/>
            </w:tcBorders>
            <w:shd w:val="clear" w:color="auto" w:fill="auto"/>
            <w:noWrap/>
            <w:vAlign w:val="center"/>
            <w:hideMark/>
          </w:tcPr>
          <w:p w14:paraId="0F2F1B5C" w14:textId="77777777" w:rsidR="00AB25EE" w:rsidRPr="005463EB" w:rsidRDefault="00AB25EE" w:rsidP="00DF2591">
            <w:pPr>
              <w:spacing w:after="0" w:line="240" w:lineRule="auto"/>
              <w:jc w:val="center"/>
              <w:rPr>
                <w:rFonts w:ascii="Arial" w:eastAsia="Times New Roman" w:hAnsi="Arial" w:cs="Arial"/>
                <w:sz w:val="16"/>
                <w:szCs w:val="16"/>
                <w:lang w:eastAsia="en-GB"/>
              </w:rPr>
            </w:pPr>
            <w:r w:rsidRPr="006E2189">
              <w:rPr>
                <w:rFonts w:ascii="Arial" w:eastAsia="Times New Roman" w:hAnsi="Arial" w:cs="Arial"/>
                <w:sz w:val="16"/>
                <w:szCs w:val="16"/>
                <w:lang w:eastAsia="en-GB"/>
              </w:rPr>
              <w:t xml:space="preserve">               422,506,398 </w:t>
            </w:r>
          </w:p>
        </w:tc>
        <w:tc>
          <w:tcPr>
            <w:tcW w:w="228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D395E2F" w14:textId="77777777" w:rsidR="00AB25EE" w:rsidRPr="005463EB" w:rsidRDefault="00AB25EE" w:rsidP="00DF2591">
            <w:pPr>
              <w:spacing w:after="0" w:line="240" w:lineRule="auto"/>
              <w:jc w:val="center"/>
              <w:rPr>
                <w:rFonts w:ascii="Arial" w:eastAsia="Times New Roman" w:hAnsi="Arial" w:cs="Arial"/>
                <w:sz w:val="16"/>
                <w:szCs w:val="16"/>
                <w:lang w:eastAsia="en-GB"/>
              </w:rPr>
            </w:pPr>
            <w:r w:rsidRPr="006E2189">
              <w:rPr>
                <w:rFonts w:ascii="Arial" w:eastAsia="Times New Roman" w:hAnsi="Arial" w:cs="Arial"/>
                <w:sz w:val="16"/>
                <w:szCs w:val="16"/>
                <w:lang w:eastAsia="en-GB"/>
              </w:rPr>
              <w:t xml:space="preserve">                        3,039,328 </w:t>
            </w:r>
          </w:p>
        </w:tc>
        <w:tc>
          <w:tcPr>
            <w:tcW w:w="21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CDEE8AC" w14:textId="77777777" w:rsidR="00AB25EE" w:rsidRPr="005463EB" w:rsidRDefault="00AB25EE" w:rsidP="00DF2591">
            <w:pPr>
              <w:spacing w:after="0" w:line="240" w:lineRule="auto"/>
              <w:jc w:val="center"/>
              <w:rPr>
                <w:rFonts w:ascii="Arial" w:eastAsia="Times New Roman" w:hAnsi="Arial" w:cs="Arial"/>
                <w:sz w:val="16"/>
                <w:szCs w:val="16"/>
                <w:lang w:eastAsia="en-GB"/>
              </w:rPr>
            </w:pPr>
            <w:r w:rsidRPr="006E2189">
              <w:rPr>
                <w:rFonts w:ascii="Arial" w:eastAsia="Times New Roman" w:hAnsi="Arial" w:cs="Arial"/>
                <w:sz w:val="16"/>
                <w:szCs w:val="16"/>
                <w:lang w:eastAsia="en-GB"/>
              </w:rPr>
              <w:t xml:space="preserve">                 425,545,726 </w:t>
            </w:r>
          </w:p>
        </w:tc>
      </w:tr>
      <w:tr w:rsidR="00AB25EE" w:rsidRPr="005463EB" w14:paraId="42003296" w14:textId="77777777" w:rsidTr="00DF2591">
        <w:trPr>
          <w:trHeight w:val="900"/>
        </w:trPr>
        <w:tc>
          <w:tcPr>
            <w:tcW w:w="2620" w:type="dxa"/>
            <w:shd w:val="clear" w:color="000000" w:fill="DCE6F1"/>
            <w:vAlign w:val="center"/>
            <w:hideMark/>
          </w:tcPr>
          <w:p w14:paraId="26E5D892" w14:textId="77777777" w:rsidR="00AB25EE" w:rsidRPr="005463EB" w:rsidRDefault="00AB25EE" w:rsidP="00DF2591">
            <w:pPr>
              <w:spacing w:after="0" w:line="240" w:lineRule="auto"/>
              <w:jc w:val="center"/>
              <w:rPr>
                <w:rFonts w:ascii="Arial" w:eastAsia="Times New Roman" w:hAnsi="Arial" w:cs="Arial"/>
                <w:b/>
                <w:bCs/>
                <w:color w:val="000000"/>
                <w:sz w:val="20"/>
                <w:szCs w:val="20"/>
                <w:lang w:eastAsia="en-GB"/>
              </w:rPr>
            </w:pPr>
            <w:r w:rsidRPr="005463EB">
              <w:rPr>
                <w:rFonts w:ascii="Arial" w:eastAsia="Times New Roman" w:hAnsi="Arial" w:cs="Arial"/>
                <w:b/>
                <w:bCs/>
                <w:color w:val="000000"/>
                <w:sz w:val="20"/>
                <w:szCs w:val="20"/>
                <w:lang w:eastAsia="en-GB"/>
              </w:rPr>
              <w:t>Cumulative execution (operational costs)</w:t>
            </w:r>
          </w:p>
        </w:tc>
        <w:tc>
          <w:tcPr>
            <w:tcW w:w="2020" w:type="dxa"/>
            <w:tcBorders>
              <w:top w:val="single" w:sz="8" w:space="0" w:color="auto"/>
              <w:left w:val="nil"/>
              <w:bottom w:val="single" w:sz="8" w:space="0" w:color="auto"/>
              <w:right w:val="single" w:sz="8" w:space="0" w:color="auto"/>
            </w:tcBorders>
            <w:shd w:val="clear" w:color="000000" w:fill="DDEBF7"/>
            <w:vAlign w:val="center"/>
            <w:hideMark/>
          </w:tcPr>
          <w:p w14:paraId="5AB21581" w14:textId="77777777" w:rsidR="00AB25EE" w:rsidRPr="005463EB" w:rsidRDefault="00AB25EE" w:rsidP="00DF2591">
            <w:pPr>
              <w:spacing w:after="0" w:line="240" w:lineRule="auto"/>
              <w:jc w:val="right"/>
              <w:rPr>
                <w:rFonts w:ascii="Arial" w:eastAsia="Times New Roman" w:hAnsi="Arial" w:cs="Arial"/>
                <w:b/>
                <w:bCs/>
                <w:color w:val="000000"/>
                <w:sz w:val="20"/>
                <w:szCs w:val="20"/>
                <w:lang w:eastAsia="en-GB"/>
              </w:rPr>
            </w:pPr>
            <w:r w:rsidRPr="006E2189">
              <w:rPr>
                <w:rFonts w:ascii="Arial" w:eastAsia="Times New Roman" w:hAnsi="Arial" w:cs="Arial"/>
                <w:b/>
                <w:bCs/>
                <w:color w:val="000000"/>
                <w:sz w:val="20"/>
                <w:szCs w:val="20"/>
                <w:lang w:eastAsia="en-GB"/>
              </w:rPr>
              <w:t>99.2%</w:t>
            </w:r>
          </w:p>
        </w:tc>
        <w:tc>
          <w:tcPr>
            <w:tcW w:w="2280" w:type="dxa"/>
            <w:tcBorders>
              <w:top w:val="single" w:sz="8" w:space="0" w:color="auto"/>
              <w:left w:val="single" w:sz="8" w:space="0" w:color="auto"/>
              <w:bottom w:val="single" w:sz="8" w:space="0" w:color="auto"/>
              <w:right w:val="single" w:sz="8" w:space="0" w:color="auto"/>
            </w:tcBorders>
            <w:shd w:val="clear" w:color="000000" w:fill="DDEBF7"/>
            <w:vAlign w:val="center"/>
            <w:hideMark/>
          </w:tcPr>
          <w:p w14:paraId="7CEFE61A" w14:textId="77777777" w:rsidR="00AB25EE" w:rsidRPr="005463EB" w:rsidRDefault="00AB25EE" w:rsidP="00DF2591">
            <w:pPr>
              <w:spacing w:after="0" w:line="240" w:lineRule="auto"/>
              <w:jc w:val="right"/>
              <w:rPr>
                <w:rFonts w:ascii="Arial" w:eastAsia="Times New Roman" w:hAnsi="Arial" w:cs="Arial"/>
                <w:b/>
                <w:bCs/>
                <w:color w:val="000000"/>
                <w:sz w:val="20"/>
                <w:szCs w:val="20"/>
                <w:lang w:eastAsia="en-GB"/>
              </w:rPr>
            </w:pPr>
            <w:r w:rsidRPr="006E2189">
              <w:rPr>
                <w:rFonts w:ascii="Arial" w:eastAsia="Times New Roman" w:hAnsi="Arial" w:cs="Arial"/>
                <w:b/>
                <w:bCs/>
                <w:color w:val="000000"/>
                <w:sz w:val="20"/>
                <w:szCs w:val="20"/>
                <w:lang w:eastAsia="en-GB"/>
              </w:rPr>
              <w:t>99.9%</w:t>
            </w:r>
          </w:p>
        </w:tc>
        <w:tc>
          <w:tcPr>
            <w:tcW w:w="2120" w:type="dxa"/>
            <w:tcBorders>
              <w:top w:val="single" w:sz="8" w:space="0" w:color="auto"/>
              <w:left w:val="single" w:sz="8" w:space="0" w:color="auto"/>
              <w:bottom w:val="single" w:sz="8" w:space="0" w:color="auto"/>
              <w:right w:val="single" w:sz="8" w:space="0" w:color="auto"/>
            </w:tcBorders>
            <w:shd w:val="clear" w:color="000000" w:fill="DDEBF7"/>
            <w:vAlign w:val="center"/>
            <w:hideMark/>
          </w:tcPr>
          <w:p w14:paraId="1A5B7766" w14:textId="77777777" w:rsidR="00AB25EE" w:rsidRPr="005463EB" w:rsidRDefault="00AB25EE" w:rsidP="00DF2591">
            <w:pPr>
              <w:spacing w:after="0" w:line="240" w:lineRule="auto"/>
              <w:jc w:val="right"/>
              <w:rPr>
                <w:rFonts w:ascii="Arial" w:eastAsia="Times New Roman" w:hAnsi="Arial" w:cs="Arial"/>
                <w:b/>
                <w:bCs/>
                <w:color w:val="000000"/>
                <w:sz w:val="20"/>
                <w:szCs w:val="20"/>
                <w:lang w:eastAsia="en-GB"/>
              </w:rPr>
            </w:pPr>
            <w:r w:rsidRPr="006E2189">
              <w:rPr>
                <w:rFonts w:ascii="Arial" w:eastAsia="Times New Roman" w:hAnsi="Arial" w:cs="Arial"/>
                <w:b/>
                <w:bCs/>
                <w:color w:val="000000"/>
                <w:sz w:val="20"/>
                <w:szCs w:val="20"/>
                <w:lang w:eastAsia="en-GB"/>
              </w:rPr>
              <w:t>99.9%</w:t>
            </w:r>
          </w:p>
        </w:tc>
      </w:tr>
      <w:tr w:rsidR="00AB25EE" w:rsidRPr="005463EB" w14:paraId="3C6FBDD4" w14:textId="77777777" w:rsidTr="00DF2591">
        <w:trPr>
          <w:trHeight w:val="540"/>
        </w:trPr>
        <w:tc>
          <w:tcPr>
            <w:tcW w:w="2620" w:type="dxa"/>
            <w:shd w:val="clear" w:color="auto" w:fill="auto"/>
            <w:vAlign w:val="center"/>
            <w:hideMark/>
          </w:tcPr>
          <w:p w14:paraId="1CA1769E" w14:textId="77777777" w:rsidR="00AB25EE" w:rsidRPr="005463EB" w:rsidRDefault="00AB25EE" w:rsidP="00DF2591">
            <w:pPr>
              <w:spacing w:after="0" w:line="240" w:lineRule="auto"/>
              <w:rPr>
                <w:rFonts w:ascii="Arial" w:eastAsia="Times New Roman" w:hAnsi="Arial" w:cs="Arial"/>
                <w:color w:val="000000"/>
                <w:sz w:val="16"/>
                <w:szCs w:val="16"/>
                <w:lang w:eastAsia="en-GB"/>
              </w:rPr>
            </w:pPr>
            <w:r w:rsidRPr="005463EB">
              <w:rPr>
                <w:rFonts w:ascii="Arial" w:eastAsia="Times New Roman" w:hAnsi="Arial" w:cs="Arial"/>
                <w:color w:val="000000"/>
                <w:sz w:val="16"/>
                <w:szCs w:val="16"/>
                <w:lang w:eastAsia="en-GB"/>
              </w:rPr>
              <w:t>Commitments (administrative costs)</w:t>
            </w:r>
          </w:p>
        </w:tc>
        <w:tc>
          <w:tcPr>
            <w:tcW w:w="2020" w:type="dxa"/>
            <w:tcBorders>
              <w:top w:val="single" w:sz="8" w:space="0" w:color="auto"/>
            </w:tcBorders>
            <w:shd w:val="clear" w:color="auto" w:fill="auto"/>
            <w:noWrap/>
            <w:vAlign w:val="center"/>
            <w:hideMark/>
          </w:tcPr>
          <w:p w14:paraId="795041DE" w14:textId="77777777" w:rsidR="00AB25EE" w:rsidRPr="005463EB" w:rsidRDefault="00AB25EE" w:rsidP="00DF2591">
            <w:pPr>
              <w:spacing w:after="0" w:line="240" w:lineRule="auto"/>
              <w:jc w:val="center"/>
              <w:rPr>
                <w:rFonts w:ascii="Arial" w:eastAsia="Times New Roman" w:hAnsi="Arial" w:cs="Arial"/>
                <w:sz w:val="16"/>
                <w:szCs w:val="16"/>
                <w:lang w:eastAsia="en-GB"/>
              </w:rPr>
            </w:pPr>
            <w:r w:rsidRPr="005463EB">
              <w:rPr>
                <w:rFonts w:ascii="Arial" w:eastAsia="Times New Roman" w:hAnsi="Arial" w:cs="Arial"/>
                <w:sz w:val="16"/>
                <w:szCs w:val="16"/>
                <w:lang w:eastAsia="en-GB"/>
              </w:rPr>
              <w:t xml:space="preserve">                 30,658,610 </w:t>
            </w:r>
          </w:p>
        </w:tc>
        <w:tc>
          <w:tcPr>
            <w:tcW w:w="2280" w:type="dxa"/>
            <w:tcBorders>
              <w:top w:val="single" w:sz="8" w:space="0" w:color="auto"/>
            </w:tcBorders>
            <w:shd w:val="clear" w:color="auto" w:fill="auto"/>
            <w:noWrap/>
            <w:vAlign w:val="center"/>
            <w:hideMark/>
          </w:tcPr>
          <w:p w14:paraId="16FBE3E0" w14:textId="77777777" w:rsidR="00AB25EE" w:rsidRPr="005463EB" w:rsidRDefault="00AB25EE" w:rsidP="00DF2591">
            <w:pPr>
              <w:spacing w:after="0" w:line="240" w:lineRule="auto"/>
              <w:jc w:val="center"/>
              <w:rPr>
                <w:rFonts w:ascii="Arial" w:eastAsia="Times New Roman" w:hAnsi="Arial" w:cs="Arial"/>
                <w:sz w:val="16"/>
                <w:szCs w:val="16"/>
                <w:lang w:eastAsia="en-GB"/>
              </w:rPr>
            </w:pPr>
          </w:p>
        </w:tc>
        <w:tc>
          <w:tcPr>
            <w:tcW w:w="2120" w:type="dxa"/>
            <w:tcBorders>
              <w:top w:val="single" w:sz="8" w:space="0" w:color="auto"/>
            </w:tcBorders>
            <w:shd w:val="clear" w:color="auto" w:fill="auto"/>
            <w:noWrap/>
            <w:vAlign w:val="center"/>
            <w:hideMark/>
          </w:tcPr>
          <w:p w14:paraId="5861D686" w14:textId="77777777" w:rsidR="00AB25EE" w:rsidRPr="005463EB" w:rsidRDefault="00AB25EE" w:rsidP="00DF2591">
            <w:pPr>
              <w:spacing w:after="0" w:line="240" w:lineRule="auto"/>
              <w:jc w:val="center"/>
              <w:rPr>
                <w:rFonts w:ascii="Arial" w:eastAsia="Times New Roman" w:hAnsi="Arial" w:cs="Arial"/>
                <w:sz w:val="16"/>
                <w:szCs w:val="16"/>
                <w:lang w:eastAsia="en-GB"/>
              </w:rPr>
            </w:pPr>
            <w:r w:rsidRPr="005463EB">
              <w:rPr>
                <w:rFonts w:ascii="Arial" w:eastAsia="Times New Roman" w:hAnsi="Arial" w:cs="Arial"/>
                <w:sz w:val="16"/>
                <w:szCs w:val="16"/>
                <w:lang w:eastAsia="en-GB"/>
              </w:rPr>
              <w:t xml:space="preserve">                   30,658,610 </w:t>
            </w:r>
          </w:p>
        </w:tc>
      </w:tr>
      <w:tr w:rsidR="00AB25EE" w:rsidRPr="005463EB" w14:paraId="2F1CB786" w14:textId="77777777" w:rsidTr="00DF2591">
        <w:trPr>
          <w:trHeight w:val="555"/>
        </w:trPr>
        <w:tc>
          <w:tcPr>
            <w:tcW w:w="2620" w:type="dxa"/>
            <w:shd w:val="clear" w:color="auto" w:fill="auto"/>
            <w:vAlign w:val="center"/>
            <w:hideMark/>
          </w:tcPr>
          <w:p w14:paraId="25D23E1E" w14:textId="77777777" w:rsidR="00AB25EE" w:rsidRPr="005463EB" w:rsidRDefault="00AB25EE" w:rsidP="00DF2591">
            <w:pPr>
              <w:spacing w:after="0" w:line="240" w:lineRule="auto"/>
              <w:rPr>
                <w:rFonts w:ascii="Arial" w:eastAsia="Times New Roman" w:hAnsi="Arial" w:cs="Arial"/>
                <w:color w:val="000000"/>
                <w:sz w:val="16"/>
                <w:szCs w:val="16"/>
                <w:lang w:eastAsia="en-GB"/>
              </w:rPr>
            </w:pPr>
            <w:r w:rsidRPr="005463EB">
              <w:rPr>
                <w:rFonts w:ascii="Arial" w:eastAsia="Times New Roman" w:hAnsi="Arial" w:cs="Arial"/>
                <w:color w:val="000000"/>
                <w:sz w:val="16"/>
                <w:szCs w:val="16"/>
                <w:lang w:eastAsia="en-GB"/>
              </w:rPr>
              <w:t>Payments (administrative costs)</w:t>
            </w:r>
          </w:p>
        </w:tc>
        <w:tc>
          <w:tcPr>
            <w:tcW w:w="2020" w:type="dxa"/>
            <w:shd w:val="clear" w:color="auto" w:fill="auto"/>
            <w:noWrap/>
            <w:vAlign w:val="center"/>
            <w:hideMark/>
          </w:tcPr>
          <w:p w14:paraId="0DA5BF0C" w14:textId="77777777" w:rsidR="00AB25EE" w:rsidRPr="005463EB" w:rsidRDefault="00AB25EE" w:rsidP="00DF2591">
            <w:pPr>
              <w:spacing w:after="0" w:line="240" w:lineRule="auto"/>
              <w:jc w:val="center"/>
              <w:rPr>
                <w:rFonts w:ascii="Arial" w:eastAsia="Times New Roman" w:hAnsi="Arial" w:cs="Arial"/>
                <w:sz w:val="16"/>
                <w:szCs w:val="16"/>
                <w:lang w:eastAsia="en-GB"/>
              </w:rPr>
            </w:pPr>
            <w:r w:rsidRPr="005463EB">
              <w:rPr>
                <w:rFonts w:ascii="Arial" w:eastAsia="Times New Roman" w:hAnsi="Arial" w:cs="Arial"/>
                <w:sz w:val="16"/>
                <w:szCs w:val="16"/>
                <w:lang w:eastAsia="en-GB"/>
              </w:rPr>
              <w:t xml:space="preserve">                 30,658,610 </w:t>
            </w:r>
          </w:p>
        </w:tc>
        <w:tc>
          <w:tcPr>
            <w:tcW w:w="2280" w:type="dxa"/>
            <w:shd w:val="clear" w:color="auto" w:fill="auto"/>
            <w:noWrap/>
            <w:vAlign w:val="center"/>
            <w:hideMark/>
          </w:tcPr>
          <w:p w14:paraId="2A9EE10A" w14:textId="77777777" w:rsidR="00AB25EE" w:rsidRPr="005463EB" w:rsidRDefault="00AB25EE" w:rsidP="00DF2591">
            <w:pPr>
              <w:spacing w:after="0" w:line="240" w:lineRule="auto"/>
              <w:jc w:val="center"/>
              <w:rPr>
                <w:rFonts w:ascii="Arial" w:eastAsia="Times New Roman" w:hAnsi="Arial" w:cs="Arial"/>
                <w:sz w:val="16"/>
                <w:szCs w:val="16"/>
                <w:lang w:eastAsia="en-GB"/>
              </w:rPr>
            </w:pPr>
          </w:p>
        </w:tc>
        <w:tc>
          <w:tcPr>
            <w:tcW w:w="2120" w:type="dxa"/>
            <w:shd w:val="clear" w:color="auto" w:fill="auto"/>
            <w:noWrap/>
            <w:vAlign w:val="center"/>
            <w:hideMark/>
          </w:tcPr>
          <w:p w14:paraId="2C2C0085" w14:textId="77777777" w:rsidR="00AB25EE" w:rsidRPr="005463EB" w:rsidRDefault="00AB25EE" w:rsidP="00DF2591">
            <w:pPr>
              <w:spacing w:after="0" w:line="240" w:lineRule="auto"/>
              <w:jc w:val="center"/>
              <w:rPr>
                <w:rFonts w:ascii="Arial" w:eastAsia="Times New Roman" w:hAnsi="Arial" w:cs="Arial"/>
                <w:sz w:val="16"/>
                <w:szCs w:val="16"/>
                <w:lang w:eastAsia="en-GB"/>
              </w:rPr>
            </w:pPr>
            <w:r w:rsidRPr="005463EB">
              <w:rPr>
                <w:rFonts w:ascii="Arial" w:eastAsia="Times New Roman" w:hAnsi="Arial" w:cs="Arial"/>
                <w:sz w:val="16"/>
                <w:szCs w:val="16"/>
                <w:lang w:eastAsia="en-GB"/>
              </w:rPr>
              <w:t xml:space="preserve">                   30,658,610 </w:t>
            </w:r>
          </w:p>
        </w:tc>
      </w:tr>
      <w:tr w:rsidR="00AB25EE" w:rsidRPr="005463EB" w14:paraId="76C706B2" w14:textId="77777777" w:rsidTr="00DF2591">
        <w:trPr>
          <w:trHeight w:val="701"/>
        </w:trPr>
        <w:tc>
          <w:tcPr>
            <w:tcW w:w="2620" w:type="dxa"/>
            <w:shd w:val="clear" w:color="000000" w:fill="DCE6F1"/>
            <w:vAlign w:val="center"/>
            <w:hideMark/>
          </w:tcPr>
          <w:p w14:paraId="7BB954E9" w14:textId="77777777" w:rsidR="00AB25EE" w:rsidRPr="005463EB" w:rsidRDefault="00AB25EE" w:rsidP="00DF2591">
            <w:pPr>
              <w:spacing w:after="0" w:line="240" w:lineRule="auto"/>
              <w:jc w:val="center"/>
              <w:rPr>
                <w:rFonts w:ascii="Arial" w:eastAsia="Times New Roman" w:hAnsi="Arial" w:cs="Arial"/>
                <w:b/>
                <w:bCs/>
                <w:color w:val="000000"/>
                <w:sz w:val="20"/>
                <w:szCs w:val="20"/>
                <w:lang w:eastAsia="en-GB"/>
              </w:rPr>
            </w:pPr>
            <w:r w:rsidRPr="005463EB">
              <w:rPr>
                <w:rFonts w:ascii="Arial" w:eastAsia="Times New Roman" w:hAnsi="Arial" w:cs="Arial"/>
                <w:b/>
                <w:bCs/>
                <w:color w:val="000000"/>
                <w:sz w:val="20"/>
                <w:szCs w:val="20"/>
                <w:lang w:eastAsia="en-GB"/>
              </w:rPr>
              <w:t>Cumulative execution (administrative costs)</w:t>
            </w:r>
          </w:p>
        </w:tc>
        <w:tc>
          <w:tcPr>
            <w:tcW w:w="2020" w:type="dxa"/>
            <w:shd w:val="clear" w:color="000000" w:fill="DCE6F1"/>
            <w:vAlign w:val="center"/>
            <w:hideMark/>
          </w:tcPr>
          <w:p w14:paraId="0FFB688E" w14:textId="77777777" w:rsidR="00AB25EE" w:rsidRPr="005463EB" w:rsidRDefault="00AB25EE" w:rsidP="00DF2591">
            <w:pPr>
              <w:spacing w:after="0" w:line="240" w:lineRule="auto"/>
              <w:jc w:val="right"/>
              <w:rPr>
                <w:rFonts w:ascii="Arial" w:eastAsia="Times New Roman" w:hAnsi="Arial" w:cs="Arial"/>
                <w:b/>
                <w:bCs/>
                <w:color w:val="000000"/>
                <w:sz w:val="20"/>
                <w:szCs w:val="20"/>
                <w:lang w:eastAsia="en-GB"/>
              </w:rPr>
            </w:pPr>
            <w:r w:rsidRPr="005463EB">
              <w:rPr>
                <w:rFonts w:ascii="Arial" w:eastAsia="Times New Roman" w:hAnsi="Arial" w:cs="Arial"/>
                <w:b/>
                <w:bCs/>
                <w:color w:val="000000"/>
                <w:sz w:val="20"/>
                <w:szCs w:val="20"/>
                <w:lang w:eastAsia="en-GB"/>
              </w:rPr>
              <w:t>100.0%</w:t>
            </w:r>
          </w:p>
        </w:tc>
        <w:tc>
          <w:tcPr>
            <w:tcW w:w="2280" w:type="dxa"/>
            <w:shd w:val="clear" w:color="000000" w:fill="DCE6F1"/>
            <w:vAlign w:val="center"/>
            <w:hideMark/>
          </w:tcPr>
          <w:p w14:paraId="3AE6D771" w14:textId="77777777" w:rsidR="00AB25EE" w:rsidRPr="005463EB" w:rsidRDefault="00AB25EE" w:rsidP="00DF2591">
            <w:pPr>
              <w:spacing w:after="0" w:line="240" w:lineRule="auto"/>
              <w:jc w:val="right"/>
              <w:rPr>
                <w:rFonts w:ascii="Arial" w:eastAsia="Times New Roman" w:hAnsi="Arial" w:cs="Arial"/>
                <w:b/>
                <w:bCs/>
                <w:color w:val="000000"/>
                <w:sz w:val="20"/>
                <w:szCs w:val="20"/>
                <w:lang w:eastAsia="en-GB"/>
              </w:rPr>
            </w:pPr>
            <w:r w:rsidRPr="005463EB">
              <w:rPr>
                <w:rFonts w:ascii="Arial" w:eastAsia="Times New Roman" w:hAnsi="Arial" w:cs="Arial"/>
                <w:b/>
                <w:bCs/>
                <w:color w:val="000000"/>
                <w:sz w:val="20"/>
                <w:szCs w:val="20"/>
                <w:lang w:eastAsia="en-GB"/>
              </w:rPr>
              <w:t>100.0%</w:t>
            </w:r>
          </w:p>
        </w:tc>
        <w:tc>
          <w:tcPr>
            <w:tcW w:w="2120" w:type="dxa"/>
            <w:shd w:val="clear" w:color="000000" w:fill="DCE6F1"/>
            <w:vAlign w:val="center"/>
            <w:hideMark/>
          </w:tcPr>
          <w:p w14:paraId="44E3EB4F" w14:textId="77777777" w:rsidR="00AB25EE" w:rsidRPr="005463EB" w:rsidRDefault="00AB25EE" w:rsidP="00DF2591">
            <w:pPr>
              <w:spacing w:after="0" w:line="240" w:lineRule="auto"/>
              <w:jc w:val="right"/>
              <w:rPr>
                <w:rFonts w:ascii="Arial" w:eastAsia="Times New Roman" w:hAnsi="Arial" w:cs="Arial"/>
                <w:b/>
                <w:bCs/>
                <w:color w:val="000000"/>
                <w:sz w:val="20"/>
                <w:szCs w:val="20"/>
                <w:lang w:eastAsia="en-GB"/>
              </w:rPr>
            </w:pPr>
            <w:r w:rsidRPr="005463EB">
              <w:rPr>
                <w:rFonts w:ascii="Arial" w:eastAsia="Times New Roman" w:hAnsi="Arial" w:cs="Arial"/>
                <w:b/>
                <w:bCs/>
                <w:color w:val="000000"/>
                <w:sz w:val="20"/>
                <w:szCs w:val="20"/>
                <w:lang w:eastAsia="en-GB"/>
              </w:rPr>
              <w:t>100.0%</w:t>
            </w:r>
          </w:p>
        </w:tc>
      </w:tr>
      <w:tr w:rsidR="00AB25EE" w:rsidRPr="005463EB" w14:paraId="3DB7D8E1" w14:textId="77777777" w:rsidTr="00DF2591">
        <w:trPr>
          <w:trHeight w:val="600"/>
        </w:trPr>
        <w:tc>
          <w:tcPr>
            <w:tcW w:w="2620" w:type="dxa"/>
            <w:shd w:val="clear" w:color="000000" w:fill="DCE6F1"/>
            <w:vAlign w:val="center"/>
            <w:hideMark/>
          </w:tcPr>
          <w:p w14:paraId="4C58C211" w14:textId="77777777" w:rsidR="00AB25EE" w:rsidRPr="005463EB" w:rsidRDefault="00AB25EE" w:rsidP="00DF2591">
            <w:pPr>
              <w:spacing w:after="0" w:line="240" w:lineRule="auto"/>
              <w:jc w:val="center"/>
              <w:rPr>
                <w:rFonts w:ascii="Arial" w:eastAsia="Times New Roman" w:hAnsi="Arial" w:cs="Arial"/>
                <w:b/>
                <w:bCs/>
                <w:color w:val="000000"/>
                <w:sz w:val="20"/>
                <w:szCs w:val="20"/>
                <w:lang w:eastAsia="en-GB"/>
              </w:rPr>
            </w:pPr>
            <w:r w:rsidRPr="005463EB">
              <w:rPr>
                <w:rFonts w:ascii="Arial" w:eastAsia="Times New Roman" w:hAnsi="Arial" w:cs="Arial"/>
                <w:b/>
                <w:bCs/>
                <w:color w:val="000000"/>
                <w:sz w:val="20"/>
                <w:szCs w:val="20"/>
                <w:lang w:eastAsia="en-GB"/>
              </w:rPr>
              <w:t>Overall FP7 execution</w:t>
            </w:r>
          </w:p>
        </w:tc>
        <w:tc>
          <w:tcPr>
            <w:tcW w:w="2020" w:type="dxa"/>
            <w:shd w:val="clear" w:color="000000" w:fill="DCE6F1"/>
            <w:vAlign w:val="center"/>
            <w:hideMark/>
          </w:tcPr>
          <w:p w14:paraId="0419D322" w14:textId="77777777" w:rsidR="00AB25EE" w:rsidRPr="005463EB" w:rsidRDefault="00AB25EE" w:rsidP="00DF2591">
            <w:pPr>
              <w:spacing w:after="0" w:line="240" w:lineRule="auto"/>
              <w:jc w:val="right"/>
              <w:rPr>
                <w:rFonts w:ascii="Arial" w:eastAsia="Times New Roman" w:hAnsi="Arial" w:cs="Arial"/>
                <w:b/>
                <w:bCs/>
                <w:color w:val="000000"/>
                <w:sz w:val="20"/>
                <w:szCs w:val="20"/>
                <w:lang w:eastAsia="en-GB"/>
              </w:rPr>
            </w:pPr>
            <w:r w:rsidRPr="005463EB">
              <w:rPr>
                <w:rFonts w:ascii="Arial" w:eastAsia="Times New Roman" w:hAnsi="Arial" w:cs="Arial"/>
                <w:b/>
                <w:bCs/>
                <w:color w:val="000000"/>
                <w:sz w:val="20"/>
                <w:szCs w:val="20"/>
                <w:lang w:eastAsia="en-GB"/>
              </w:rPr>
              <w:t>9</w:t>
            </w:r>
            <w:r>
              <w:rPr>
                <w:rFonts w:ascii="Arial" w:eastAsia="Times New Roman" w:hAnsi="Arial" w:cs="Arial"/>
                <w:b/>
                <w:bCs/>
                <w:color w:val="000000"/>
                <w:sz w:val="20"/>
                <w:szCs w:val="20"/>
                <w:lang w:eastAsia="en-GB"/>
              </w:rPr>
              <w:t>9</w:t>
            </w:r>
            <w:r w:rsidRPr="005463EB">
              <w:rPr>
                <w:rFonts w:ascii="Arial" w:eastAsia="Times New Roman" w:hAnsi="Arial" w:cs="Arial"/>
                <w:b/>
                <w:bCs/>
                <w:color w:val="000000"/>
                <w:sz w:val="20"/>
                <w:szCs w:val="20"/>
                <w:lang w:eastAsia="en-GB"/>
              </w:rPr>
              <w:t>.</w:t>
            </w:r>
            <w:r>
              <w:rPr>
                <w:rFonts w:ascii="Arial" w:eastAsia="Times New Roman" w:hAnsi="Arial" w:cs="Arial"/>
                <w:b/>
                <w:bCs/>
                <w:color w:val="000000"/>
                <w:sz w:val="20"/>
                <w:szCs w:val="20"/>
                <w:lang w:eastAsia="en-GB"/>
              </w:rPr>
              <w:t>3</w:t>
            </w:r>
            <w:r w:rsidRPr="005463EB">
              <w:rPr>
                <w:rFonts w:ascii="Arial" w:eastAsia="Times New Roman" w:hAnsi="Arial" w:cs="Arial"/>
                <w:b/>
                <w:bCs/>
                <w:color w:val="000000"/>
                <w:sz w:val="20"/>
                <w:szCs w:val="20"/>
                <w:lang w:eastAsia="en-GB"/>
              </w:rPr>
              <w:t>%</w:t>
            </w:r>
          </w:p>
        </w:tc>
        <w:tc>
          <w:tcPr>
            <w:tcW w:w="2280" w:type="dxa"/>
            <w:shd w:val="clear" w:color="000000" w:fill="DCE6F1"/>
            <w:vAlign w:val="center"/>
            <w:hideMark/>
          </w:tcPr>
          <w:p w14:paraId="6DC5615E" w14:textId="77777777" w:rsidR="00AB25EE" w:rsidRPr="005463EB" w:rsidRDefault="00AB25EE" w:rsidP="00DF2591">
            <w:pPr>
              <w:spacing w:after="0" w:line="240" w:lineRule="auto"/>
              <w:jc w:val="right"/>
              <w:rPr>
                <w:rFonts w:ascii="Arial" w:eastAsia="Times New Roman" w:hAnsi="Arial" w:cs="Arial"/>
                <w:b/>
                <w:bCs/>
                <w:color w:val="000000"/>
                <w:sz w:val="20"/>
                <w:szCs w:val="20"/>
                <w:lang w:eastAsia="en-GB"/>
              </w:rPr>
            </w:pPr>
            <w:r w:rsidRPr="005463EB">
              <w:rPr>
                <w:rFonts w:ascii="Arial" w:eastAsia="Times New Roman" w:hAnsi="Arial" w:cs="Arial"/>
                <w:b/>
                <w:bCs/>
                <w:color w:val="000000"/>
                <w:sz w:val="20"/>
                <w:szCs w:val="20"/>
                <w:lang w:eastAsia="en-GB"/>
              </w:rPr>
              <w:t>99.</w:t>
            </w:r>
            <w:r>
              <w:rPr>
                <w:rFonts w:ascii="Arial" w:eastAsia="Times New Roman" w:hAnsi="Arial" w:cs="Arial"/>
                <w:b/>
                <w:bCs/>
                <w:color w:val="000000"/>
                <w:sz w:val="20"/>
                <w:szCs w:val="20"/>
                <w:lang w:eastAsia="en-GB"/>
              </w:rPr>
              <w:t>9</w:t>
            </w:r>
            <w:r w:rsidRPr="005463EB">
              <w:rPr>
                <w:rFonts w:ascii="Arial" w:eastAsia="Times New Roman" w:hAnsi="Arial" w:cs="Arial"/>
                <w:b/>
                <w:bCs/>
                <w:color w:val="000000"/>
                <w:sz w:val="20"/>
                <w:szCs w:val="20"/>
                <w:lang w:eastAsia="en-GB"/>
              </w:rPr>
              <w:t>%</w:t>
            </w:r>
          </w:p>
        </w:tc>
        <w:tc>
          <w:tcPr>
            <w:tcW w:w="2120" w:type="dxa"/>
            <w:shd w:val="clear" w:color="000000" w:fill="DCE6F1"/>
            <w:vAlign w:val="center"/>
            <w:hideMark/>
          </w:tcPr>
          <w:p w14:paraId="48353ED2" w14:textId="77777777" w:rsidR="00AB25EE" w:rsidRPr="005463EB" w:rsidRDefault="00AB25EE" w:rsidP="00DF2591">
            <w:pPr>
              <w:spacing w:after="0" w:line="240" w:lineRule="auto"/>
              <w:jc w:val="right"/>
              <w:rPr>
                <w:rFonts w:ascii="Arial" w:eastAsia="Times New Roman" w:hAnsi="Arial" w:cs="Arial"/>
                <w:b/>
                <w:bCs/>
                <w:color w:val="000000"/>
                <w:sz w:val="20"/>
                <w:szCs w:val="20"/>
                <w:lang w:eastAsia="en-GB"/>
              </w:rPr>
            </w:pPr>
            <w:r w:rsidRPr="005463EB">
              <w:rPr>
                <w:rFonts w:ascii="Arial" w:eastAsia="Times New Roman" w:hAnsi="Arial" w:cs="Arial"/>
                <w:b/>
                <w:bCs/>
                <w:color w:val="000000"/>
                <w:sz w:val="20"/>
                <w:szCs w:val="20"/>
                <w:lang w:eastAsia="en-GB"/>
              </w:rPr>
              <w:t>99.</w:t>
            </w:r>
            <w:r>
              <w:rPr>
                <w:rFonts w:ascii="Arial" w:eastAsia="Times New Roman" w:hAnsi="Arial" w:cs="Arial"/>
                <w:b/>
                <w:bCs/>
                <w:color w:val="000000"/>
                <w:sz w:val="20"/>
                <w:szCs w:val="20"/>
                <w:lang w:eastAsia="en-GB"/>
              </w:rPr>
              <w:t>9</w:t>
            </w:r>
            <w:r w:rsidRPr="005463EB">
              <w:rPr>
                <w:rFonts w:ascii="Arial" w:eastAsia="Times New Roman" w:hAnsi="Arial" w:cs="Arial"/>
                <w:b/>
                <w:bCs/>
                <w:color w:val="000000"/>
                <w:sz w:val="20"/>
                <w:szCs w:val="20"/>
                <w:lang w:eastAsia="en-GB"/>
              </w:rPr>
              <w:t>%</w:t>
            </w:r>
          </w:p>
        </w:tc>
      </w:tr>
    </w:tbl>
    <w:p w14:paraId="766BD36E" w14:textId="77777777" w:rsidR="00AB25EE" w:rsidRDefault="00AB25EE" w:rsidP="00F36073">
      <w:pPr>
        <w:ind w:left="-426"/>
        <w:jc w:val="both"/>
        <w:rPr>
          <w:rFonts w:ascii="Arial" w:hAnsi="Arial" w:cs="Arial"/>
          <w:sz w:val="20"/>
          <w:szCs w:val="20"/>
        </w:rPr>
      </w:pPr>
    </w:p>
    <w:p w14:paraId="1FA8721B" w14:textId="09996BDE" w:rsidR="00AB25EE" w:rsidRPr="00AB25EE" w:rsidRDefault="00AB25EE" w:rsidP="00AB25EE">
      <w:pPr>
        <w:jc w:val="both"/>
      </w:pPr>
      <w:r w:rsidRPr="00B62463">
        <w:rPr>
          <w:rFonts w:ascii="Arial" w:hAnsi="Arial" w:cs="Arial"/>
          <w:sz w:val="20"/>
          <w:szCs w:val="20"/>
        </w:rPr>
        <w:t xml:space="preserve">As regards </w:t>
      </w:r>
      <w:r>
        <w:rPr>
          <w:rFonts w:ascii="Arial" w:hAnsi="Arial" w:cs="Arial"/>
          <w:b/>
          <w:bCs/>
          <w:sz w:val="20"/>
          <w:szCs w:val="20"/>
        </w:rPr>
        <w:t xml:space="preserve">operational costs, </w:t>
      </w:r>
      <w:r w:rsidRPr="00AB25EE">
        <w:rPr>
          <w:rFonts w:ascii="Arial" w:hAnsi="Arial" w:cs="Arial"/>
          <w:sz w:val="20"/>
          <w:szCs w:val="20"/>
        </w:rPr>
        <w:t>the overall execution rate until 31/12/2021 reaches 99.</w:t>
      </w:r>
      <w:r>
        <w:rPr>
          <w:rFonts w:ascii="Arial" w:hAnsi="Arial" w:cs="Arial"/>
          <w:sz w:val="20"/>
          <w:szCs w:val="20"/>
        </w:rPr>
        <w:t>2</w:t>
      </w:r>
      <w:r w:rsidRPr="00AB25EE">
        <w:rPr>
          <w:rFonts w:ascii="Arial" w:hAnsi="Arial" w:cs="Arial"/>
          <w:sz w:val="20"/>
          <w:szCs w:val="20"/>
        </w:rPr>
        <w:t xml:space="preserve">%. In the summary table </w:t>
      </w:r>
      <w:r>
        <w:rPr>
          <w:rFonts w:ascii="Arial" w:hAnsi="Arial" w:cs="Arial"/>
          <w:sz w:val="20"/>
          <w:szCs w:val="20"/>
        </w:rPr>
        <w:t>above</w:t>
      </w:r>
      <w:r w:rsidRPr="00AB25EE">
        <w:rPr>
          <w:rFonts w:ascii="Arial" w:hAnsi="Arial" w:cs="Arial"/>
          <w:sz w:val="20"/>
          <w:szCs w:val="20"/>
        </w:rPr>
        <w:t xml:space="preserve">, it should be noted that operational commitments refer to individual commitments for grants and studies. The amounts showed under ‘Subsequent years’ represent the remaining obligations under the </w:t>
      </w:r>
      <w:r>
        <w:rPr>
          <w:rFonts w:ascii="Arial" w:hAnsi="Arial" w:cs="Arial"/>
          <w:sz w:val="20"/>
          <w:szCs w:val="20"/>
        </w:rPr>
        <w:t>last</w:t>
      </w:r>
      <w:r w:rsidRPr="00AB25EE">
        <w:rPr>
          <w:rFonts w:ascii="Arial" w:hAnsi="Arial" w:cs="Arial"/>
          <w:sz w:val="20"/>
          <w:szCs w:val="20"/>
        </w:rPr>
        <w:t xml:space="preserve"> open Grant Agreement for which the final payment is expected in 2023. </w:t>
      </w:r>
      <w:r w:rsidRPr="009508BA">
        <w:rPr>
          <w:rFonts w:ascii="Arial" w:hAnsi="Arial" w:cs="Arial"/>
          <w:sz w:val="20"/>
          <w:szCs w:val="20"/>
        </w:rPr>
        <w:t>An amount of EUR 267 395 will be decommitted in 2022. From the total 155 grant agreements signed</w:t>
      </w:r>
      <w:r w:rsidRPr="00AB25EE">
        <w:rPr>
          <w:rFonts w:ascii="Arial" w:hAnsi="Arial" w:cs="Arial"/>
          <w:sz w:val="20"/>
          <w:szCs w:val="20"/>
        </w:rPr>
        <w:t>, 1 project was cancelled, final payments were made for 153 projects and 1 project remains open. In addition, 12 operational studies were conducted.</w:t>
      </w:r>
    </w:p>
    <w:p w14:paraId="5155F18E" w14:textId="77777777" w:rsidR="00AB25EE" w:rsidRDefault="00AB25EE" w:rsidP="00AB25EE">
      <w:pPr>
        <w:jc w:val="both"/>
        <w:rPr>
          <w:b/>
          <w:bCs/>
        </w:rPr>
      </w:pPr>
    </w:p>
    <w:p w14:paraId="0B8BA35C" w14:textId="7C0363D3" w:rsidR="00AB25EE" w:rsidRPr="008A4999" w:rsidRDefault="00AB25EE" w:rsidP="00AB25EE">
      <w:pPr>
        <w:jc w:val="both"/>
        <w:rPr>
          <w:rFonts w:ascii="Arial" w:hAnsi="Arial" w:cs="Arial"/>
          <w:b/>
          <w:bCs/>
          <w:sz w:val="20"/>
          <w:szCs w:val="20"/>
        </w:rPr>
      </w:pPr>
      <w:r w:rsidRPr="008A4999">
        <w:rPr>
          <w:rFonts w:ascii="Arial" w:hAnsi="Arial" w:cs="Arial"/>
          <w:b/>
          <w:bCs/>
          <w:sz w:val="20"/>
          <w:szCs w:val="20"/>
        </w:rPr>
        <w:t xml:space="preserve">TABLE </w:t>
      </w:r>
      <w:r w:rsidR="000C5BE7">
        <w:rPr>
          <w:rFonts w:ascii="Arial" w:hAnsi="Arial" w:cs="Arial"/>
          <w:b/>
          <w:bCs/>
          <w:sz w:val="20"/>
          <w:szCs w:val="20"/>
        </w:rPr>
        <w:t>2.3.6</w:t>
      </w:r>
      <w:r w:rsidRPr="008A4999">
        <w:rPr>
          <w:rFonts w:ascii="Arial" w:hAnsi="Arial" w:cs="Arial"/>
          <w:b/>
          <w:bCs/>
          <w:sz w:val="20"/>
          <w:szCs w:val="20"/>
        </w:rPr>
        <w:t>: IMPLEMENTATION OF H2020 PROGRAMME (amounts in EUR)</w:t>
      </w:r>
    </w:p>
    <w:tbl>
      <w:tblPr>
        <w:tblW w:w="83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3"/>
        <w:gridCol w:w="2393"/>
        <w:gridCol w:w="2165"/>
        <w:gridCol w:w="2088"/>
      </w:tblGrid>
      <w:tr w:rsidR="009508BA" w:rsidRPr="00792247" w14:paraId="2992EFE1" w14:textId="77777777" w:rsidTr="00DF2591">
        <w:trPr>
          <w:trHeight w:val="540"/>
          <w:jc w:val="center"/>
        </w:trPr>
        <w:tc>
          <w:tcPr>
            <w:tcW w:w="1713" w:type="dxa"/>
            <w:shd w:val="clear" w:color="000000" w:fill="92D050"/>
            <w:vAlign w:val="center"/>
            <w:hideMark/>
          </w:tcPr>
          <w:p w14:paraId="3D0AD31D" w14:textId="77777777" w:rsidR="009508BA" w:rsidRPr="00792247" w:rsidRDefault="009508BA" w:rsidP="00DF2591">
            <w:pPr>
              <w:spacing w:after="0" w:line="240" w:lineRule="auto"/>
              <w:jc w:val="center"/>
              <w:rPr>
                <w:rFonts w:ascii="Trebuchet MS" w:eastAsia="Times New Roman" w:hAnsi="Trebuchet MS"/>
                <w:b/>
                <w:bCs/>
                <w:sz w:val="20"/>
                <w:szCs w:val="20"/>
                <w:lang w:eastAsia="en-GB"/>
              </w:rPr>
            </w:pPr>
            <w:r w:rsidRPr="00792247">
              <w:rPr>
                <w:rFonts w:ascii="Trebuchet MS" w:eastAsia="Times New Roman" w:hAnsi="Trebuchet MS"/>
                <w:b/>
                <w:bCs/>
                <w:sz w:val="20"/>
                <w:szCs w:val="20"/>
                <w:lang w:eastAsia="en-GB"/>
              </w:rPr>
              <w:t>Type</w:t>
            </w:r>
          </w:p>
        </w:tc>
        <w:tc>
          <w:tcPr>
            <w:tcW w:w="2393" w:type="dxa"/>
            <w:shd w:val="clear" w:color="000000" w:fill="92D050"/>
            <w:vAlign w:val="center"/>
            <w:hideMark/>
          </w:tcPr>
          <w:p w14:paraId="6351C3B8" w14:textId="77777777" w:rsidR="009508BA" w:rsidRPr="00792247" w:rsidRDefault="009508BA" w:rsidP="00DF2591">
            <w:pPr>
              <w:spacing w:after="0" w:line="240" w:lineRule="auto"/>
              <w:jc w:val="center"/>
              <w:rPr>
                <w:rFonts w:ascii="Trebuchet MS" w:eastAsia="Times New Roman" w:hAnsi="Trebuchet MS"/>
                <w:b/>
                <w:bCs/>
                <w:sz w:val="20"/>
                <w:szCs w:val="20"/>
                <w:lang w:eastAsia="en-GB"/>
              </w:rPr>
            </w:pPr>
            <w:r w:rsidRPr="00792247">
              <w:rPr>
                <w:rFonts w:ascii="Trebuchet MS" w:eastAsia="Times New Roman" w:hAnsi="Trebuchet MS"/>
                <w:b/>
                <w:bCs/>
                <w:sz w:val="20"/>
                <w:szCs w:val="20"/>
                <w:lang w:eastAsia="en-GB"/>
              </w:rPr>
              <w:t>Execution until 31.12.2021</w:t>
            </w:r>
          </w:p>
        </w:tc>
        <w:tc>
          <w:tcPr>
            <w:tcW w:w="2165" w:type="dxa"/>
            <w:shd w:val="clear" w:color="000000" w:fill="92D050"/>
            <w:vAlign w:val="center"/>
            <w:hideMark/>
          </w:tcPr>
          <w:p w14:paraId="52CE4EEC" w14:textId="77777777" w:rsidR="009508BA" w:rsidRPr="00792247" w:rsidRDefault="009508BA" w:rsidP="00DF2591">
            <w:pPr>
              <w:spacing w:after="0" w:line="240" w:lineRule="auto"/>
              <w:jc w:val="center"/>
              <w:rPr>
                <w:rFonts w:ascii="Trebuchet MS" w:eastAsia="Times New Roman" w:hAnsi="Trebuchet MS"/>
                <w:b/>
                <w:bCs/>
                <w:sz w:val="20"/>
                <w:szCs w:val="20"/>
                <w:lang w:eastAsia="en-GB"/>
              </w:rPr>
            </w:pPr>
            <w:r w:rsidRPr="00792247">
              <w:rPr>
                <w:rFonts w:ascii="Trebuchet MS" w:eastAsia="Times New Roman" w:hAnsi="Trebuchet MS"/>
                <w:b/>
                <w:bCs/>
                <w:sz w:val="20"/>
                <w:szCs w:val="20"/>
                <w:lang w:eastAsia="en-GB"/>
              </w:rPr>
              <w:t>Subsequent years</w:t>
            </w:r>
          </w:p>
        </w:tc>
        <w:tc>
          <w:tcPr>
            <w:tcW w:w="2088" w:type="dxa"/>
            <w:shd w:val="clear" w:color="000000" w:fill="92D050"/>
            <w:vAlign w:val="center"/>
            <w:hideMark/>
          </w:tcPr>
          <w:p w14:paraId="4FB68ED9" w14:textId="77777777" w:rsidR="009508BA" w:rsidRPr="00792247" w:rsidRDefault="009508BA" w:rsidP="00DF2591">
            <w:pPr>
              <w:spacing w:after="0" w:line="240" w:lineRule="auto"/>
              <w:jc w:val="center"/>
              <w:rPr>
                <w:rFonts w:ascii="Trebuchet MS" w:eastAsia="Times New Roman" w:hAnsi="Trebuchet MS"/>
                <w:b/>
                <w:bCs/>
                <w:sz w:val="20"/>
                <w:szCs w:val="20"/>
                <w:lang w:eastAsia="en-GB"/>
              </w:rPr>
            </w:pPr>
            <w:r w:rsidRPr="00792247">
              <w:rPr>
                <w:rFonts w:ascii="Trebuchet MS" w:eastAsia="Times New Roman" w:hAnsi="Trebuchet MS"/>
                <w:b/>
                <w:bCs/>
                <w:sz w:val="20"/>
                <w:szCs w:val="20"/>
                <w:lang w:eastAsia="en-GB"/>
              </w:rPr>
              <w:t>Total</w:t>
            </w:r>
          </w:p>
        </w:tc>
      </w:tr>
      <w:tr w:rsidR="009508BA" w:rsidRPr="00792247" w14:paraId="256E0E3B" w14:textId="77777777" w:rsidTr="00DF2591">
        <w:trPr>
          <w:trHeight w:val="480"/>
          <w:jc w:val="center"/>
        </w:trPr>
        <w:tc>
          <w:tcPr>
            <w:tcW w:w="1713" w:type="dxa"/>
            <w:shd w:val="clear" w:color="auto" w:fill="auto"/>
            <w:vAlign w:val="center"/>
            <w:hideMark/>
          </w:tcPr>
          <w:p w14:paraId="05094470" w14:textId="77777777" w:rsidR="009508BA" w:rsidRPr="00792247" w:rsidRDefault="009508BA" w:rsidP="00DF2591">
            <w:pPr>
              <w:spacing w:after="0" w:line="240" w:lineRule="auto"/>
              <w:rPr>
                <w:rFonts w:ascii="Trebuchet MS" w:eastAsia="Times New Roman" w:hAnsi="Trebuchet MS"/>
                <w:sz w:val="16"/>
                <w:szCs w:val="16"/>
                <w:lang w:eastAsia="en-GB"/>
              </w:rPr>
            </w:pPr>
            <w:r w:rsidRPr="00792247">
              <w:rPr>
                <w:rFonts w:ascii="Trebuchet MS" w:eastAsia="Times New Roman" w:hAnsi="Trebuchet MS"/>
                <w:sz w:val="16"/>
                <w:szCs w:val="16"/>
                <w:lang w:eastAsia="en-GB"/>
              </w:rPr>
              <w:t>Commitments (operational costs)</w:t>
            </w:r>
          </w:p>
        </w:tc>
        <w:tc>
          <w:tcPr>
            <w:tcW w:w="2393" w:type="dxa"/>
            <w:shd w:val="clear" w:color="auto" w:fill="auto"/>
            <w:noWrap/>
            <w:vAlign w:val="center"/>
            <w:hideMark/>
          </w:tcPr>
          <w:p w14:paraId="4F932AEB" w14:textId="77777777" w:rsidR="009508BA" w:rsidRPr="00792247" w:rsidRDefault="009508BA" w:rsidP="00DF2591">
            <w:pPr>
              <w:spacing w:after="0" w:line="240" w:lineRule="auto"/>
              <w:jc w:val="right"/>
              <w:rPr>
                <w:rFonts w:ascii="Trebuchet MS" w:eastAsia="Times New Roman" w:hAnsi="Trebuchet MS"/>
                <w:sz w:val="18"/>
                <w:szCs w:val="18"/>
                <w:lang w:eastAsia="en-GB"/>
              </w:rPr>
            </w:pPr>
            <w:r w:rsidRPr="00792247">
              <w:rPr>
                <w:rFonts w:ascii="Trebuchet MS" w:eastAsia="Times New Roman" w:hAnsi="Trebuchet MS"/>
                <w:sz w:val="18"/>
                <w:szCs w:val="18"/>
                <w:lang w:eastAsia="en-GB"/>
              </w:rPr>
              <w:t xml:space="preserve">                  649,</w:t>
            </w:r>
            <w:r>
              <w:rPr>
                <w:rFonts w:ascii="Trebuchet MS" w:eastAsia="Times New Roman" w:hAnsi="Trebuchet MS"/>
                <w:sz w:val="18"/>
                <w:szCs w:val="18"/>
                <w:lang w:eastAsia="en-GB"/>
              </w:rPr>
              <w:t>2</w:t>
            </w:r>
            <w:r w:rsidRPr="00792247">
              <w:rPr>
                <w:rFonts w:ascii="Trebuchet MS" w:eastAsia="Times New Roman" w:hAnsi="Trebuchet MS"/>
                <w:sz w:val="18"/>
                <w:szCs w:val="18"/>
                <w:lang w:eastAsia="en-GB"/>
              </w:rPr>
              <w:t>48,</w:t>
            </w:r>
            <w:r>
              <w:rPr>
                <w:rFonts w:ascii="Trebuchet MS" w:eastAsia="Times New Roman" w:hAnsi="Trebuchet MS"/>
                <w:sz w:val="18"/>
                <w:szCs w:val="18"/>
                <w:lang w:eastAsia="en-GB"/>
              </w:rPr>
              <w:t>096</w:t>
            </w:r>
            <w:r w:rsidRPr="00792247">
              <w:rPr>
                <w:rFonts w:ascii="Trebuchet MS" w:eastAsia="Times New Roman" w:hAnsi="Trebuchet MS"/>
                <w:sz w:val="18"/>
                <w:szCs w:val="18"/>
                <w:lang w:eastAsia="en-GB"/>
              </w:rPr>
              <w:t xml:space="preserve"> </w:t>
            </w:r>
          </w:p>
        </w:tc>
        <w:tc>
          <w:tcPr>
            <w:tcW w:w="2165" w:type="dxa"/>
            <w:shd w:val="clear" w:color="auto" w:fill="auto"/>
            <w:noWrap/>
            <w:vAlign w:val="center"/>
            <w:hideMark/>
          </w:tcPr>
          <w:p w14:paraId="5BE255FB" w14:textId="77777777" w:rsidR="009508BA" w:rsidRPr="00792247" w:rsidRDefault="009508BA" w:rsidP="00DF2591">
            <w:pPr>
              <w:spacing w:after="0" w:line="240" w:lineRule="auto"/>
              <w:jc w:val="right"/>
              <w:rPr>
                <w:rFonts w:ascii="Trebuchet MS" w:eastAsia="Times New Roman" w:hAnsi="Trebuchet MS"/>
                <w:sz w:val="18"/>
                <w:szCs w:val="18"/>
                <w:lang w:eastAsia="en-GB"/>
              </w:rPr>
            </w:pPr>
            <w:r w:rsidRPr="00792247">
              <w:rPr>
                <w:rFonts w:ascii="Trebuchet MS" w:eastAsia="Times New Roman" w:hAnsi="Trebuchet MS"/>
                <w:sz w:val="18"/>
                <w:szCs w:val="18"/>
                <w:lang w:eastAsia="en-GB"/>
              </w:rPr>
              <w:t xml:space="preserve">                     1,474,819 </w:t>
            </w:r>
          </w:p>
        </w:tc>
        <w:tc>
          <w:tcPr>
            <w:tcW w:w="2088" w:type="dxa"/>
            <w:shd w:val="clear" w:color="auto" w:fill="auto"/>
            <w:noWrap/>
            <w:vAlign w:val="center"/>
            <w:hideMark/>
          </w:tcPr>
          <w:p w14:paraId="15096B82" w14:textId="77777777" w:rsidR="009508BA" w:rsidRPr="00792247" w:rsidRDefault="009508BA" w:rsidP="00DF2591">
            <w:pPr>
              <w:spacing w:after="0" w:line="240" w:lineRule="auto"/>
              <w:jc w:val="right"/>
              <w:rPr>
                <w:rFonts w:ascii="Trebuchet MS" w:eastAsia="Times New Roman" w:hAnsi="Trebuchet MS"/>
                <w:sz w:val="18"/>
                <w:szCs w:val="18"/>
                <w:lang w:eastAsia="en-GB"/>
              </w:rPr>
            </w:pPr>
            <w:r w:rsidRPr="00792247">
              <w:rPr>
                <w:rFonts w:ascii="Trebuchet MS" w:eastAsia="Times New Roman" w:hAnsi="Trebuchet MS"/>
                <w:sz w:val="18"/>
                <w:szCs w:val="18"/>
                <w:lang w:eastAsia="en-GB"/>
              </w:rPr>
              <w:t xml:space="preserve">               650,</w:t>
            </w:r>
            <w:r>
              <w:rPr>
                <w:rFonts w:ascii="Trebuchet MS" w:eastAsia="Times New Roman" w:hAnsi="Trebuchet MS"/>
                <w:sz w:val="18"/>
                <w:szCs w:val="18"/>
                <w:lang w:eastAsia="en-GB"/>
              </w:rPr>
              <w:t>722</w:t>
            </w:r>
            <w:r w:rsidRPr="00792247">
              <w:rPr>
                <w:rFonts w:ascii="Trebuchet MS" w:eastAsia="Times New Roman" w:hAnsi="Trebuchet MS"/>
                <w:sz w:val="18"/>
                <w:szCs w:val="18"/>
                <w:lang w:eastAsia="en-GB"/>
              </w:rPr>
              <w:t>,</w:t>
            </w:r>
            <w:r>
              <w:rPr>
                <w:rFonts w:ascii="Trebuchet MS" w:eastAsia="Times New Roman" w:hAnsi="Trebuchet MS"/>
                <w:sz w:val="18"/>
                <w:szCs w:val="18"/>
                <w:lang w:eastAsia="en-GB"/>
              </w:rPr>
              <w:t>914</w:t>
            </w:r>
            <w:r w:rsidRPr="00792247">
              <w:rPr>
                <w:rFonts w:ascii="Trebuchet MS" w:eastAsia="Times New Roman" w:hAnsi="Trebuchet MS"/>
                <w:sz w:val="18"/>
                <w:szCs w:val="18"/>
                <w:lang w:eastAsia="en-GB"/>
              </w:rPr>
              <w:t xml:space="preserve"> </w:t>
            </w:r>
          </w:p>
        </w:tc>
      </w:tr>
      <w:tr w:rsidR="009508BA" w:rsidRPr="00792247" w14:paraId="5572A8FD" w14:textId="77777777" w:rsidTr="00DF2591">
        <w:trPr>
          <w:trHeight w:val="300"/>
          <w:jc w:val="center"/>
        </w:trPr>
        <w:tc>
          <w:tcPr>
            <w:tcW w:w="1713" w:type="dxa"/>
            <w:shd w:val="clear" w:color="auto" w:fill="auto"/>
            <w:vAlign w:val="center"/>
            <w:hideMark/>
          </w:tcPr>
          <w:p w14:paraId="0A24A329" w14:textId="77777777" w:rsidR="009508BA" w:rsidRPr="00792247" w:rsidRDefault="009508BA" w:rsidP="00DF2591">
            <w:pPr>
              <w:spacing w:after="0" w:line="240" w:lineRule="auto"/>
              <w:rPr>
                <w:rFonts w:ascii="Trebuchet MS" w:eastAsia="Times New Roman" w:hAnsi="Trebuchet MS"/>
                <w:sz w:val="16"/>
                <w:szCs w:val="16"/>
                <w:lang w:eastAsia="en-GB"/>
              </w:rPr>
            </w:pPr>
            <w:r w:rsidRPr="00792247">
              <w:rPr>
                <w:rFonts w:ascii="Trebuchet MS" w:eastAsia="Times New Roman" w:hAnsi="Trebuchet MS"/>
                <w:sz w:val="16"/>
                <w:szCs w:val="16"/>
                <w:lang w:eastAsia="en-GB"/>
              </w:rPr>
              <w:t>Recoveries</w:t>
            </w:r>
          </w:p>
        </w:tc>
        <w:tc>
          <w:tcPr>
            <w:tcW w:w="2393" w:type="dxa"/>
            <w:shd w:val="clear" w:color="auto" w:fill="auto"/>
            <w:noWrap/>
            <w:vAlign w:val="center"/>
            <w:hideMark/>
          </w:tcPr>
          <w:p w14:paraId="3A941870" w14:textId="77777777" w:rsidR="009508BA" w:rsidRPr="00792247" w:rsidRDefault="009508BA" w:rsidP="00DF2591">
            <w:pPr>
              <w:spacing w:after="0" w:line="240" w:lineRule="auto"/>
              <w:jc w:val="right"/>
              <w:rPr>
                <w:rFonts w:ascii="Trebuchet MS" w:eastAsia="Times New Roman" w:hAnsi="Trebuchet MS"/>
                <w:sz w:val="18"/>
                <w:szCs w:val="18"/>
                <w:lang w:eastAsia="en-GB"/>
              </w:rPr>
            </w:pPr>
            <w:r w:rsidRPr="00792247">
              <w:rPr>
                <w:rFonts w:ascii="Trebuchet MS" w:eastAsia="Times New Roman" w:hAnsi="Trebuchet MS"/>
                <w:sz w:val="18"/>
                <w:szCs w:val="18"/>
                <w:lang w:eastAsia="en-GB"/>
              </w:rPr>
              <w:t xml:space="preserve">-                    4,722,914 </w:t>
            </w:r>
          </w:p>
        </w:tc>
        <w:tc>
          <w:tcPr>
            <w:tcW w:w="2165" w:type="dxa"/>
            <w:shd w:val="clear" w:color="auto" w:fill="auto"/>
            <w:noWrap/>
            <w:vAlign w:val="center"/>
            <w:hideMark/>
          </w:tcPr>
          <w:p w14:paraId="5E7A5189" w14:textId="77777777" w:rsidR="009508BA" w:rsidRPr="00792247" w:rsidRDefault="009508BA" w:rsidP="00DF2591">
            <w:pPr>
              <w:spacing w:after="0" w:line="240" w:lineRule="auto"/>
              <w:jc w:val="right"/>
              <w:rPr>
                <w:rFonts w:ascii="Trebuchet MS" w:eastAsia="Times New Roman" w:hAnsi="Trebuchet MS"/>
                <w:sz w:val="18"/>
                <w:szCs w:val="18"/>
                <w:lang w:eastAsia="en-GB"/>
              </w:rPr>
            </w:pPr>
          </w:p>
        </w:tc>
        <w:tc>
          <w:tcPr>
            <w:tcW w:w="2088" w:type="dxa"/>
            <w:shd w:val="clear" w:color="auto" w:fill="auto"/>
            <w:noWrap/>
            <w:vAlign w:val="center"/>
            <w:hideMark/>
          </w:tcPr>
          <w:p w14:paraId="1596CE3D" w14:textId="77777777" w:rsidR="009508BA" w:rsidRPr="00792247" w:rsidRDefault="009508BA" w:rsidP="00DF2591">
            <w:pPr>
              <w:spacing w:after="0" w:line="240" w:lineRule="auto"/>
              <w:jc w:val="right"/>
              <w:rPr>
                <w:rFonts w:ascii="Trebuchet MS" w:eastAsia="Times New Roman" w:hAnsi="Trebuchet MS"/>
                <w:sz w:val="18"/>
                <w:szCs w:val="18"/>
                <w:lang w:eastAsia="en-GB"/>
              </w:rPr>
            </w:pPr>
            <w:r w:rsidRPr="00792247">
              <w:rPr>
                <w:rFonts w:ascii="Trebuchet MS" w:eastAsia="Times New Roman" w:hAnsi="Trebuchet MS"/>
                <w:sz w:val="18"/>
                <w:szCs w:val="18"/>
                <w:lang w:eastAsia="en-GB"/>
              </w:rPr>
              <w:t xml:space="preserve">-                 4,722,914 </w:t>
            </w:r>
          </w:p>
        </w:tc>
      </w:tr>
      <w:tr w:rsidR="009508BA" w:rsidRPr="00792247" w14:paraId="0F1034B6" w14:textId="77777777" w:rsidTr="00DF2591">
        <w:trPr>
          <w:trHeight w:val="540"/>
          <w:jc w:val="center"/>
        </w:trPr>
        <w:tc>
          <w:tcPr>
            <w:tcW w:w="1713" w:type="dxa"/>
            <w:tcBorders>
              <w:bottom w:val="single" w:sz="4" w:space="0" w:color="auto"/>
            </w:tcBorders>
            <w:shd w:val="clear" w:color="auto" w:fill="auto"/>
            <w:vAlign w:val="center"/>
            <w:hideMark/>
          </w:tcPr>
          <w:p w14:paraId="2AC9DFE8" w14:textId="77777777" w:rsidR="009508BA" w:rsidRPr="00792247" w:rsidRDefault="009508BA" w:rsidP="00DF2591">
            <w:pPr>
              <w:spacing w:after="0" w:line="240" w:lineRule="auto"/>
              <w:rPr>
                <w:rFonts w:ascii="Trebuchet MS" w:eastAsia="Times New Roman" w:hAnsi="Trebuchet MS"/>
                <w:sz w:val="16"/>
                <w:szCs w:val="16"/>
                <w:lang w:eastAsia="en-GB"/>
              </w:rPr>
            </w:pPr>
            <w:r w:rsidRPr="00792247">
              <w:rPr>
                <w:rFonts w:ascii="Trebuchet MS" w:eastAsia="Times New Roman" w:hAnsi="Trebuchet MS"/>
                <w:sz w:val="16"/>
                <w:szCs w:val="16"/>
                <w:lang w:eastAsia="en-GB"/>
              </w:rPr>
              <w:t>Payments (operational costs)</w:t>
            </w:r>
          </w:p>
        </w:tc>
        <w:tc>
          <w:tcPr>
            <w:tcW w:w="2393" w:type="dxa"/>
            <w:tcBorders>
              <w:bottom w:val="single" w:sz="4" w:space="0" w:color="auto"/>
            </w:tcBorders>
            <w:shd w:val="clear" w:color="auto" w:fill="auto"/>
            <w:noWrap/>
            <w:vAlign w:val="center"/>
            <w:hideMark/>
          </w:tcPr>
          <w:p w14:paraId="1D9F93A3" w14:textId="665245DE" w:rsidR="009508BA" w:rsidRPr="00792247" w:rsidRDefault="009508BA" w:rsidP="00DF2591">
            <w:pPr>
              <w:spacing w:after="0" w:line="240" w:lineRule="auto"/>
              <w:jc w:val="right"/>
              <w:rPr>
                <w:rFonts w:ascii="Trebuchet MS" w:eastAsia="Times New Roman" w:hAnsi="Trebuchet MS"/>
                <w:sz w:val="18"/>
                <w:szCs w:val="18"/>
                <w:lang w:eastAsia="en-GB"/>
              </w:rPr>
            </w:pPr>
            <w:r w:rsidRPr="00792247">
              <w:rPr>
                <w:rFonts w:ascii="Trebuchet MS" w:eastAsia="Times New Roman" w:hAnsi="Trebuchet MS"/>
                <w:sz w:val="18"/>
                <w:szCs w:val="18"/>
                <w:lang w:eastAsia="en-GB"/>
              </w:rPr>
              <w:t xml:space="preserve">                  532,</w:t>
            </w:r>
            <w:r w:rsidR="007A6827">
              <w:rPr>
                <w:rFonts w:ascii="Trebuchet MS" w:eastAsia="Times New Roman" w:hAnsi="Trebuchet MS"/>
                <w:sz w:val="18"/>
                <w:szCs w:val="18"/>
                <w:lang w:eastAsia="en-GB"/>
              </w:rPr>
              <w:t>962,122</w:t>
            </w:r>
            <w:r w:rsidRPr="00792247">
              <w:rPr>
                <w:rFonts w:ascii="Trebuchet MS" w:eastAsia="Times New Roman" w:hAnsi="Trebuchet MS"/>
                <w:sz w:val="18"/>
                <w:szCs w:val="18"/>
                <w:lang w:eastAsia="en-GB"/>
              </w:rPr>
              <w:t xml:space="preserve"> </w:t>
            </w:r>
          </w:p>
        </w:tc>
        <w:tc>
          <w:tcPr>
            <w:tcW w:w="2165" w:type="dxa"/>
            <w:tcBorders>
              <w:bottom w:val="single" w:sz="4" w:space="0" w:color="auto"/>
            </w:tcBorders>
            <w:shd w:val="clear" w:color="auto" w:fill="auto"/>
            <w:noWrap/>
            <w:vAlign w:val="center"/>
            <w:hideMark/>
          </w:tcPr>
          <w:p w14:paraId="0DEF8B37" w14:textId="02E8216B" w:rsidR="009508BA" w:rsidRPr="00792247" w:rsidRDefault="009508BA" w:rsidP="00DF2591">
            <w:pPr>
              <w:spacing w:after="0" w:line="240" w:lineRule="auto"/>
              <w:jc w:val="right"/>
              <w:rPr>
                <w:rFonts w:ascii="Trebuchet MS" w:eastAsia="Times New Roman" w:hAnsi="Trebuchet MS"/>
                <w:sz w:val="18"/>
                <w:szCs w:val="18"/>
                <w:lang w:eastAsia="en-GB"/>
              </w:rPr>
            </w:pPr>
            <w:r w:rsidRPr="00792247">
              <w:rPr>
                <w:rFonts w:ascii="Trebuchet MS" w:eastAsia="Times New Roman" w:hAnsi="Trebuchet MS"/>
                <w:sz w:val="18"/>
                <w:szCs w:val="18"/>
                <w:lang w:eastAsia="en-GB"/>
              </w:rPr>
              <w:t xml:space="preserve">                     113,</w:t>
            </w:r>
            <w:r w:rsidR="007A6827">
              <w:rPr>
                <w:rFonts w:ascii="Trebuchet MS" w:eastAsia="Times New Roman" w:hAnsi="Trebuchet MS"/>
                <w:sz w:val="18"/>
                <w:szCs w:val="18"/>
                <w:lang w:eastAsia="en-GB"/>
              </w:rPr>
              <w:t>037,878</w:t>
            </w:r>
            <w:r w:rsidRPr="00792247">
              <w:rPr>
                <w:rFonts w:ascii="Trebuchet MS" w:eastAsia="Times New Roman" w:hAnsi="Trebuchet MS"/>
                <w:sz w:val="18"/>
                <w:szCs w:val="18"/>
                <w:lang w:eastAsia="en-GB"/>
              </w:rPr>
              <w:t xml:space="preserve"> </w:t>
            </w:r>
          </w:p>
        </w:tc>
        <w:tc>
          <w:tcPr>
            <w:tcW w:w="2088" w:type="dxa"/>
            <w:tcBorders>
              <w:bottom w:val="single" w:sz="4" w:space="0" w:color="auto"/>
            </w:tcBorders>
            <w:shd w:val="clear" w:color="auto" w:fill="auto"/>
            <w:noWrap/>
            <w:vAlign w:val="center"/>
            <w:hideMark/>
          </w:tcPr>
          <w:p w14:paraId="39BC7CE5" w14:textId="77777777" w:rsidR="009508BA" w:rsidRPr="00792247" w:rsidRDefault="009508BA" w:rsidP="00DF2591">
            <w:pPr>
              <w:spacing w:after="0" w:line="240" w:lineRule="auto"/>
              <w:jc w:val="right"/>
              <w:rPr>
                <w:rFonts w:ascii="Trebuchet MS" w:eastAsia="Times New Roman" w:hAnsi="Trebuchet MS"/>
                <w:sz w:val="18"/>
                <w:szCs w:val="18"/>
                <w:lang w:eastAsia="en-GB"/>
              </w:rPr>
            </w:pPr>
            <w:r w:rsidRPr="00792247">
              <w:rPr>
                <w:rFonts w:ascii="Trebuchet MS" w:eastAsia="Times New Roman" w:hAnsi="Trebuchet MS"/>
                <w:sz w:val="18"/>
                <w:szCs w:val="18"/>
                <w:lang w:eastAsia="en-GB"/>
              </w:rPr>
              <w:t xml:space="preserve">               646,000,000 </w:t>
            </w:r>
          </w:p>
        </w:tc>
      </w:tr>
      <w:tr w:rsidR="009508BA" w:rsidRPr="00792247" w14:paraId="3F6660F7" w14:textId="77777777" w:rsidTr="00DF2591">
        <w:trPr>
          <w:trHeight w:val="1080"/>
          <w:jc w:val="center"/>
        </w:trPr>
        <w:tc>
          <w:tcPr>
            <w:tcW w:w="1713" w:type="dxa"/>
            <w:shd w:val="clear" w:color="000000" w:fill="DBE5F1" w:themeFill="accent1" w:themeFillTint="33"/>
            <w:vAlign w:val="center"/>
            <w:hideMark/>
          </w:tcPr>
          <w:p w14:paraId="7BC2E395" w14:textId="77777777" w:rsidR="009508BA" w:rsidRPr="00792247" w:rsidRDefault="009508BA" w:rsidP="00DF2591">
            <w:pPr>
              <w:spacing w:after="0" w:line="240" w:lineRule="auto"/>
              <w:jc w:val="center"/>
              <w:rPr>
                <w:rFonts w:ascii="Trebuchet MS" w:eastAsia="Times New Roman" w:hAnsi="Trebuchet MS"/>
                <w:b/>
                <w:bCs/>
                <w:sz w:val="20"/>
                <w:szCs w:val="20"/>
                <w:lang w:eastAsia="en-GB"/>
              </w:rPr>
            </w:pPr>
            <w:r w:rsidRPr="00792247">
              <w:rPr>
                <w:rFonts w:ascii="Trebuchet MS" w:eastAsia="Times New Roman" w:hAnsi="Trebuchet MS"/>
                <w:b/>
                <w:bCs/>
                <w:sz w:val="20"/>
                <w:szCs w:val="20"/>
                <w:lang w:eastAsia="en-GB"/>
              </w:rPr>
              <w:t>Cumulative execution (operational costs)</w:t>
            </w:r>
          </w:p>
        </w:tc>
        <w:tc>
          <w:tcPr>
            <w:tcW w:w="2393" w:type="dxa"/>
            <w:shd w:val="clear" w:color="000000" w:fill="DBE5F1" w:themeFill="accent1" w:themeFillTint="33"/>
            <w:vAlign w:val="center"/>
            <w:hideMark/>
          </w:tcPr>
          <w:p w14:paraId="7EA1D78B" w14:textId="77777777" w:rsidR="009508BA" w:rsidRPr="00792247" w:rsidRDefault="009508BA" w:rsidP="00DF2591">
            <w:pPr>
              <w:spacing w:after="0" w:line="240" w:lineRule="auto"/>
              <w:jc w:val="right"/>
              <w:rPr>
                <w:rFonts w:ascii="Trebuchet MS" w:eastAsia="Times New Roman" w:hAnsi="Trebuchet MS"/>
                <w:b/>
                <w:bCs/>
                <w:sz w:val="20"/>
                <w:szCs w:val="20"/>
                <w:lang w:eastAsia="en-GB"/>
              </w:rPr>
            </w:pPr>
            <w:r w:rsidRPr="00792247">
              <w:rPr>
                <w:rFonts w:ascii="Trebuchet MS" w:eastAsia="Times New Roman" w:hAnsi="Trebuchet MS"/>
                <w:b/>
                <w:bCs/>
                <w:sz w:val="20"/>
                <w:szCs w:val="20"/>
                <w:lang w:eastAsia="en-GB"/>
              </w:rPr>
              <w:t>82.</w:t>
            </w:r>
            <w:r>
              <w:rPr>
                <w:rFonts w:ascii="Trebuchet MS" w:eastAsia="Times New Roman" w:hAnsi="Trebuchet MS"/>
                <w:b/>
                <w:bCs/>
                <w:sz w:val="20"/>
                <w:szCs w:val="20"/>
                <w:lang w:eastAsia="en-GB"/>
              </w:rPr>
              <w:t>7</w:t>
            </w:r>
            <w:r w:rsidRPr="00792247">
              <w:rPr>
                <w:rFonts w:ascii="Trebuchet MS" w:eastAsia="Times New Roman" w:hAnsi="Trebuchet MS"/>
                <w:b/>
                <w:bCs/>
                <w:sz w:val="20"/>
                <w:szCs w:val="20"/>
                <w:lang w:eastAsia="en-GB"/>
              </w:rPr>
              <w:t>%</w:t>
            </w:r>
          </w:p>
        </w:tc>
        <w:tc>
          <w:tcPr>
            <w:tcW w:w="2165" w:type="dxa"/>
            <w:shd w:val="clear" w:color="000000" w:fill="DBE5F1" w:themeFill="accent1" w:themeFillTint="33"/>
            <w:vAlign w:val="center"/>
            <w:hideMark/>
          </w:tcPr>
          <w:p w14:paraId="21D6D89F" w14:textId="77777777" w:rsidR="009508BA" w:rsidRPr="00792247" w:rsidRDefault="009508BA" w:rsidP="00DF2591">
            <w:pPr>
              <w:spacing w:after="0" w:line="240" w:lineRule="auto"/>
              <w:jc w:val="right"/>
              <w:rPr>
                <w:rFonts w:ascii="Trebuchet MS" w:eastAsia="Times New Roman" w:hAnsi="Trebuchet MS"/>
                <w:b/>
                <w:bCs/>
                <w:sz w:val="20"/>
                <w:szCs w:val="20"/>
                <w:lang w:eastAsia="en-GB"/>
              </w:rPr>
            </w:pPr>
            <w:r w:rsidRPr="00792247">
              <w:rPr>
                <w:rFonts w:ascii="Trebuchet MS" w:eastAsia="Times New Roman" w:hAnsi="Trebuchet MS"/>
                <w:b/>
                <w:bCs/>
                <w:sz w:val="20"/>
                <w:szCs w:val="20"/>
                <w:lang w:eastAsia="en-GB"/>
              </w:rPr>
              <w:t>100.0%</w:t>
            </w:r>
          </w:p>
        </w:tc>
        <w:tc>
          <w:tcPr>
            <w:tcW w:w="2088" w:type="dxa"/>
            <w:shd w:val="clear" w:color="000000" w:fill="DBE5F1" w:themeFill="accent1" w:themeFillTint="33"/>
            <w:vAlign w:val="center"/>
            <w:hideMark/>
          </w:tcPr>
          <w:p w14:paraId="4A411F9B" w14:textId="77777777" w:rsidR="009508BA" w:rsidRPr="00792247" w:rsidRDefault="009508BA" w:rsidP="00DF2591">
            <w:pPr>
              <w:spacing w:after="0" w:line="240" w:lineRule="auto"/>
              <w:jc w:val="right"/>
              <w:rPr>
                <w:rFonts w:ascii="Trebuchet MS" w:eastAsia="Times New Roman" w:hAnsi="Trebuchet MS"/>
                <w:b/>
                <w:bCs/>
                <w:sz w:val="20"/>
                <w:szCs w:val="20"/>
                <w:lang w:eastAsia="en-GB"/>
              </w:rPr>
            </w:pPr>
            <w:r w:rsidRPr="00792247">
              <w:rPr>
                <w:rFonts w:ascii="Trebuchet MS" w:eastAsia="Times New Roman" w:hAnsi="Trebuchet MS"/>
                <w:b/>
                <w:bCs/>
                <w:sz w:val="20"/>
                <w:szCs w:val="20"/>
                <w:lang w:eastAsia="en-GB"/>
              </w:rPr>
              <w:t>100.0%</w:t>
            </w:r>
          </w:p>
        </w:tc>
      </w:tr>
      <w:tr w:rsidR="009508BA" w:rsidRPr="00792247" w14:paraId="2542C7EE" w14:textId="77777777" w:rsidTr="00DF2591">
        <w:trPr>
          <w:trHeight w:val="930"/>
          <w:jc w:val="center"/>
        </w:trPr>
        <w:tc>
          <w:tcPr>
            <w:tcW w:w="1713" w:type="dxa"/>
            <w:shd w:val="clear" w:color="auto" w:fill="auto"/>
            <w:vAlign w:val="center"/>
            <w:hideMark/>
          </w:tcPr>
          <w:p w14:paraId="55A2AD89" w14:textId="77777777" w:rsidR="009508BA" w:rsidRPr="00792247" w:rsidRDefault="009508BA" w:rsidP="00DF2591">
            <w:pPr>
              <w:spacing w:after="0" w:line="240" w:lineRule="auto"/>
              <w:rPr>
                <w:rFonts w:ascii="Trebuchet MS" w:eastAsia="Times New Roman" w:hAnsi="Trebuchet MS"/>
                <w:sz w:val="16"/>
                <w:szCs w:val="16"/>
                <w:lang w:eastAsia="en-GB"/>
              </w:rPr>
            </w:pPr>
            <w:r w:rsidRPr="00792247">
              <w:rPr>
                <w:rFonts w:ascii="Trebuchet MS" w:eastAsia="Times New Roman" w:hAnsi="Trebuchet MS"/>
                <w:sz w:val="16"/>
                <w:szCs w:val="16"/>
                <w:lang w:eastAsia="en-GB"/>
              </w:rPr>
              <w:t>Commitments (administrative costs)</w:t>
            </w:r>
          </w:p>
        </w:tc>
        <w:tc>
          <w:tcPr>
            <w:tcW w:w="2393" w:type="dxa"/>
            <w:shd w:val="clear" w:color="auto" w:fill="auto"/>
            <w:noWrap/>
            <w:vAlign w:val="center"/>
            <w:hideMark/>
          </w:tcPr>
          <w:p w14:paraId="5CE83763" w14:textId="77777777" w:rsidR="009508BA" w:rsidRPr="00792247" w:rsidRDefault="009508BA" w:rsidP="00DF2591">
            <w:pPr>
              <w:spacing w:after="0" w:line="240" w:lineRule="auto"/>
              <w:jc w:val="right"/>
              <w:rPr>
                <w:rFonts w:ascii="Trebuchet MS" w:eastAsia="Times New Roman" w:hAnsi="Trebuchet MS"/>
                <w:sz w:val="18"/>
                <w:szCs w:val="18"/>
                <w:lang w:eastAsia="en-GB"/>
              </w:rPr>
            </w:pPr>
            <w:r w:rsidRPr="00792247">
              <w:rPr>
                <w:rFonts w:ascii="Trebuchet MS" w:eastAsia="Times New Roman" w:hAnsi="Trebuchet MS"/>
                <w:sz w:val="18"/>
                <w:szCs w:val="18"/>
                <w:lang w:eastAsia="en-GB"/>
              </w:rPr>
              <w:t xml:space="preserve">                    21,464,518 </w:t>
            </w:r>
          </w:p>
        </w:tc>
        <w:tc>
          <w:tcPr>
            <w:tcW w:w="2165" w:type="dxa"/>
            <w:shd w:val="clear" w:color="auto" w:fill="auto"/>
            <w:noWrap/>
            <w:vAlign w:val="center"/>
            <w:hideMark/>
          </w:tcPr>
          <w:p w14:paraId="53A1A9E7" w14:textId="77777777" w:rsidR="009508BA" w:rsidRPr="00792247" w:rsidRDefault="009508BA" w:rsidP="00DF2591">
            <w:pPr>
              <w:spacing w:after="0" w:line="240" w:lineRule="auto"/>
              <w:jc w:val="right"/>
              <w:rPr>
                <w:rFonts w:ascii="Trebuchet MS" w:eastAsia="Times New Roman" w:hAnsi="Trebuchet MS"/>
                <w:sz w:val="18"/>
                <w:szCs w:val="18"/>
                <w:lang w:eastAsia="en-GB"/>
              </w:rPr>
            </w:pPr>
            <w:r w:rsidRPr="00792247">
              <w:rPr>
                <w:rFonts w:ascii="Trebuchet MS" w:eastAsia="Times New Roman" w:hAnsi="Trebuchet MS"/>
                <w:sz w:val="18"/>
                <w:szCs w:val="18"/>
                <w:lang w:eastAsia="en-GB"/>
              </w:rPr>
              <w:t xml:space="preserve">                       16,535,482 </w:t>
            </w:r>
          </w:p>
        </w:tc>
        <w:tc>
          <w:tcPr>
            <w:tcW w:w="2088" w:type="dxa"/>
            <w:shd w:val="clear" w:color="auto" w:fill="auto"/>
            <w:noWrap/>
            <w:vAlign w:val="center"/>
            <w:hideMark/>
          </w:tcPr>
          <w:p w14:paraId="7BFFF40E" w14:textId="77777777" w:rsidR="009508BA" w:rsidRPr="00792247" w:rsidRDefault="009508BA" w:rsidP="00DF2591">
            <w:pPr>
              <w:spacing w:after="0" w:line="240" w:lineRule="auto"/>
              <w:jc w:val="right"/>
              <w:rPr>
                <w:rFonts w:ascii="Trebuchet MS" w:eastAsia="Times New Roman" w:hAnsi="Trebuchet MS"/>
                <w:sz w:val="18"/>
                <w:szCs w:val="18"/>
                <w:lang w:eastAsia="en-GB"/>
              </w:rPr>
            </w:pPr>
            <w:r w:rsidRPr="00792247">
              <w:rPr>
                <w:rFonts w:ascii="Trebuchet MS" w:eastAsia="Times New Roman" w:hAnsi="Trebuchet MS"/>
                <w:sz w:val="18"/>
                <w:szCs w:val="18"/>
                <w:lang w:eastAsia="en-GB"/>
              </w:rPr>
              <w:t xml:space="preserve">                 38,000,000 </w:t>
            </w:r>
          </w:p>
        </w:tc>
      </w:tr>
      <w:tr w:rsidR="009508BA" w:rsidRPr="00792247" w14:paraId="00CD7EC0" w14:textId="77777777" w:rsidTr="00DF2591">
        <w:trPr>
          <w:trHeight w:val="880"/>
          <w:jc w:val="center"/>
        </w:trPr>
        <w:tc>
          <w:tcPr>
            <w:tcW w:w="1713" w:type="dxa"/>
            <w:tcBorders>
              <w:bottom w:val="single" w:sz="4" w:space="0" w:color="auto"/>
            </w:tcBorders>
            <w:shd w:val="clear" w:color="auto" w:fill="auto"/>
            <w:vAlign w:val="center"/>
            <w:hideMark/>
          </w:tcPr>
          <w:p w14:paraId="0DFCBF45" w14:textId="77777777" w:rsidR="009508BA" w:rsidRPr="00792247" w:rsidRDefault="009508BA" w:rsidP="00DF2591">
            <w:pPr>
              <w:spacing w:after="0" w:line="240" w:lineRule="auto"/>
              <w:rPr>
                <w:rFonts w:ascii="Trebuchet MS" w:eastAsia="Times New Roman" w:hAnsi="Trebuchet MS"/>
                <w:sz w:val="16"/>
                <w:szCs w:val="16"/>
                <w:lang w:eastAsia="en-GB"/>
              </w:rPr>
            </w:pPr>
            <w:r w:rsidRPr="00792247">
              <w:rPr>
                <w:rFonts w:ascii="Trebuchet MS" w:eastAsia="Times New Roman" w:hAnsi="Trebuchet MS"/>
                <w:sz w:val="16"/>
                <w:szCs w:val="16"/>
                <w:lang w:eastAsia="en-GB"/>
              </w:rPr>
              <w:lastRenderedPageBreak/>
              <w:t>Payments (administrative costs)</w:t>
            </w:r>
          </w:p>
        </w:tc>
        <w:tc>
          <w:tcPr>
            <w:tcW w:w="2393" w:type="dxa"/>
            <w:tcBorders>
              <w:bottom w:val="single" w:sz="4" w:space="0" w:color="auto"/>
            </w:tcBorders>
            <w:shd w:val="clear" w:color="auto" w:fill="auto"/>
            <w:noWrap/>
            <w:vAlign w:val="center"/>
            <w:hideMark/>
          </w:tcPr>
          <w:p w14:paraId="34426A52" w14:textId="77777777" w:rsidR="009508BA" w:rsidRPr="00792247" w:rsidRDefault="009508BA" w:rsidP="00DF2591">
            <w:pPr>
              <w:spacing w:after="0" w:line="240" w:lineRule="auto"/>
              <w:jc w:val="right"/>
              <w:rPr>
                <w:rFonts w:ascii="Trebuchet MS" w:eastAsia="Times New Roman" w:hAnsi="Trebuchet MS"/>
                <w:sz w:val="18"/>
                <w:szCs w:val="18"/>
                <w:lang w:eastAsia="en-GB"/>
              </w:rPr>
            </w:pPr>
            <w:r w:rsidRPr="00792247">
              <w:rPr>
                <w:rFonts w:ascii="Trebuchet MS" w:eastAsia="Times New Roman" w:hAnsi="Trebuchet MS"/>
                <w:sz w:val="18"/>
                <w:szCs w:val="18"/>
                <w:lang w:eastAsia="en-GB"/>
              </w:rPr>
              <w:t xml:space="preserve">                    20,479,362 </w:t>
            </w:r>
          </w:p>
        </w:tc>
        <w:tc>
          <w:tcPr>
            <w:tcW w:w="2165" w:type="dxa"/>
            <w:tcBorders>
              <w:bottom w:val="single" w:sz="4" w:space="0" w:color="auto"/>
            </w:tcBorders>
            <w:shd w:val="clear" w:color="auto" w:fill="auto"/>
            <w:noWrap/>
            <w:vAlign w:val="center"/>
            <w:hideMark/>
          </w:tcPr>
          <w:p w14:paraId="72F5A4BA" w14:textId="77777777" w:rsidR="009508BA" w:rsidRPr="00792247" w:rsidRDefault="009508BA" w:rsidP="00DF2591">
            <w:pPr>
              <w:spacing w:after="0" w:line="240" w:lineRule="auto"/>
              <w:jc w:val="right"/>
              <w:rPr>
                <w:rFonts w:ascii="Trebuchet MS" w:eastAsia="Times New Roman" w:hAnsi="Trebuchet MS"/>
                <w:sz w:val="18"/>
                <w:szCs w:val="18"/>
                <w:lang w:eastAsia="en-GB"/>
              </w:rPr>
            </w:pPr>
            <w:r w:rsidRPr="00792247">
              <w:rPr>
                <w:rFonts w:ascii="Trebuchet MS" w:eastAsia="Times New Roman" w:hAnsi="Trebuchet MS"/>
                <w:sz w:val="18"/>
                <w:szCs w:val="18"/>
                <w:lang w:eastAsia="en-GB"/>
              </w:rPr>
              <w:t xml:space="preserve">                       17,520,639 </w:t>
            </w:r>
          </w:p>
        </w:tc>
        <w:tc>
          <w:tcPr>
            <w:tcW w:w="2088" w:type="dxa"/>
            <w:tcBorders>
              <w:bottom w:val="single" w:sz="4" w:space="0" w:color="auto"/>
            </w:tcBorders>
            <w:shd w:val="clear" w:color="auto" w:fill="auto"/>
            <w:noWrap/>
            <w:vAlign w:val="center"/>
            <w:hideMark/>
          </w:tcPr>
          <w:p w14:paraId="54BD64B6" w14:textId="77777777" w:rsidR="009508BA" w:rsidRPr="00792247" w:rsidRDefault="009508BA" w:rsidP="00DF2591">
            <w:pPr>
              <w:spacing w:after="0" w:line="240" w:lineRule="auto"/>
              <w:jc w:val="right"/>
              <w:rPr>
                <w:rFonts w:ascii="Trebuchet MS" w:eastAsia="Times New Roman" w:hAnsi="Trebuchet MS"/>
                <w:sz w:val="18"/>
                <w:szCs w:val="18"/>
                <w:lang w:eastAsia="en-GB"/>
              </w:rPr>
            </w:pPr>
            <w:r w:rsidRPr="00792247">
              <w:rPr>
                <w:rFonts w:ascii="Trebuchet MS" w:eastAsia="Times New Roman" w:hAnsi="Trebuchet MS"/>
                <w:sz w:val="18"/>
                <w:szCs w:val="18"/>
                <w:lang w:eastAsia="en-GB"/>
              </w:rPr>
              <w:t xml:space="preserve">                 38,000,000 </w:t>
            </w:r>
          </w:p>
        </w:tc>
      </w:tr>
      <w:tr w:rsidR="009508BA" w:rsidRPr="00792247" w14:paraId="23DC067E" w14:textId="77777777" w:rsidTr="00DF2591">
        <w:trPr>
          <w:trHeight w:val="1090"/>
          <w:jc w:val="center"/>
        </w:trPr>
        <w:tc>
          <w:tcPr>
            <w:tcW w:w="1713" w:type="dxa"/>
            <w:shd w:val="clear" w:color="000000" w:fill="DBE5F1" w:themeFill="accent1" w:themeFillTint="33"/>
            <w:vAlign w:val="center"/>
            <w:hideMark/>
          </w:tcPr>
          <w:p w14:paraId="66843D0D" w14:textId="77777777" w:rsidR="009508BA" w:rsidRPr="00792247" w:rsidRDefault="009508BA" w:rsidP="00DF2591">
            <w:pPr>
              <w:spacing w:after="0" w:line="240" w:lineRule="auto"/>
              <w:jc w:val="center"/>
              <w:rPr>
                <w:rFonts w:ascii="Trebuchet MS" w:eastAsia="Times New Roman" w:hAnsi="Trebuchet MS"/>
                <w:b/>
                <w:bCs/>
                <w:sz w:val="20"/>
                <w:szCs w:val="20"/>
                <w:lang w:eastAsia="en-GB"/>
              </w:rPr>
            </w:pPr>
            <w:r w:rsidRPr="00792247">
              <w:rPr>
                <w:rFonts w:ascii="Trebuchet MS" w:eastAsia="Times New Roman" w:hAnsi="Trebuchet MS"/>
                <w:b/>
                <w:bCs/>
                <w:sz w:val="20"/>
                <w:szCs w:val="20"/>
                <w:lang w:eastAsia="en-GB"/>
              </w:rPr>
              <w:t>Cumulative execution (administrative costs)</w:t>
            </w:r>
          </w:p>
        </w:tc>
        <w:tc>
          <w:tcPr>
            <w:tcW w:w="2393" w:type="dxa"/>
            <w:shd w:val="clear" w:color="000000" w:fill="DBE5F1" w:themeFill="accent1" w:themeFillTint="33"/>
            <w:vAlign w:val="center"/>
            <w:hideMark/>
          </w:tcPr>
          <w:p w14:paraId="7A27097E" w14:textId="77777777" w:rsidR="009508BA" w:rsidRPr="00792247" w:rsidRDefault="009508BA" w:rsidP="00DF2591">
            <w:pPr>
              <w:spacing w:after="0" w:line="240" w:lineRule="auto"/>
              <w:jc w:val="right"/>
              <w:rPr>
                <w:rFonts w:ascii="Trebuchet MS" w:eastAsia="Times New Roman" w:hAnsi="Trebuchet MS"/>
                <w:b/>
                <w:bCs/>
                <w:sz w:val="20"/>
                <w:szCs w:val="20"/>
                <w:lang w:eastAsia="en-GB"/>
              </w:rPr>
            </w:pPr>
            <w:r w:rsidRPr="00792247">
              <w:rPr>
                <w:rFonts w:ascii="Trebuchet MS" w:eastAsia="Times New Roman" w:hAnsi="Trebuchet MS"/>
                <w:b/>
                <w:bCs/>
                <w:sz w:val="20"/>
                <w:szCs w:val="20"/>
                <w:lang w:eastAsia="en-GB"/>
              </w:rPr>
              <w:t>95.4%</w:t>
            </w:r>
          </w:p>
        </w:tc>
        <w:tc>
          <w:tcPr>
            <w:tcW w:w="2165" w:type="dxa"/>
            <w:shd w:val="clear" w:color="000000" w:fill="DBE5F1" w:themeFill="accent1" w:themeFillTint="33"/>
            <w:vAlign w:val="center"/>
            <w:hideMark/>
          </w:tcPr>
          <w:p w14:paraId="46A4100C" w14:textId="77777777" w:rsidR="009508BA" w:rsidRPr="00792247" w:rsidRDefault="009508BA" w:rsidP="00DF2591">
            <w:pPr>
              <w:spacing w:after="0" w:line="240" w:lineRule="auto"/>
              <w:jc w:val="right"/>
              <w:rPr>
                <w:rFonts w:ascii="Trebuchet MS" w:eastAsia="Times New Roman" w:hAnsi="Trebuchet MS"/>
                <w:b/>
                <w:bCs/>
                <w:sz w:val="20"/>
                <w:szCs w:val="20"/>
                <w:lang w:eastAsia="en-GB"/>
              </w:rPr>
            </w:pPr>
            <w:r w:rsidRPr="00792247">
              <w:rPr>
                <w:rFonts w:ascii="Trebuchet MS" w:eastAsia="Times New Roman" w:hAnsi="Trebuchet MS"/>
                <w:b/>
                <w:bCs/>
                <w:sz w:val="20"/>
                <w:szCs w:val="20"/>
                <w:lang w:eastAsia="en-GB"/>
              </w:rPr>
              <w:t>100.0%</w:t>
            </w:r>
          </w:p>
        </w:tc>
        <w:tc>
          <w:tcPr>
            <w:tcW w:w="2088" w:type="dxa"/>
            <w:shd w:val="clear" w:color="000000" w:fill="DBE5F1" w:themeFill="accent1" w:themeFillTint="33"/>
            <w:vAlign w:val="center"/>
            <w:hideMark/>
          </w:tcPr>
          <w:p w14:paraId="1F087E25" w14:textId="77777777" w:rsidR="009508BA" w:rsidRPr="00792247" w:rsidRDefault="009508BA" w:rsidP="00DF2591">
            <w:pPr>
              <w:spacing w:after="0" w:line="240" w:lineRule="auto"/>
              <w:jc w:val="right"/>
              <w:rPr>
                <w:rFonts w:ascii="Trebuchet MS" w:eastAsia="Times New Roman" w:hAnsi="Trebuchet MS"/>
                <w:b/>
                <w:bCs/>
                <w:sz w:val="20"/>
                <w:szCs w:val="20"/>
                <w:lang w:eastAsia="en-GB"/>
              </w:rPr>
            </w:pPr>
            <w:r w:rsidRPr="00792247">
              <w:rPr>
                <w:rFonts w:ascii="Trebuchet MS" w:eastAsia="Times New Roman" w:hAnsi="Trebuchet MS"/>
                <w:b/>
                <w:bCs/>
                <w:sz w:val="20"/>
                <w:szCs w:val="20"/>
                <w:lang w:eastAsia="en-GB"/>
              </w:rPr>
              <w:t>100.0%</w:t>
            </w:r>
          </w:p>
        </w:tc>
      </w:tr>
      <w:tr w:rsidR="009508BA" w:rsidRPr="00792247" w14:paraId="16C6939A" w14:textId="77777777" w:rsidTr="00DF2591">
        <w:trPr>
          <w:trHeight w:val="540"/>
          <w:jc w:val="center"/>
        </w:trPr>
        <w:tc>
          <w:tcPr>
            <w:tcW w:w="1713" w:type="dxa"/>
            <w:shd w:val="clear" w:color="000000" w:fill="DBE5F1" w:themeFill="accent1" w:themeFillTint="33"/>
            <w:vAlign w:val="center"/>
            <w:hideMark/>
          </w:tcPr>
          <w:p w14:paraId="4AF1DA54" w14:textId="77777777" w:rsidR="009508BA" w:rsidRPr="00792247" w:rsidRDefault="009508BA" w:rsidP="00DF2591">
            <w:pPr>
              <w:spacing w:after="0" w:line="240" w:lineRule="auto"/>
              <w:jc w:val="center"/>
              <w:rPr>
                <w:rFonts w:ascii="Trebuchet MS" w:eastAsia="Times New Roman" w:hAnsi="Trebuchet MS"/>
                <w:b/>
                <w:bCs/>
                <w:sz w:val="20"/>
                <w:szCs w:val="20"/>
                <w:lang w:eastAsia="en-GB"/>
              </w:rPr>
            </w:pPr>
            <w:r w:rsidRPr="00792247">
              <w:rPr>
                <w:rFonts w:ascii="Trebuchet MS" w:eastAsia="Times New Roman" w:hAnsi="Trebuchet MS"/>
                <w:b/>
                <w:bCs/>
                <w:sz w:val="20"/>
                <w:szCs w:val="20"/>
                <w:lang w:eastAsia="en-GB"/>
              </w:rPr>
              <w:t>Overall H2020 execution</w:t>
            </w:r>
          </w:p>
        </w:tc>
        <w:tc>
          <w:tcPr>
            <w:tcW w:w="2393" w:type="dxa"/>
            <w:shd w:val="clear" w:color="000000" w:fill="DBE5F1" w:themeFill="accent1" w:themeFillTint="33"/>
            <w:vAlign w:val="center"/>
            <w:hideMark/>
          </w:tcPr>
          <w:p w14:paraId="3B519817" w14:textId="77777777" w:rsidR="009508BA" w:rsidRPr="00792247" w:rsidRDefault="009508BA" w:rsidP="00DF2591">
            <w:pPr>
              <w:spacing w:after="0" w:line="240" w:lineRule="auto"/>
              <w:jc w:val="right"/>
              <w:rPr>
                <w:rFonts w:ascii="Trebuchet MS" w:eastAsia="Times New Roman" w:hAnsi="Trebuchet MS"/>
                <w:b/>
                <w:bCs/>
                <w:sz w:val="20"/>
                <w:szCs w:val="20"/>
                <w:lang w:eastAsia="en-GB"/>
              </w:rPr>
            </w:pPr>
            <w:r w:rsidRPr="00792247">
              <w:rPr>
                <w:rFonts w:ascii="Trebuchet MS" w:eastAsia="Times New Roman" w:hAnsi="Trebuchet MS"/>
                <w:b/>
                <w:bCs/>
                <w:sz w:val="20"/>
                <w:szCs w:val="20"/>
                <w:lang w:eastAsia="en-GB"/>
              </w:rPr>
              <w:t>83.1%</w:t>
            </w:r>
          </w:p>
        </w:tc>
        <w:tc>
          <w:tcPr>
            <w:tcW w:w="2165" w:type="dxa"/>
            <w:shd w:val="clear" w:color="000000" w:fill="DBE5F1" w:themeFill="accent1" w:themeFillTint="33"/>
            <w:vAlign w:val="center"/>
            <w:hideMark/>
          </w:tcPr>
          <w:p w14:paraId="44448073" w14:textId="77777777" w:rsidR="009508BA" w:rsidRPr="00792247" w:rsidRDefault="009508BA" w:rsidP="00DF2591">
            <w:pPr>
              <w:spacing w:after="0" w:line="240" w:lineRule="auto"/>
              <w:jc w:val="right"/>
              <w:rPr>
                <w:rFonts w:ascii="Trebuchet MS" w:eastAsia="Times New Roman" w:hAnsi="Trebuchet MS"/>
                <w:b/>
                <w:bCs/>
                <w:sz w:val="20"/>
                <w:szCs w:val="20"/>
                <w:lang w:eastAsia="en-GB"/>
              </w:rPr>
            </w:pPr>
            <w:r w:rsidRPr="00792247">
              <w:rPr>
                <w:rFonts w:ascii="Trebuchet MS" w:eastAsia="Times New Roman" w:hAnsi="Trebuchet MS"/>
                <w:b/>
                <w:bCs/>
                <w:sz w:val="20"/>
                <w:szCs w:val="20"/>
                <w:lang w:eastAsia="en-GB"/>
              </w:rPr>
              <w:t>100.0%</w:t>
            </w:r>
          </w:p>
        </w:tc>
        <w:tc>
          <w:tcPr>
            <w:tcW w:w="2088" w:type="dxa"/>
            <w:shd w:val="clear" w:color="000000" w:fill="DBE5F1" w:themeFill="accent1" w:themeFillTint="33"/>
            <w:vAlign w:val="center"/>
            <w:hideMark/>
          </w:tcPr>
          <w:p w14:paraId="13008A4E" w14:textId="77777777" w:rsidR="009508BA" w:rsidRPr="00792247" w:rsidRDefault="009508BA" w:rsidP="00DF2591">
            <w:pPr>
              <w:spacing w:after="0" w:line="240" w:lineRule="auto"/>
              <w:jc w:val="right"/>
              <w:rPr>
                <w:rFonts w:ascii="Trebuchet MS" w:eastAsia="Times New Roman" w:hAnsi="Trebuchet MS"/>
                <w:b/>
                <w:bCs/>
                <w:sz w:val="20"/>
                <w:szCs w:val="20"/>
                <w:lang w:eastAsia="en-GB"/>
              </w:rPr>
            </w:pPr>
            <w:r w:rsidRPr="00792247">
              <w:rPr>
                <w:rFonts w:ascii="Trebuchet MS" w:eastAsia="Times New Roman" w:hAnsi="Trebuchet MS"/>
                <w:b/>
                <w:bCs/>
                <w:sz w:val="20"/>
                <w:szCs w:val="20"/>
                <w:lang w:eastAsia="en-GB"/>
              </w:rPr>
              <w:t>100.0%</w:t>
            </w:r>
          </w:p>
        </w:tc>
      </w:tr>
    </w:tbl>
    <w:p w14:paraId="6A497254" w14:textId="566E6AF8" w:rsidR="00AB25EE" w:rsidRDefault="00AB25EE" w:rsidP="00AB25EE">
      <w:pPr>
        <w:jc w:val="both"/>
        <w:rPr>
          <w:b/>
          <w:bCs/>
        </w:rPr>
      </w:pPr>
    </w:p>
    <w:p w14:paraId="10D20C1C" w14:textId="77777777" w:rsidR="009508BA" w:rsidRPr="009508BA" w:rsidRDefault="009508BA" w:rsidP="009508BA">
      <w:pPr>
        <w:jc w:val="both"/>
        <w:rPr>
          <w:rFonts w:ascii="Arial" w:hAnsi="Arial" w:cs="Arial"/>
          <w:sz w:val="20"/>
          <w:szCs w:val="20"/>
        </w:rPr>
      </w:pPr>
      <w:r w:rsidRPr="009508BA">
        <w:rPr>
          <w:rFonts w:ascii="Arial" w:hAnsi="Arial" w:cs="Arial"/>
          <w:sz w:val="20"/>
          <w:szCs w:val="20"/>
        </w:rPr>
        <w:t>Regarding H2020 operational costs, the amount committed at the end of 2020 refers to the 134 individual commitments for H2020 projects. In addition, it includes the committed amounts for 25 procurement activities and a global commitment for the outstanding procurement activities from AWP 2021. It also includes 4 annual commitments for the European Hydrogen Safety Panel and 6 commitments for the JRC’s annual work.</w:t>
      </w:r>
    </w:p>
    <w:p w14:paraId="650A82DC" w14:textId="5498395C" w:rsidR="009508BA" w:rsidRDefault="009508BA" w:rsidP="009508BA">
      <w:pPr>
        <w:jc w:val="both"/>
        <w:rPr>
          <w:b/>
          <w:bCs/>
        </w:rPr>
      </w:pPr>
      <w:r w:rsidRPr="009508BA">
        <w:rPr>
          <w:rFonts w:ascii="Arial" w:hAnsi="Arial" w:cs="Arial"/>
          <w:sz w:val="20"/>
          <w:szCs w:val="20"/>
        </w:rPr>
        <w:t xml:space="preserve">With regards to </w:t>
      </w:r>
      <w:r>
        <w:rPr>
          <w:rFonts w:ascii="Arial" w:hAnsi="Arial" w:cs="Arial"/>
          <w:sz w:val="20"/>
          <w:szCs w:val="20"/>
        </w:rPr>
        <w:t xml:space="preserve">H2020 </w:t>
      </w:r>
      <w:r w:rsidRPr="009508BA">
        <w:rPr>
          <w:rFonts w:ascii="Arial" w:hAnsi="Arial" w:cs="Arial"/>
          <w:sz w:val="20"/>
          <w:szCs w:val="20"/>
        </w:rPr>
        <w:t>administrative costs, an amount of EUR 985 156 was committed in 2020 and 2021 but not paid (as services are ongoing and/or invoices pending).</w:t>
      </w:r>
    </w:p>
    <w:p w14:paraId="18E146E8" w14:textId="77777777" w:rsidR="00A14836" w:rsidRDefault="00A14836" w:rsidP="00F36073">
      <w:pPr>
        <w:jc w:val="both"/>
        <w:rPr>
          <w:rFonts w:ascii="Arial" w:hAnsi="Arial" w:cs="Arial"/>
          <w:b/>
          <w:bCs/>
          <w:color w:val="00B0F0"/>
          <w:sz w:val="20"/>
          <w:szCs w:val="20"/>
        </w:rPr>
      </w:pPr>
    </w:p>
    <w:p w14:paraId="28902A3B" w14:textId="2ACC2BFC" w:rsidR="00F36073" w:rsidRDefault="00A14836" w:rsidP="00F36073">
      <w:pPr>
        <w:jc w:val="both"/>
        <w:rPr>
          <w:rFonts w:ascii="Arial" w:hAnsi="Arial" w:cs="Arial"/>
          <w:b/>
          <w:bCs/>
          <w:color w:val="00B0F0"/>
          <w:sz w:val="20"/>
          <w:szCs w:val="20"/>
        </w:rPr>
      </w:pPr>
      <w:r w:rsidRPr="009274A5">
        <w:rPr>
          <w:rFonts w:ascii="Arial" w:hAnsi="Arial" w:cs="Arial"/>
          <w:b/>
          <w:bCs/>
          <w:color w:val="00B0F0"/>
          <w:sz w:val="20"/>
          <w:szCs w:val="20"/>
        </w:rPr>
        <w:t>Amendments signed in 2021</w:t>
      </w:r>
    </w:p>
    <w:p w14:paraId="75C01F89" w14:textId="1855E91A" w:rsidR="009274A5" w:rsidRDefault="009274A5" w:rsidP="00F36073">
      <w:pPr>
        <w:jc w:val="both"/>
        <w:rPr>
          <w:rFonts w:ascii="Arial" w:hAnsi="Arial" w:cs="Arial"/>
          <w:sz w:val="20"/>
          <w:szCs w:val="20"/>
        </w:rPr>
      </w:pPr>
      <w:r w:rsidRPr="009274A5">
        <w:rPr>
          <w:rFonts w:ascii="Arial" w:hAnsi="Arial" w:cs="Arial"/>
          <w:sz w:val="20"/>
          <w:szCs w:val="20"/>
        </w:rPr>
        <w:t xml:space="preserve">Besides assessing the periodic reports, </w:t>
      </w:r>
      <w:r w:rsidR="001F48CD">
        <w:rPr>
          <w:rFonts w:ascii="Arial" w:hAnsi="Arial" w:cs="Arial"/>
          <w:sz w:val="20"/>
          <w:szCs w:val="20"/>
        </w:rPr>
        <w:t>JU</w:t>
      </w:r>
      <w:r w:rsidRPr="009274A5">
        <w:rPr>
          <w:rFonts w:ascii="Arial" w:hAnsi="Arial" w:cs="Arial"/>
          <w:sz w:val="20"/>
          <w:szCs w:val="20"/>
        </w:rPr>
        <w:t xml:space="preserve"> financial management also includes the processing of project amendments. In 202</w:t>
      </w:r>
      <w:r w:rsidR="001F48CD">
        <w:rPr>
          <w:rFonts w:ascii="Arial" w:hAnsi="Arial" w:cs="Arial"/>
          <w:sz w:val="20"/>
          <w:szCs w:val="20"/>
        </w:rPr>
        <w:t>1</w:t>
      </w:r>
      <w:r w:rsidRPr="009274A5">
        <w:rPr>
          <w:rFonts w:ascii="Arial" w:hAnsi="Arial" w:cs="Arial"/>
          <w:sz w:val="20"/>
          <w:szCs w:val="20"/>
        </w:rPr>
        <w:t xml:space="preserve">, the ED signed </w:t>
      </w:r>
      <w:r w:rsidR="00D773A6">
        <w:rPr>
          <w:rFonts w:ascii="Arial" w:hAnsi="Arial" w:cs="Arial"/>
          <w:sz w:val="20"/>
          <w:szCs w:val="20"/>
        </w:rPr>
        <w:t xml:space="preserve">1 FP7 and </w:t>
      </w:r>
      <w:r w:rsidRPr="009274A5">
        <w:rPr>
          <w:rFonts w:ascii="Arial" w:hAnsi="Arial" w:cs="Arial"/>
          <w:sz w:val="20"/>
          <w:szCs w:val="20"/>
        </w:rPr>
        <w:t>5</w:t>
      </w:r>
      <w:r w:rsidR="001F48CD">
        <w:rPr>
          <w:rFonts w:ascii="Arial" w:hAnsi="Arial" w:cs="Arial"/>
          <w:sz w:val="20"/>
          <w:szCs w:val="20"/>
        </w:rPr>
        <w:t>1</w:t>
      </w:r>
      <w:r w:rsidRPr="009274A5">
        <w:rPr>
          <w:rFonts w:ascii="Arial" w:hAnsi="Arial" w:cs="Arial"/>
          <w:sz w:val="20"/>
          <w:szCs w:val="20"/>
        </w:rPr>
        <w:t xml:space="preserve"> H2020 amendments</w:t>
      </w:r>
      <w:r>
        <w:rPr>
          <w:rFonts w:ascii="Arial" w:hAnsi="Arial" w:cs="Arial"/>
          <w:sz w:val="20"/>
          <w:szCs w:val="20"/>
        </w:rPr>
        <w:t>.</w:t>
      </w:r>
    </w:p>
    <w:p w14:paraId="42F12E84" w14:textId="39925313" w:rsidR="009274A5" w:rsidRDefault="009274A5" w:rsidP="00F36073">
      <w:pPr>
        <w:jc w:val="both"/>
        <w:rPr>
          <w:rFonts w:ascii="Arial" w:hAnsi="Arial" w:cs="Arial"/>
          <w:sz w:val="20"/>
          <w:szCs w:val="20"/>
        </w:rPr>
      </w:pPr>
    </w:p>
    <w:p w14:paraId="68AD4B26" w14:textId="46F1F19C" w:rsidR="009274A5" w:rsidRDefault="009274A5" w:rsidP="009274A5">
      <w:pPr>
        <w:pStyle w:val="Heading4"/>
        <w:ind w:left="567"/>
        <w:rPr>
          <w:b/>
          <w:bCs/>
          <w:i w:val="0"/>
          <w:iCs w:val="0"/>
          <w:color w:val="auto"/>
        </w:rPr>
      </w:pPr>
      <w:r w:rsidRPr="00F02950">
        <w:rPr>
          <w:b/>
          <w:bCs/>
          <w:i w:val="0"/>
          <w:iCs w:val="0"/>
          <w:color w:val="auto"/>
        </w:rPr>
        <w:t>2.3.</w:t>
      </w:r>
      <w:r w:rsidR="001F48CD">
        <w:rPr>
          <w:b/>
          <w:bCs/>
          <w:i w:val="0"/>
          <w:iCs w:val="0"/>
          <w:color w:val="auto"/>
        </w:rPr>
        <w:t>3</w:t>
      </w:r>
      <w:r w:rsidRPr="00F02950">
        <w:rPr>
          <w:b/>
          <w:bCs/>
          <w:i w:val="0"/>
          <w:iCs w:val="0"/>
          <w:color w:val="auto"/>
        </w:rPr>
        <w:t xml:space="preserve"> </w:t>
      </w:r>
      <w:r w:rsidR="001F48CD">
        <w:rPr>
          <w:rFonts w:ascii="Arial" w:hAnsi="Arial" w:cs="Arial"/>
          <w:b/>
          <w:bCs/>
          <w:i w:val="0"/>
          <w:iCs w:val="0"/>
          <w:color w:val="auto"/>
        </w:rPr>
        <w:t>TIME TO PAY</w:t>
      </w:r>
    </w:p>
    <w:p w14:paraId="719E5D10" w14:textId="741512B1" w:rsidR="001F48CD" w:rsidRDefault="001F48CD" w:rsidP="001F48CD">
      <w:pPr>
        <w:jc w:val="both"/>
        <w:rPr>
          <w:rFonts w:ascii="Arial" w:hAnsi="Arial" w:cs="Arial"/>
          <w:b/>
          <w:bCs/>
          <w:color w:val="00B0F0"/>
          <w:sz w:val="20"/>
          <w:szCs w:val="20"/>
        </w:rPr>
      </w:pPr>
      <w:r>
        <w:rPr>
          <w:rFonts w:ascii="Arial" w:hAnsi="Arial" w:cs="Arial"/>
          <w:b/>
          <w:bCs/>
          <w:color w:val="00B0F0"/>
          <w:sz w:val="20"/>
          <w:szCs w:val="20"/>
        </w:rPr>
        <w:t>Operational payments</w:t>
      </w:r>
    </w:p>
    <w:p w14:paraId="45B9480B" w14:textId="25AA44E4" w:rsidR="001F48CD" w:rsidRPr="001F48CD" w:rsidRDefault="001F48CD" w:rsidP="001F48CD">
      <w:pPr>
        <w:jc w:val="both"/>
        <w:rPr>
          <w:rFonts w:ascii="Arial" w:hAnsi="Arial" w:cs="Arial"/>
          <w:sz w:val="20"/>
          <w:szCs w:val="20"/>
        </w:rPr>
      </w:pPr>
      <w:r w:rsidRPr="001F48CD">
        <w:rPr>
          <w:rFonts w:ascii="Arial" w:hAnsi="Arial" w:cs="Arial"/>
          <w:sz w:val="20"/>
          <w:szCs w:val="20"/>
        </w:rPr>
        <w:t>In 202</w:t>
      </w:r>
      <w:r>
        <w:rPr>
          <w:rFonts w:ascii="Arial" w:hAnsi="Arial" w:cs="Arial"/>
          <w:sz w:val="20"/>
          <w:szCs w:val="20"/>
        </w:rPr>
        <w:t>1</w:t>
      </w:r>
      <w:r w:rsidRPr="001F48CD">
        <w:rPr>
          <w:rFonts w:ascii="Arial" w:hAnsi="Arial" w:cs="Arial"/>
          <w:sz w:val="20"/>
          <w:szCs w:val="20"/>
        </w:rPr>
        <w:t xml:space="preserve">, </w:t>
      </w:r>
      <w:r>
        <w:rPr>
          <w:rFonts w:ascii="Arial" w:hAnsi="Arial" w:cs="Arial"/>
          <w:sz w:val="20"/>
          <w:szCs w:val="20"/>
        </w:rPr>
        <w:t>3</w:t>
      </w:r>
      <w:r w:rsidRPr="001F48CD">
        <w:rPr>
          <w:rFonts w:ascii="Arial" w:hAnsi="Arial" w:cs="Arial"/>
          <w:sz w:val="20"/>
          <w:szCs w:val="20"/>
        </w:rPr>
        <w:t xml:space="preserve"> FP7 and </w:t>
      </w:r>
      <w:r>
        <w:rPr>
          <w:rFonts w:ascii="Arial" w:hAnsi="Arial" w:cs="Arial"/>
          <w:sz w:val="20"/>
          <w:szCs w:val="20"/>
        </w:rPr>
        <w:t>62</w:t>
      </w:r>
      <w:r w:rsidRPr="001F48CD">
        <w:rPr>
          <w:rFonts w:ascii="Arial" w:hAnsi="Arial" w:cs="Arial"/>
          <w:sz w:val="20"/>
          <w:szCs w:val="20"/>
        </w:rPr>
        <w:t xml:space="preserve"> H2020 reports (interim and final) were assessed (</w:t>
      </w:r>
      <w:r>
        <w:rPr>
          <w:rFonts w:ascii="Arial" w:hAnsi="Arial" w:cs="Arial"/>
          <w:sz w:val="20"/>
          <w:szCs w:val="20"/>
        </w:rPr>
        <w:t>59</w:t>
      </w:r>
      <w:r w:rsidRPr="001F48CD">
        <w:rPr>
          <w:rFonts w:ascii="Arial" w:hAnsi="Arial" w:cs="Arial"/>
          <w:sz w:val="20"/>
          <w:szCs w:val="20"/>
        </w:rPr>
        <w:t xml:space="preserve"> in 20</w:t>
      </w:r>
      <w:r>
        <w:rPr>
          <w:rFonts w:ascii="Arial" w:hAnsi="Arial" w:cs="Arial"/>
          <w:sz w:val="20"/>
          <w:szCs w:val="20"/>
        </w:rPr>
        <w:t>20</w:t>
      </w:r>
      <w:r w:rsidRPr="001F48CD">
        <w:rPr>
          <w:rFonts w:ascii="Arial" w:hAnsi="Arial" w:cs="Arial"/>
          <w:sz w:val="20"/>
          <w:szCs w:val="20"/>
        </w:rPr>
        <w:t xml:space="preserve">). The overall </w:t>
      </w:r>
      <w:r w:rsidR="00256EC5">
        <w:rPr>
          <w:rFonts w:ascii="Arial" w:hAnsi="Arial" w:cs="Arial"/>
          <w:sz w:val="20"/>
          <w:szCs w:val="20"/>
        </w:rPr>
        <w:t>time to pay (</w:t>
      </w:r>
      <w:r w:rsidRPr="001F48CD">
        <w:rPr>
          <w:rFonts w:ascii="Arial" w:hAnsi="Arial" w:cs="Arial"/>
          <w:sz w:val="20"/>
          <w:szCs w:val="20"/>
        </w:rPr>
        <w:t>TTP</w:t>
      </w:r>
      <w:r w:rsidR="00256EC5">
        <w:rPr>
          <w:rFonts w:ascii="Arial" w:hAnsi="Arial" w:cs="Arial"/>
          <w:sz w:val="20"/>
          <w:szCs w:val="20"/>
        </w:rPr>
        <w:t>)</w:t>
      </w:r>
      <w:r w:rsidRPr="001F48CD">
        <w:rPr>
          <w:rFonts w:ascii="Arial" w:hAnsi="Arial" w:cs="Arial"/>
          <w:sz w:val="20"/>
          <w:szCs w:val="20"/>
        </w:rPr>
        <w:t xml:space="preserve"> for FP7 and H2020 combined </w:t>
      </w:r>
      <w:r w:rsidR="00256EC5">
        <w:rPr>
          <w:rFonts w:ascii="Arial" w:hAnsi="Arial" w:cs="Arial"/>
          <w:sz w:val="20"/>
          <w:szCs w:val="20"/>
        </w:rPr>
        <w:t>further</w:t>
      </w:r>
      <w:r>
        <w:rPr>
          <w:rFonts w:ascii="Arial" w:hAnsi="Arial" w:cs="Arial"/>
          <w:sz w:val="20"/>
          <w:szCs w:val="20"/>
        </w:rPr>
        <w:t xml:space="preserve"> </w:t>
      </w:r>
      <w:r w:rsidRPr="001F48CD">
        <w:rPr>
          <w:rFonts w:ascii="Arial" w:hAnsi="Arial" w:cs="Arial"/>
          <w:sz w:val="20"/>
          <w:szCs w:val="20"/>
        </w:rPr>
        <w:t>improved compared to 20</w:t>
      </w:r>
      <w:r w:rsidR="00256EC5">
        <w:rPr>
          <w:rFonts w:ascii="Arial" w:hAnsi="Arial" w:cs="Arial"/>
          <w:sz w:val="20"/>
          <w:szCs w:val="20"/>
        </w:rPr>
        <w:t>20</w:t>
      </w:r>
      <w:r w:rsidRPr="001F48CD">
        <w:rPr>
          <w:rFonts w:ascii="Arial" w:hAnsi="Arial" w:cs="Arial"/>
          <w:sz w:val="20"/>
          <w:szCs w:val="20"/>
        </w:rPr>
        <w:t xml:space="preserve">, from </w:t>
      </w:r>
      <w:r w:rsidR="00256EC5">
        <w:rPr>
          <w:rFonts w:ascii="Arial" w:hAnsi="Arial" w:cs="Arial"/>
          <w:sz w:val="20"/>
          <w:szCs w:val="20"/>
        </w:rPr>
        <w:t>67</w:t>
      </w:r>
      <w:r w:rsidRPr="001F48CD">
        <w:rPr>
          <w:rFonts w:ascii="Arial" w:hAnsi="Arial" w:cs="Arial"/>
          <w:sz w:val="20"/>
          <w:szCs w:val="20"/>
        </w:rPr>
        <w:t xml:space="preserve"> to 6</w:t>
      </w:r>
      <w:r w:rsidR="00256EC5">
        <w:rPr>
          <w:rFonts w:ascii="Arial" w:hAnsi="Arial" w:cs="Arial"/>
          <w:sz w:val="20"/>
          <w:szCs w:val="20"/>
        </w:rPr>
        <w:t>4</w:t>
      </w:r>
      <w:r w:rsidRPr="001F48CD">
        <w:rPr>
          <w:rFonts w:ascii="Arial" w:hAnsi="Arial" w:cs="Arial"/>
          <w:sz w:val="20"/>
          <w:szCs w:val="20"/>
        </w:rPr>
        <w:t xml:space="preserve"> days. The gross TTP (including any suspensions due to requests for clarifications and amendments)</w:t>
      </w:r>
      <w:r>
        <w:rPr>
          <w:rFonts w:ascii="Arial" w:hAnsi="Arial" w:cs="Arial"/>
          <w:sz w:val="20"/>
          <w:szCs w:val="20"/>
        </w:rPr>
        <w:t xml:space="preserve"> </w:t>
      </w:r>
      <w:r w:rsidRPr="001F48CD">
        <w:rPr>
          <w:rFonts w:ascii="Arial" w:hAnsi="Arial" w:cs="Arial"/>
          <w:sz w:val="20"/>
          <w:szCs w:val="20"/>
        </w:rPr>
        <w:t>reached 1</w:t>
      </w:r>
      <w:r w:rsidR="00256EC5">
        <w:rPr>
          <w:rFonts w:ascii="Arial" w:hAnsi="Arial" w:cs="Arial"/>
          <w:sz w:val="20"/>
          <w:szCs w:val="20"/>
        </w:rPr>
        <w:t>00</w:t>
      </w:r>
      <w:r w:rsidRPr="001F48CD">
        <w:rPr>
          <w:rFonts w:ascii="Arial" w:hAnsi="Arial" w:cs="Arial"/>
          <w:sz w:val="20"/>
          <w:szCs w:val="20"/>
        </w:rPr>
        <w:t xml:space="preserve"> days.</w:t>
      </w:r>
    </w:p>
    <w:p w14:paraId="700DACED" w14:textId="77777777" w:rsidR="001F48CD" w:rsidRPr="00256EC5" w:rsidRDefault="001F48CD" w:rsidP="001F48CD">
      <w:pPr>
        <w:jc w:val="both"/>
        <w:rPr>
          <w:rFonts w:ascii="Arial" w:hAnsi="Arial" w:cs="Arial"/>
          <w:sz w:val="20"/>
          <w:szCs w:val="20"/>
        </w:rPr>
      </w:pPr>
      <w:r w:rsidRPr="00256EC5">
        <w:rPr>
          <w:rFonts w:ascii="Arial" w:hAnsi="Arial" w:cs="Arial"/>
          <w:sz w:val="20"/>
          <w:szCs w:val="20"/>
        </w:rPr>
        <w:t>In more detail:</w:t>
      </w:r>
    </w:p>
    <w:p w14:paraId="57B0059E" w14:textId="77777777" w:rsidR="001F48CD" w:rsidRPr="001F48CD" w:rsidRDefault="001F48CD" w:rsidP="001F48CD">
      <w:pPr>
        <w:jc w:val="both"/>
        <w:rPr>
          <w:rFonts w:ascii="Arial" w:hAnsi="Arial" w:cs="Arial"/>
          <w:b/>
          <w:bCs/>
          <w:color w:val="00B0F0"/>
          <w:sz w:val="20"/>
          <w:szCs w:val="20"/>
        </w:rPr>
      </w:pPr>
      <w:r w:rsidRPr="001F48CD">
        <w:rPr>
          <w:rFonts w:ascii="Arial" w:hAnsi="Arial" w:cs="Arial"/>
          <w:b/>
          <w:bCs/>
          <w:color w:val="00B0F0"/>
          <w:sz w:val="20"/>
          <w:szCs w:val="20"/>
        </w:rPr>
        <w:t>FP7</w:t>
      </w:r>
    </w:p>
    <w:p w14:paraId="16D4729D" w14:textId="1ACE1B7D" w:rsidR="001F48CD" w:rsidRPr="00256EC5" w:rsidRDefault="00256EC5" w:rsidP="001F48CD">
      <w:pPr>
        <w:jc w:val="both"/>
        <w:rPr>
          <w:rFonts w:ascii="Arial" w:hAnsi="Arial" w:cs="Arial"/>
          <w:sz w:val="20"/>
          <w:szCs w:val="20"/>
        </w:rPr>
      </w:pPr>
      <w:r>
        <w:rPr>
          <w:rFonts w:ascii="Arial" w:hAnsi="Arial" w:cs="Arial"/>
          <w:sz w:val="20"/>
          <w:szCs w:val="20"/>
        </w:rPr>
        <w:t>3</w:t>
      </w:r>
      <w:r w:rsidR="001F48CD" w:rsidRPr="00256EC5">
        <w:rPr>
          <w:rFonts w:ascii="Arial" w:hAnsi="Arial" w:cs="Arial"/>
          <w:sz w:val="20"/>
          <w:szCs w:val="20"/>
        </w:rPr>
        <w:t xml:space="preserve"> reports were assessed in 202</w:t>
      </w:r>
      <w:r>
        <w:rPr>
          <w:rFonts w:ascii="Arial" w:hAnsi="Arial" w:cs="Arial"/>
          <w:sz w:val="20"/>
          <w:szCs w:val="20"/>
        </w:rPr>
        <w:t>1</w:t>
      </w:r>
      <w:r w:rsidR="001F48CD" w:rsidRPr="00256EC5">
        <w:rPr>
          <w:rFonts w:ascii="Arial" w:hAnsi="Arial" w:cs="Arial"/>
          <w:sz w:val="20"/>
          <w:szCs w:val="20"/>
        </w:rPr>
        <w:t xml:space="preserve"> (</w:t>
      </w:r>
      <w:r>
        <w:rPr>
          <w:rFonts w:ascii="Arial" w:hAnsi="Arial" w:cs="Arial"/>
          <w:sz w:val="20"/>
          <w:szCs w:val="20"/>
        </w:rPr>
        <w:t>4</w:t>
      </w:r>
      <w:r w:rsidR="001F48CD" w:rsidRPr="00256EC5">
        <w:rPr>
          <w:rFonts w:ascii="Arial" w:hAnsi="Arial" w:cs="Arial"/>
          <w:sz w:val="20"/>
          <w:szCs w:val="20"/>
        </w:rPr>
        <w:t xml:space="preserve"> in 20</w:t>
      </w:r>
      <w:r>
        <w:rPr>
          <w:rFonts w:ascii="Arial" w:hAnsi="Arial" w:cs="Arial"/>
          <w:sz w:val="20"/>
          <w:szCs w:val="20"/>
        </w:rPr>
        <w:t>20</w:t>
      </w:r>
      <w:r w:rsidR="001F48CD" w:rsidRPr="00256EC5">
        <w:rPr>
          <w:rFonts w:ascii="Arial" w:hAnsi="Arial" w:cs="Arial"/>
          <w:sz w:val="20"/>
          <w:szCs w:val="20"/>
        </w:rPr>
        <w:t xml:space="preserve">), of which two were final and </w:t>
      </w:r>
      <w:r>
        <w:rPr>
          <w:rFonts w:ascii="Arial" w:hAnsi="Arial" w:cs="Arial"/>
          <w:sz w:val="20"/>
          <w:szCs w:val="20"/>
        </w:rPr>
        <w:t>one</w:t>
      </w:r>
      <w:r w:rsidR="001F48CD" w:rsidRPr="00256EC5">
        <w:rPr>
          <w:rFonts w:ascii="Arial" w:hAnsi="Arial" w:cs="Arial"/>
          <w:sz w:val="20"/>
          <w:szCs w:val="20"/>
        </w:rPr>
        <w:t xml:space="preserve"> interim.</w:t>
      </w:r>
    </w:p>
    <w:p w14:paraId="2F077748" w14:textId="62E8CF23" w:rsidR="001F48CD" w:rsidRPr="00256EC5" w:rsidRDefault="001F48CD" w:rsidP="001F48CD">
      <w:pPr>
        <w:jc w:val="both"/>
        <w:rPr>
          <w:rFonts w:ascii="Arial" w:hAnsi="Arial" w:cs="Arial"/>
          <w:sz w:val="20"/>
          <w:szCs w:val="20"/>
        </w:rPr>
      </w:pPr>
      <w:r w:rsidRPr="00256EC5">
        <w:rPr>
          <w:rFonts w:ascii="Arial" w:hAnsi="Arial" w:cs="Arial"/>
          <w:sz w:val="20"/>
          <w:szCs w:val="20"/>
        </w:rPr>
        <w:t xml:space="preserve">The average TTP of these reports was </w:t>
      </w:r>
      <w:r w:rsidR="00256EC5">
        <w:rPr>
          <w:rFonts w:ascii="Arial" w:hAnsi="Arial" w:cs="Arial"/>
          <w:sz w:val="20"/>
          <w:szCs w:val="20"/>
        </w:rPr>
        <w:t>53</w:t>
      </w:r>
      <w:r w:rsidRPr="00256EC5">
        <w:rPr>
          <w:rFonts w:ascii="Arial" w:hAnsi="Arial" w:cs="Arial"/>
          <w:sz w:val="20"/>
          <w:szCs w:val="20"/>
        </w:rPr>
        <w:t xml:space="preserve"> days (</w:t>
      </w:r>
      <w:r w:rsidR="00256EC5">
        <w:rPr>
          <w:rFonts w:ascii="Arial" w:hAnsi="Arial" w:cs="Arial"/>
          <w:sz w:val="20"/>
          <w:szCs w:val="20"/>
        </w:rPr>
        <w:t>78</w:t>
      </w:r>
      <w:r w:rsidRPr="00256EC5">
        <w:rPr>
          <w:rFonts w:ascii="Arial" w:hAnsi="Arial" w:cs="Arial"/>
          <w:sz w:val="20"/>
          <w:szCs w:val="20"/>
        </w:rPr>
        <w:t xml:space="preserve"> days in 20</w:t>
      </w:r>
      <w:r w:rsidR="00256EC5">
        <w:rPr>
          <w:rFonts w:ascii="Arial" w:hAnsi="Arial" w:cs="Arial"/>
          <w:sz w:val="20"/>
          <w:szCs w:val="20"/>
        </w:rPr>
        <w:t>20</w:t>
      </w:r>
      <w:r w:rsidRPr="00256EC5">
        <w:rPr>
          <w:rFonts w:ascii="Arial" w:hAnsi="Arial" w:cs="Arial"/>
          <w:sz w:val="20"/>
          <w:szCs w:val="20"/>
        </w:rPr>
        <w:t>). The gross TTP (</w:t>
      </w:r>
      <w:r w:rsidR="00256EC5">
        <w:rPr>
          <w:rFonts w:ascii="Arial" w:hAnsi="Arial" w:cs="Arial"/>
          <w:sz w:val="20"/>
          <w:szCs w:val="20"/>
        </w:rPr>
        <w:t>80</w:t>
      </w:r>
      <w:r w:rsidRPr="00256EC5">
        <w:rPr>
          <w:rFonts w:ascii="Arial" w:hAnsi="Arial" w:cs="Arial"/>
          <w:sz w:val="20"/>
          <w:szCs w:val="20"/>
        </w:rPr>
        <w:t xml:space="preserve"> days) </w:t>
      </w:r>
      <w:r w:rsidR="00256EC5">
        <w:rPr>
          <w:rFonts w:ascii="Arial" w:hAnsi="Arial" w:cs="Arial"/>
          <w:sz w:val="20"/>
          <w:szCs w:val="20"/>
        </w:rPr>
        <w:t xml:space="preserve">significantly improved compared to </w:t>
      </w:r>
      <w:r w:rsidRPr="00256EC5">
        <w:rPr>
          <w:rFonts w:ascii="Arial" w:hAnsi="Arial" w:cs="Arial"/>
          <w:sz w:val="20"/>
          <w:szCs w:val="20"/>
        </w:rPr>
        <w:t>20</w:t>
      </w:r>
      <w:r w:rsidR="00256EC5">
        <w:rPr>
          <w:rFonts w:ascii="Arial" w:hAnsi="Arial" w:cs="Arial"/>
          <w:sz w:val="20"/>
          <w:szCs w:val="20"/>
        </w:rPr>
        <w:t>20</w:t>
      </w:r>
      <w:r w:rsidRPr="00256EC5">
        <w:rPr>
          <w:rFonts w:ascii="Arial" w:hAnsi="Arial" w:cs="Arial"/>
          <w:sz w:val="20"/>
          <w:szCs w:val="20"/>
        </w:rPr>
        <w:t xml:space="preserve"> (</w:t>
      </w:r>
      <w:r w:rsidR="00256EC5">
        <w:rPr>
          <w:rFonts w:ascii="Arial" w:hAnsi="Arial" w:cs="Arial"/>
          <w:sz w:val="20"/>
          <w:szCs w:val="20"/>
        </w:rPr>
        <w:t>235</w:t>
      </w:r>
      <w:r w:rsidRPr="00256EC5">
        <w:rPr>
          <w:rFonts w:ascii="Arial" w:hAnsi="Arial" w:cs="Arial"/>
          <w:sz w:val="20"/>
          <w:szCs w:val="20"/>
        </w:rPr>
        <w:t xml:space="preserve"> days)</w:t>
      </w:r>
      <w:r w:rsidR="00256EC5">
        <w:rPr>
          <w:rFonts w:ascii="Arial" w:hAnsi="Arial" w:cs="Arial"/>
          <w:sz w:val="20"/>
          <w:szCs w:val="20"/>
        </w:rPr>
        <w:t>.</w:t>
      </w:r>
    </w:p>
    <w:p w14:paraId="4C77E43D" w14:textId="77777777" w:rsidR="001F48CD" w:rsidRPr="001F48CD" w:rsidRDefault="001F48CD" w:rsidP="001F48CD">
      <w:pPr>
        <w:jc w:val="both"/>
        <w:rPr>
          <w:rFonts w:ascii="Arial" w:hAnsi="Arial" w:cs="Arial"/>
          <w:b/>
          <w:bCs/>
          <w:color w:val="00B0F0"/>
          <w:sz w:val="20"/>
          <w:szCs w:val="20"/>
        </w:rPr>
      </w:pPr>
      <w:r w:rsidRPr="001F48CD">
        <w:rPr>
          <w:rFonts w:ascii="Arial" w:hAnsi="Arial" w:cs="Arial"/>
          <w:b/>
          <w:bCs/>
          <w:color w:val="00B0F0"/>
          <w:sz w:val="20"/>
          <w:szCs w:val="20"/>
        </w:rPr>
        <w:t>H2020</w:t>
      </w:r>
    </w:p>
    <w:p w14:paraId="21C6BCC7" w14:textId="68D026DE" w:rsidR="001F48CD" w:rsidRPr="00256EC5" w:rsidRDefault="001F48CD" w:rsidP="00256EC5">
      <w:pPr>
        <w:jc w:val="both"/>
        <w:rPr>
          <w:rFonts w:ascii="Arial" w:hAnsi="Arial" w:cs="Arial"/>
          <w:sz w:val="20"/>
          <w:szCs w:val="20"/>
        </w:rPr>
      </w:pPr>
      <w:r w:rsidRPr="00256EC5">
        <w:rPr>
          <w:rFonts w:ascii="Arial" w:hAnsi="Arial" w:cs="Arial"/>
          <w:sz w:val="20"/>
          <w:szCs w:val="20"/>
        </w:rPr>
        <w:t xml:space="preserve">In 2020, </w:t>
      </w:r>
      <w:r w:rsidR="00256EC5">
        <w:rPr>
          <w:rFonts w:ascii="Arial" w:hAnsi="Arial" w:cs="Arial"/>
          <w:sz w:val="20"/>
          <w:szCs w:val="20"/>
        </w:rPr>
        <w:t>4</w:t>
      </w:r>
      <w:r w:rsidRPr="00256EC5">
        <w:rPr>
          <w:rFonts w:ascii="Arial" w:hAnsi="Arial" w:cs="Arial"/>
          <w:sz w:val="20"/>
          <w:szCs w:val="20"/>
        </w:rPr>
        <w:t>6 interim and 1</w:t>
      </w:r>
      <w:r w:rsidR="00256EC5">
        <w:rPr>
          <w:rFonts w:ascii="Arial" w:hAnsi="Arial" w:cs="Arial"/>
          <w:sz w:val="20"/>
          <w:szCs w:val="20"/>
        </w:rPr>
        <w:t>6</w:t>
      </w:r>
      <w:r w:rsidRPr="00256EC5">
        <w:rPr>
          <w:rFonts w:ascii="Arial" w:hAnsi="Arial" w:cs="Arial"/>
          <w:sz w:val="20"/>
          <w:szCs w:val="20"/>
        </w:rPr>
        <w:t xml:space="preserve"> final reports were assessed with an average TTP of 6</w:t>
      </w:r>
      <w:r w:rsidR="00256EC5">
        <w:rPr>
          <w:rFonts w:ascii="Arial" w:hAnsi="Arial" w:cs="Arial"/>
          <w:sz w:val="20"/>
          <w:szCs w:val="20"/>
        </w:rPr>
        <w:t>5</w:t>
      </w:r>
      <w:r w:rsidRPr="00256EC5">
        <w:rPr>
          <w:rFonts w:ascii="Arial" w:hAnsi="Arial" w:cs="Arial"/>
          <w:sz w:val="20"/>
          <w:szCs w:val="20"/>
        </w:rPr>
        <w:t xml:space="preserve"> days (</w:t>
      </w:r>
      <w:r w:rsidR="00256EC5">
        <w:rPr>
          <w:rFonts w:ascii="Arial" w:hAnsi="Arial" w:cs="Arial"/>
          <w:sz w:val="20"/>
          <w:szCs w:val="20"/>
        </w:rPr>
        <w:t>66</w:t>
      </w:r>
      <w:r w:rsidRPr="00256EC5">
        <w:rPr>
          <w:rFonts w:ascii="Arial" w:hAnsi="Arial" w:cs="Arial"/>
          <w:sz w:val="20"/>
          <w:szCs w:val="20"/>
        </w:rPr>
        <w:t xml:space="preserve"> in 20</w:t>
      </w:r>
      <w:r w:rsidR="00256EC5">
        <w:rPr>
          <w:rFonts w:ascii="Arial" w:hAnsi="Arial" w:cs="Arial"/>
          <w:sz w:val="20"/>
          <w:szCs w:val="20"/>
        </w:rPr>
        <w:t>20</w:t>
      </w:r>
      <w:r w:rsidRPr="00256EC5">
        <w:rPr>
          <w:rFonts w:ascii="Arial" w:hAnsi="Arial" w:cs="Arial"/>
          <w:sz w:val="20"/>
          <w:szCs w:val="20"/>
        </w:rPr>
        <w:t xml:space="preserve">). The gross time to assess was </w:t>
      </w:r>
      <w:r w:rsidR="00256EC5">
        <w:rPr>
          <w:rFonts w:ascii="Arial" w:hAnsi="Arial" w:cs="Arial"/>
          <w:sz w:val="20"/>
          <w:szCs w:val="20"/>
        </w:rPr>
        <w:t>101</w:t>
      </w:r>
      <w:r w:rsidRPr="00256EC5">
        <w:rPr>
          <w:rFonts w:ascii="Arial" w:hAnsi="Arial" w:cs="Arial"/>
          <w:sz w:val="20"/>
          <w:szCs w:val="20"/>
        </w:rPr>
        <w:t xml:space="preserve"> days</w:t>
      </w:r>
      <w:r w:rsidR="00256EC5">
        <w:rPr>
          <w:rFonts w:ascii="Arial" w:hAnsi="Arial" w:cs="Arial"/>
          <w:sz w:val="20"/>
          <w:szCs w:val="20"/>
        </w:rPr>
        <w:t xml:space="preserve"> (98 in 2020).</w:t>
      </w:r>
    </w:p>
    <w:p w14:paraId="6044D9B6" w14:textId="77777777" w:rsidR="001F48CD" w:rsidRPr="001F48CD" w:rsidRDefault="001F48CD" w:rsidP="001F48CD">
      <w:pPr>
        <w:jc w:val="both"/>
        <w:rPr>
          <w:rFonts w:ascii="Arial" w:hAnsi="Arial" w:cs="Arial"/>
          <w:b/>
          <w:bCs/>
          <w:color w:val="00B0F0"/>
          <w:sz w:val="20"/>
          <w:szCs w:val="20"/>
        </w:rPr>
      </w:pPr>
      <w:r w:rsidRPr="001F48CD">
        <w:rPr>
          <w:rFonts w:ascii="Arial" w:hAnsi="Arial" w:cs="Arial"/>
          <w:b/>
          <w:bCs/>
          <w:color w:val="00B0F0"/>
          <w:sz w:val="20"/>
          <w:szCs w:val="20"/>
        </w:rPr>
        <w:t>Administrative payments</w:t>
      </w:r>
    </w:p>
    <w:p w14:paraId="677B06AF" w14:textId="4E835232" w:rsidR="001F48CD" w:rsidRPr="00256EC5" w:rsidRDefault="001F48CD" w:rsidP="001F48CD">
      <w:pPr>
        <w:jc w:val="both"/>
        <w:rPr>
          <w:rFonts w:ascii="Arial" w:hAnsi="Arial" w:cs="Arial"/>
          <w:sz w:val="20"/>
          <w:szCs w:val="20"/>
        </w:rPr>
      </w:pPr>
      <w:r w:rsidRPr="00256EC5">
        <w:rPr>
          <w:rFonts w:ascii="Arial" w:hAnsi="Arial" w:cs="Arial"/>
          <w:sz w:val="20"/>
          <w:szCs w:val="20"/>
        </w:rPr>
        <w:t>The average TTP for administrative payments (invoices from suppliers of goods, service providers and cost claims from experts/staff) was</w:t>
      </w:r>
      <w:r w:rsidR="00256EC5">
        <w:rPr>
          <w:rFonts w:ascii="Arial" w:hAnsi="Arial" w:cs="Arial"/>
          <w:sz w:val="20"/>
          <w:szCs w:val="20"/>
        </w:rPr>
        <w:t xml:space="preserve"> </w:t>
      </w:r>
      <w:r w:rsidRPr="00256EC5">
        <w:rPr>
          <w:rFonts w:ascii="Arial" w:hAnsi="Arial" w:cs="Arial"/>
          <w:sz w:val="20"/>
          <w:szCs w:val="20"/>
        </w:rPr>
        <w:t>15.</w:t>
      </w:r>
      <w:r w:rsidR="00256EC5">
        <w:rPr>
          <w:rFonts w:ascii="Arial" w:hAnsi="Arial" w:cs="Arial"/>
          <w:sz w:val="20"/>
          <w:szCs w:val="20"/>
        </w:rPr>
        <w:t>1</w:t>
      </w:r>
      <w:r w:rsidRPr="00256EC5">
        <w:rPr>
          <w:rFonts w:ascii="Arial" w:hAnsi="Arial" w:cs="Arial"/>
          <w:sz w:val="20"/>
          <w:szCs w:val="20"/>
        </w:rPr>
        <w:t xml:space="preserve"> days (1</w:t>
      </w:r>
      <w:r w:rsidR="00256EC5">
        <w:rPr>
          <w:rFonts w:ascii="Arial" w:hAnsi="Arial" w:cs="Arial"/>
          <w:sz w:val="20"/>
          <w:szCs w:val="20"/>
        </w:rPr>
        <w:t>5</w:t>
      </w:r>
      <w:r w:rsidRPr="00256EC5">
        <w:rPr>
          <w:rFonts w:ascii="Arial" w:hAnsi="Arial" w:cs="Arial"/>
          <w:sz w:val="20"/>
          <w:szCs w:val="20"/>
        </w:rPr>
        <w:t>.</w:t>
      </w:r>
      <w:r w:rsidR="00256EC5">
        <w:rPr>
          <w:rFonts w:ascii="Arial" w:hAnsi="Arial" w:cs="Arial"/>
          <w:sz w:val="20"/>
          <w:szCs w:val="20"/>
        </w:rPr>
        <w:t>8</w:t>
      </w:r>
      <w:r w:rsidRPr="00256EC5">
        <w:rPr>
          <w:rFonts w:ascii="Arial" w:hAnsi="Arial" w:cs="Arial"/>
          <w:sz w:val="20"/>
          <w:szCs w:val="20"/>
        </w:rPr>
        <w:t xml:space="preserve"> in 20</w:t>
      </w:r>
      <w:r w:rsidR="00256EC5">
        <w:rPr>
          <w:rFonts w:ascii="Arial" w:hAnsi="Arial" w:cs="Arial"/>
          <w:sz w:val="20"/>
          <w:szCs w:val="20"/>
        </w:rPr>
        <w:t>20</w:t>
      </w:r>
      <w:r w:rsidRPr="00256EC5">
        <w:rPr>
          <w:rFonts w:ascii="Arial" w:hAnsi="Arial" w:cs="Arial"/>
          <w:sz w:val="20"/>
          <w:szCs w:val="20"/>
        </w:rPr>
        <w:t xml:space="preserve">). The number of late payments (1%) marked </w:t>
      </w:r>
      <w:r w:rsidRPr="00256EC5">
        <w:rPr>
          <w:rFonts w:ascii="Arial" w:hAnsi="Arial" w:cs="Arial"/>
          <w:sz w:val="20"/>
          <w:szCs w:val="20"/>
        </w:rPr>
        <w:lastRenderedPageBreak/>
        <w:t xml:space="preserve">the best performance in FCH records, improving </w:t>
      </w:r>
      <w:r w:rsidR="00256EC5">
        <w:rPr>
          <w:rFonts w:ascii="Arial" w:hAnsi="Arial" w:cs="Arial"/>
          <w:sz w:val="20"/>
          <w:szCs w:val="20"/>
        </w:rPr>
        <w:t xml:space="preserve">further </w:t>
      </w:r>
      <w:r w:rsidRPr="00256EC5">
        <w:rPr>
          <w:rFonts w:ascii="Arial" w:hAnsi="Arial" w:cs="Arial"/>
          <w:sz w:val="20"/>
          <w:szCs w:val="20"/>
        </w:rPr>
        <w:t>the 20</w:t>
      </w:r>
      <w:r w:rsidR="00256EC5">
        <w:rPr>
          <w:rFonts w:ascii="Arial" w:hAnsi="Arial" w:cs="Arial"/>
          <w:sz w:val="20"/>
          <w:szCs w:val="20"/>
        </w:rPr>
        <w:t>20</w:t>
      </w:r>
      <w:r w:rsidRPr="00256EC5">
        <w:rPr>
          <w:rFonts w:ascii="Arial" w:hAnsi="Arial" w:cs="Arial"/>
          <w:sz w:val="20"/>
          <w:szCs w:val="20"/>
        </w:rPr>
        <w:t xml:space="preserve"> performance</w:t>
      </w:r>
      <w:r w:rsidR="00256EC5">
        <w:rPr>
          <w:rFonts w:ascii="Arial" w:hAnsi="Arial" w:cs="Arial"/>
          <w:sz w:val="20"/>
          <w:szCs w:val="20"/>
        </w:rPr>
        <w:t>.</w:t>
      </w:r>
      <w:r w:rsidR="001C783A">
        <w:rPr>
          <w:rFonts w:ascii="Arial" w:hAnsi="Arial" w:cs="Arial"/>
          <w:sz w:val="20"/>
          <w:szCs w:val="20"/>
        </w:rPr>
        <w:t xml:space="preserve"> </w:t>
      </w:r>
      <w:r w:rsidRPr="00256EC5">
        <w:rPr>
          <w:rFonts w:ascii="Arial" w:hAnsi="Arial" w:cs="Arial"/>
          <w:sz w:val="20"/>
          <w:szCs w:val="20"/>
        </w:rPr>
        <w:t>Strong monitoring measures on the open invoices contributed to this record.</w:t>
      </w:r>
    </w:p>
    <w:p w14:paraId="3D89C091" w14:textId="77777777" w:rsidR="009274A5" w:rsidRPr="009274A5" w:rsidRDefault="009274A5" w:rsidP="00F36073">
      <w:pPr>
        <w:jc w:val="both"/>
        <w:rPr>
          <w:rFonts w:ascii="Arial" w:hAnsi="Arial" w:cs="Arial"/>
          <w:sz w:val="20"/>
          <w:szCs w:val="20"/>
        </w:rPr>
      </w:pPr>
    </w:p>
    <w:p w14:paraId="54A6864D" w14:textId="5B64EA1A" w:rsidR="0054406E" w:rsidRDefault="0054406E" w:rsidP="006131DC">
      <w:pPr>
        <w:pStyle w:val="Heading3"/>
        <w:numPr>
          <w:ilvl w:val="1"/>
          <w:numId w:val="1"/>
        </w:numPr>
        <w:jc w:val="both"/>
        <w:rPr>
          <w:rFonts w:asciiTheme="minorHAnsi" w:hAnsiTheme="minorHAnsi"/>
        </w:rPr>
      </w:pPr>
      <w:bookmarkStart w:id="154" w:name="_Toc98496354"/>
      <w:bookmarkStart w:id="155" w:name="_Toc101516075"/>
      <w:r w:rsidRPr="00896AB4">
        <w:rPr>
          <w:rFonts w:asciiTheme="minorHAnsi" w:hAnsiTheme="minorHAnsi"/>
        </w:rPr>
        <w:t>Procurement and contracts</w:t>
      </w:r>
      <w:bookmarkEnd w:id="154"/>
      <w:bookmarkEnd w:id="155"/>
    </w:p>
    <w:p w14:paraId="28682C03" w14:textId="6B5617D0" w:rsidR="002638D4" w:rsidRPr="002638D4" w:rsidRDefault="002638D4" w:rsidP="002638D4">
      <w:pPr>
        <w:jc w:val="both"/>
        <w:rPr>
          <w:rFonts w:ascii="Arial" w:hAnsi="Arial" w:cs="Arial"/>
        </w:rPr>
      </w:pPr>
      <w:r w:rsidRPr="002638D4">
        <w:rPr>
          <w:rFonts w:ascii="Arial" w:hAnsi="Arial" w:cs="Arial"/>
        </w:rPr>
        <w:t>The tender and contract management has been simplified as far as possible by following the inter-institutional procurement procedures launched</w:t>
      </w:r>
      <w:r>
        <w:rPr>
          <w:rFonts w:ascii="Arial" w:hAnsi="Arial" w:cs="Arial"/>
        </w:rPr>
        <w:t xml:space="preserve"> </w:t>
      </w:r>
      <w:r w:rsidRPr="002638D4">
        <w:rPr>
          <w:rFonts w:ascii="Arial" w:hAnsi="Arial" w:cs="Arial"/>
        </w:rPr>
        <w:t xml:space="preserve">by the EC and using the resulting multi-annual Framework Contracts. </w:t>
      </w:r>
      <w:r>
        <w:rPr>
          <w:rFonts w:ascii="Arial" w:hAnsi="Arial" w:cs="Arial"/>
        </w:rPr>
        <w:t>The</w:t>
      </w:r>
      <w:r w:rsidRPr="002638D4">
        <w:rPr>
          <w:rFonts w:ascii="Arial" w:hAnsi="Arial" w:cs="Arial"/>
        </w:rPr>
        <w:t xml:space="preserve"> JU also cooperates with other Joint Undertakings on tendering</w:t>
      </w:r>
      <w:r>
        <w:rPr>
          <w:rFonts w:ascii="Arial" w:hAnsi="Arial" w:cs="Arial"/>
        </w:rPr>
        <w:t xml:space="preserve"> </w:t>
      </w:r>
      <w:r w:rsidRPr="002638D4">
        <w:rPr>
          <w:rFonts w:ascii="Arial" w:hAnsi="Arial" w:cs="Arial"/>
        </w:rPr>
        <w:t xml:space="preserve">needs </w:t>
      </w:r>
      <w:proofErr w:type="gramStart"/>
      <w:r w:rsidRPr="002638D4">
        <w:rPr>
          <w:rFonts w:ascii="Arial" w:hAnsi="Arial" w:cs="Arial"/>
        </w:rPr>
        <w:t>in order to</w:t>
      </w:r>
      <w:proofErr w:type="gramEnd"/>
      <w:r w:rsidRPr="002638D4">
        <w:rPr>
          <w:rFonts w:ascii="Arial" w:hAnsi="Arial" w:cs="Arial"/>
        </w:rPr>
        <w:t xml:space="preserve"> minimise the administrative effort.</w:t>
      </w:r>
    </w:p>
    <w:p w14:paraId="675CC377" w14:textId="51782804" w:rsidR="002638D4" w:rsidRPr="002638D4" w:rsidRDefault="002638D4" w:rsidP="002638D4">
      <w:pPr>
        <w:jc w:val="both"/>
        <w:rPr>
          <w:rFonts w:ascii="Arial" w:hAnsi="Arial" w:cs="Arial"/>
        </w:rPr>
      </w:pPr>
      <w:r w:rsidRPr="002638D4">
        <w:rPr>
          <w:rFonts w:ascii="Arial" w:hAnsi="Arial" w:cs="Arial"/>
        </w:rPr>
        <w:t xml:space="preserve">As in previous years, most of </w:t>
      </w:r>
      <w:r>
        <w:rPr>
          <w:rFonts w:ascii="Arial" w:hAnsi="Arial" w:cs="Arial"/>
        </w:rPr>
        <w:t>JU’s</w:t>
      </w:r>
      <w:r w:rsidRPr="002638D4">
        <w:rPr>
          <w:rFonts w:ascii="Arial" w:hAnsi="Arial" w:cs="Arial"/>
        </w:rPr>
        <w:t xml:space="preserve"> contracting was carried out under existing multi-annual Framework Contracts, except </w:t>
      </w:r>
      <w:r>
        <w:rPr>
          <w:rFonts w:ascii="Arial" w:hAnsi="Arial" w:cs="Arial"/>
        </w:rPr>
        <w:t xml:space="preserve">mainly </w:t>
      </w:r>
      <w:r w:rsidRPr="002638D4">
        <w:rPr>
          <w:rFonts w:ascii="Arial" w:hAnsi="Arial" w:cs="Arial"/>
        </w:rPr>
        <w:t>for operational</w:t>
      </w:r>
      <w:r>
        <w:rPr>
          <w:rFonts w:ascii="Arial" w:hAnsi="Arial" w:cs="Arial"/>
        </w:rPr>
        <w:t xml:space="preserve"> </w:t>
      </w:r>
      <w:r w:rsidRPr="002638D4">
        <w:rPr>
          <w:rFonts w:ascii="Arial" w:hAnsi="Arial" w:cs="Arial"/>
        </w:rPr>
        <w:t xml:space="preserve">procurement activities (see procurement studies under Section 1.4 Call for tenders). In terms of volume, </w:t>
      </w:r>
      <w:r>
        <w:rPr>
          <w:rFonts w:ascii="Arial" w:hAnsi="Arial" w:cs="Arial"/>
        </w:rPr>
        <w:t xml:space="preserve">operational </w:t>
      </w:r>
      <w:r w:rsidRPr="002638D4">
        <w:rPr>
          <w:rFonts w:ascii="Arial" w:hAnsi="Arial" w:cs="Arial"/>
        </w:rPr>
        <w:t xml:space="preserve">procurement </w:t>
      </w:r>
      <w:r>
        <w:rPr>
          <w:rFonts w:ascii="Arial" w:hAnsi="Arial" w:cs="Arial"/>
        </w:rPr>
        <w:t>activities, IT services and the organisation of European Hydrogen week for 2021</w:t>
      </w:r>
      <w:r w:rsidRPr="002638D4">
        <w:rPr>
          <w:rFonts w:ascii="Arial" w:hAnsi="Arial" w:cs="Arial"/>
        </w:rPr>
        <w:t xml:space="preserve"> were the </w:t>
      </w:r>
      <w:r>
        <w:rPr>
          <w:rFonts w:ascii="Arial" w:hAnsi="Arial" w:cs="Arial"/>
        </w:rPr>
        <w:t>contracts with the highest value.</w:t>
      </w:r>
    </w:p>
    <w:p w14:paraId="5FD565B6" w14:textId="554BAFE3" w:rsidR="002638D4" w:rsidRPr="002638D4" w:rsidRDefault="002638D4" w:rsidP="002638D4">
      <w:pPr>
        <w:jc w:val="both"/>
        <w:rPr>
          <w:rFonts w:ascii="Arial" w:hAnsi="Arial" w:cs="Arial"/>
        </w:rPr>
      </w:pPr>
      <w:r w:rsidRPr="002638D4">
        <w:rPr>
          <w:rFonts w:ascii="Arial" w:hAnsi="Arial" w:cs="Arial"/>
        </w:rPr>
        <w:t>Launching and publishing a call for tender as well as receiving and opening tenders has been simplified by using eTendering, eNotices and</w:t>
      </w:r>
      <w:r>
        <w:rPr>
          <w:rFonts w:ascii="Arial" w:hAnsi="Arial" w:cs="Arial"/>
        </w:rPr>
        <w:t xml:space="preserve"> </w:t>
      </w:r>
      <w:r w:rsidRPr="002638D4">
        <w:rPr>
          <w:rFonts w:ascii="Arial" w:hAnsi="Arial" w:cs="Arial"/>
        </w:rPr>
        <w:t xml:space="preserve">eSubmission modules. </w:t>
      </w:r>
      <w:r>
        <w:rPr>
          <w:rFonts w:ascii="Arial" w:hAnsi="Arial" w:cs="Arial"/>
        </w:rPr>
        <w:t xml:space="preserve">The latter </w:t>
      </w:r>
      <w:r w:rsidRPr="002638D4">
        <w:rPr>
          <w:rFonts w:ascii="Arial" w:hAnsi="Arial" w:cs="Arial"/>
        </w:rPr>
        <w:t>enable</w:t>
      </w:r>
      <w:r>
        <w:rPr>
          <w:rFonts w:ascii="Arial" w:hAnsi="Arial" w:cs="Arial"/>
        </w:rPr>
        <w:t>s</w:t>
      </w:r>
      <w:r w:rsidRPr="002638D4">
        <w:rPr>
          <w:rFonts w:ascii="Arial" w:hAnsi="Arial" w:cs="Arial"/>
        </w:rPr>
        <w:t xml:space="preserve"> the automatic registration of tenders with the EC Document Management</w:t>
      </w:r>
      <w:r>
        <w:rPr>
          <w:rFonts w:ascii="Arial" w:hAnsi="Arial" w:cs="Arial"/>
        </w:rPr>
        <w:t xml:space="preserve"> </w:t>
      </w:r>
      <w:r w:rsidRPr="002638D4">
        <w:rPr>
          <w:rFonts w:ascii="Arial" w:hAnsi="Arial" w:cs="Arial"/>
        </w:rPr>
        <w:t xml:space="preserve">IT System (ARES). The JU is using the latest version of eSubmission and thus the publication, </w:t>
      </w:r>
      <w:proofErr w:type="gramStart"/>
      <w:r w:rsidRPr="002638D4">
        <w:rPr>
          <w:rFonts w:ascii="Arial" w:hAnsi="Arial" w:cs="Arial"/>
        </w:rPr>
        <w:t>submission</w:t>
      </w:r>
      <w:proofErr w:type="gramEnd"/>
      <w:r w:rsidRPr="002638D4">
        <w:rPr>
          <w:rFonts w:ascii="Arial" w:hAnsi="Arial" w:cs="Arial"/>
        </w:rPr>
        <w:t xml:space="preserve"> and reception of offers</w:t>
      </w:r>
      <w:r>
        <w:rPr>
          <w:rFonts w:ascii="Arial" w:hAnsi="Arial" w:cs="Arial"/>
        </w:rPr>
        <w:t xml:space="preserve"> and</w:t>
      </w:r>
      <w:r w:rsidRPr="002638D4">
        <w:rPr>
          <w:rFonts w:ascii="Arial" w:hAnsi="Arial" w:cs="Arial"/>
        </w:rPr>
        <w:t xml:space="preserve"> opening</w:t>
      </w:r>
      <w:r>
        <w:rPr>
          <w:rFonts w:ascii="Arial" w:hAnsi="Arial" w:cs="Arial"/>
        </w:rPr>
        <w:t xml:space="preserve"> </w:t>
      </w:r>
      <w:r w:rsidRPr="002638D4">
        <w:rPr>
          <w:rFonts w:ascii="Arial" w:hAnsi="Arial" w:cs="Arial"/>
        </w:rPr>
        <w:t>stages are now fully digital.</w:t>
      </w:r>
    </w:p>
    <w:p w14:paraId="68DED256" w14:textId="73FDB176" w:rsidR="002638D4" w:rsidRPr="002638D4" w:rsidRDefault="002638D4" w:rsidP="002638D4">
      <w:pPr>
        <w:jc w:val="both"/>
        <w:rPr>
          <w:rFonts w:ascii="Arial" w:hAnsi="Arial" w:cs="Arial"/>
        </w:rPr>
      </w:pPr>
      <w:r w:rsidRPr="002638D4">
        <w:rPr>
          <w:rFonts w:ascii="Arial" w:hAnsi="Arial" w:cs="Arial"/>
        </w:rPr>
        <w:t xml:space="preserve">In addition, </w:t>
      </w:r>
      <w:r>
        <w:rPr>
          <w:rFonts w:ascii="Arial" w:hAnsi="Arial" w:cs="Arial"/>
        </w:rPr>
        <w:t>the</w:t>
      </w:r>
      <w:r w:rsidRPr="002638D4">
        <w:rPr>
          <w:rFonts w:ascii="Arial" w:hAnsi="Arial" w:cs="Arial"/>
        </w:rPr>
        <w:t xml:space="preserve"> JU </w:t>
      </w:r>
      <w:r>
        <w:rPr>
          <w:rFonts w:ascii="Arial" w:hAnsi="Arial" w:cs="Arial"/>
        </w:rPr>
        <w:t>made use of</w:t>
      </w:r>
      <w:r w:rsidRPr="002638D4">
        <w:rPr>
          <w:rFonts w:ascii="Arial" w:hAnsi="Arial" w:cs="Arial"/>
        </w:rPr>
        <w:t xml:space="preserve"> EU Sign, a software solution provided by the EC’s DG DIGIT which allows a qualified electronic signature</w:t>
      </w:r>
      <w:r>
        <w:rPr>
          <w:rFonts w:ascii="Arial" w:hAnsi="Arial" w:cs="Arial"/>
        </w:rPr>
        <w:t xml:space="preserve"> </w:t>
      </w:r>
      <w:r w:rsidRPr="002638D4">
        <w:rPr>
          <w:rFonts w:ascii="Arial" w:hAnsi="Arial" w:cs="Arial"/>
        </w:rPr>
        <w:t xml:space="preserve">to be applied to documents. The </w:t>
      </w:r>
      <w:r>
        <w:rPr>
          <w:rFonts w:ascii="Arial" w:hAnsi="Arial" w:cs="Arial"/>
        </w:rPr>
        <w:t>Programme Office</w:t>
      </w:r>
      <w:r w:rsidRPr="002638D4">
        <w:rPr>
          <w:rFonts w:ascii="Arial" w:hAnsi="Arial" w:cs="Arial"/>
        </w:rPr>
        <w:t xml:space="preserve"> now applies a </w:t>
      </w:r>
      <w:r>
        <w:rPr>
          <w:rFonts w:ascii="Arial" w:hAnsi="Arial" w:cs="Arial"/>
        </w:rPr>
        <w:t>Qualified Electronic Signature (</w:t>
      </w:r>
      <w:r w:rsidRPr="002638D4">
        <w:rPr>
          <w:rFonts w:ascii="Arial" w:hAnsi="Arial" w:cs="Arial"/>
        </w:rPr>
        <w:t>QES</w:t>
      </w:r>
      <w:r>
        <w:rPr>
          <w:rFonts w:ascii="Arial" w:hAnsi="Arial" w:cs="Arial"/>
        </w:rPr>
        <w:t>)</w:t>
      </w:r>
      <w:r w:rsidRPr="002638D4">
        <w:rPr>
          <w:rFonts w:ascii="Arial" w:hAnsi="Arial" w:cs="Arial"/>
        </w:rPr>
        <w:t xml:space="preserve"> on its contracts, which facilitates business processes by significantly reducing the</w:t>
      </w:r>
      <w:r>
        <w:rPr>
          <w:rFonts w:ascii="Arial" w:hAnsi="Arial" w:cs="Arial"/>
        </w:rPr>
        <w:t xml:space="preserve"> </w:t>
      </w:r>
      <w:r w:rsidRPr="002638D4">
        <w:rPr>
          <w:rFonts w:ascii="Arial" w:hAnsi="Arial" w:cs="Arial"/>
        </w:rPr>
        <w:t>time and cost of signing a contract in blue ink. In addition, QES – as applied via EU Sign – is legally binding as it is compliant with EU Regulation</w:t>
      </w:r>
      <w:r>
        <w:rPr>
          <w:rFonts w:ascii="Arial" w:hAnsi="Arial" w:cs="Arial"/>
        </w:rPr>
        <w:t xml:space="preserve"> </w:t>
      </w:r>
      <w:r w:rsidRPr="002638D4">
        <w:rPr>
          <w:rFonts w:ascii="Arial" w:hAnsi="Arial" w:cs="Arial"/>
        </w:rPr>
        <w:t>No. 910/2014 (eIDAS Regulation) for electronic transactions within the internal European market and provides a higher level of technical security.</w:t>
      </w:r>
    </w:p>
    <w:p w14:paraId="473828F3" w14:textId="706DCBE3" w:rsidR="002638D4" w:rsidRPr="002638D4" w:rsidRDefault="002638D4" w:rsidP="002638D4">
      <w:pPr>
        <w:jc w:val="both"/>
        <w:rPr>
          <w:rFonts w:ascii="Arial" w:hAnsi="Arial" w:cs="Arial"/>
        </w:rPr>
      </w:pPr>
      <w:r w:rsidRPr="002638D4">
        <w:rPr>
          <w:rFonts w:ascii="Arial" w:hAnsi="Arial" w:cs="Arial"/>
        </w:rPr>
        <w:t>The table below gives an overview of the contracts awarded in 202</w:t>
      </w:r>
      <w:r>
        <w:rPr>
          <w:rFonts w:ascii="Arial" w:hAnsi="Arial" w:cs="Arial"/>
        </w:rPr>
        <w:t>1</w:t>
      </w:r>
      <w:r w:rsidRPr="002638D4">
        <w:rPr>
          <w:rFonts w:ascii="Arial" w:hAnsi="Arial" w:cs="Arial"/>
        </w:rPr>
        <w:t>, including the procedure used in each case and the name of the contractor(s).</w:t>
      </w:r>
    </w:p>
    <w:p w14:paraId="4975C3AF" w14:textId="3126A0FA" w:rsidR="002638D4" w:rsidRDefault="002638D4" w:rsidP="002638D4">
      <w:pPr>
        <w:jc w:val="both"/>
        <w:rPr>
          <w:rFonts w:ascii="Arial" w:hAnsi="Arial" w:cs="Arial"/>
        </w:rPr>
      </w:pPr>
      <w:r w:rsidRPr="002638D4">
        <w:rPr>
          <w:rFonts w:ascii="Arial" w:hAnsi="Arial" w:cs="Arial"/>
        </w:rPr>
        <w:t xml:space="preserve">Only those contracts with a value exceeding EUR 15 000 are listed. </w:t>
      </w:r>
      <w:r w:rsidR="0014788A">
        <w:rPr>
          <w:rFonts w:ascii="Arial" w:hAnsi="Arial" w:cs="Arial"/>
        </w:rPr>
        <w:t>In case of specific contracts implementing framework ones, the information is aggregated per contractor under the same framework contract.</w:t>
      </w:r>
    </w:p>
    <w:p w14:paraId="1A934225" w14:textId="4BABFBDC" w:rsidR="002638D4" w:rsidRPr="008A4999" w:rsidRDefault="002638D4" w:rsidP="002638D4">
      <w:pPr>
        <w:jc w:val="both"/>
        <w:rPr>
          <w:rFonts w:ascii="Arial" w:hAnsi="Arial" w:cs="Arial"/>
          <w:b/>
          <w:bCs/>
          <w:sz w:val="20"/>
          <w:szCs w:val="20"/>
        </w:rPr>
      </w:pPr>
      <w:r w:rsidRPr="008A4999">
        <w:rPr>
          <w:rFonts w:ascii="Arial" w:hAnsi="Arial" w:cs="Arial"/>
          <w:b/>
          <w:bCs/>
          <w:sz w:val="20"/>
          <w:szCs w:val="20"/>
        </w:rPr>
        <w:t xml:space="preserve">TABLE </w:t>
      </w:r>
      <w:r w:rsidR="000C5BE7">
        <w:rPr>
          <w:rFonts w:ascii="Arial" w:hAnsi="Arial" w:cs="Arial"/>
          <w:b/>
          <w:bCs/>
          <w:sz w:val="20"/>
          <w:szCs w:val="20"/>
        </w:rPr>
        <w:t>2.4.1</w:t>
      </w:r>
      <w:r w:rsidRPr="008A4999">
        <w:rPr>
          <w:rFonts w:ascii="Arial" w:hAnsi="Arial" w:cs="Arial"/>
          <w:b/>
          <w:bCs/>
          <w:sz w:val="20"/>
          <w:szCs w:val="20"/>
        </w:rPr>
        <w:t xml:space="preserve">: CONTRACTS AWARDED IN </w:t>
      </w:r>
      <w:r w:rsidR="008E5F2B">
        <w:rPr>
          <w:rFonts w:ascii="Arial" w:hAnsi="Arial" w:cs="Arial"/>
          <w:b/>
          <w:bCs/>
          <w:sz w:val="20"/>
          <w:szCs w:val="20"/>
        </w:rPr>
        <w:t>2021</w:t>
      </w:r>
      <w:r w:rsidR="008E5F2B" w:rsidRPr="008A4999">
        <w:rPr>
          <w:rFonts w:ascii="Arial" w:hAnsi="Arial" w:cs="Arial"/>
          <w:b/>
          <w:bCs/>
          <w:sz w:val="20"/>
          <w:szCs w:val="20"/>
        </w:rPr>
        <w:t xml:space="preserve"> </w:t>
      </w:r>
      <w:r w:rsidRPr="008A4999">
        <w:rPr>
          <w:rFonts w:ascii="Arial" w:hAnsi="Arial" w:cs="Arial"/>
          <w:b/>
          <w:bCs/>
          <w:sz w:val="20"/>
          <w:szCs w:val="20"/>
        </w:rPr>
        <w:t>(CONTRACTS OF &gt; EUR 15 000)</w:t>
      </w:r>
    </w:p>
    <w:tbl>
      <w:tblPr>
        <w:tblW w:w="11624" w:type="dxa"/>
        <w:tblInd w:w="-1139" w:type="dxa"/>
        <w:tblLook w:val="04A0" w:firstRow="1" w:lastRow="0" w:firstColumn="1" w:lastColumn="0" w:noHBand="0" w:noVBand="1"/>
      </w:tblPr>
      <w:tblGrid>
        <w:gridCol w:w="1701"/>
        <w:gridCol w:w="1985"/>
        <w:gridCol w:w="1984"/>
        <w:gridCol w:w="1560"/>
        <w:gridCol w:w="2268"/>
        <w:gridCol w:w="2126"/>
      </w:tblGrid>
      <w:tr w:rsidR="0014788A" w:rsidRPr="0014788A" w14:paraId="70AA76FB" w14:textId="77777777" w:rsidTr="0014788A">
        <w:trPr>
          <w:trHeight w:val="870"/>
        </w:trPr>
        <w:tc>
          <w:tcPr>
            <w:tcW w:w="1701"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E467BB8" w14:textId="77777777" w:rsidR="0014788A" w:rsidRPr="0014788A" w:rsidRDefault="0014788A" w:rsidP="0014788A">
            <w:pPr>
              <w:spacing w:after="0" w:line="240" w:lineRule="auto"/>
              <w:jc w:val="center"/>
              <w:rPr>
                <w:rFonts w:eastAsia="Times New Roman" w:cs="Calibri"/>
                <w:b/>
                <w:bCs/>
                <w:i/>
                <w:iCs/>
                <w:color w:val="000000"/>
                <w:lang w:eastAsia="en-GB"/>
              </w:rPr>
            </w:pPr>
            <w:r w:rsidRPr="0014788A">
              <w:rPr>
                <w:rFonts w:eastAsia="Times New Roman" w:cs="Calibri"/>
                <w:b/>
                <w:bCs/>
                <w:i/>
                <w:iCs/>
                <w:color w:val="000000"/>
                <w:lang w:eastAsia="en-GB"/>
              </w:rPr>
              <w:t>Type of contract</w:t>
            </w:r>
          </w:p>
        </w:tc>
        <w:tc>
          <w:tcPr>
            <w:tcW w:w="1985" w:type="dxa"/>
            <w:tcBorders>
              <w:top w:val="single" w:sz="4" w:space="0" w:color="auto"/>
              <w:left w:val="nil"/>
              <w:bottom w:val="single" w:sz="4" w:space="0" w:color="auto"/>
              <w:right w:val="single" w:sz="4" w:space="0" w:color="auto"/>
            </w:tcBorders>
            <w:shd w:val="clear" w:color="000000" w:fill="92D050"/>
            <w:noWrap/>
            <w:vAlign w:val="center"/>
            <w:hideMark/>
          </w:tcPr>
          <w:p w14:paraId="310520C8" w14:textId="77777777" w:rsidR="0014788A" w:rsidRPr="0014788A" w:rsidRDefault="0014788A" w:rsidP="0014788A">
            <w:pPr>
              <w:spacing w:after="0" w:line="240" w:lineRule="auto"/>
              <w:jc w:val="center"/>
              <w:rPr>
                <w:rFonts w:eastAsia="Times New Roman" w:cs="Calibri"/>
                <w:b/>
                <w:bCs/>
                <w:i/>
                <w:iCs/>
                <w:color w:val="000000"/>
                <w:lang w:eastAsia="en-GB"/>
              </w:rPr>
            </w:pPr>
            <w:r w:rsidRPr="0014788A">
              <w:rPr>
                <w:rFonts w:eastAsia="Times New Roman" w:cs="Calibri"/>
                <w:b/>
                <w:bCs/>
                <w:i/>
                <w:iCs/>
                <w:color w:val="000000"/>
                <w:lang w:eastAsia="en-GB"/>
              </w:rPr>
              <w:t>Contract title</w:t>
            </w:r>
          </w:p>
        </w:tc>
        <w:tc>
          <w:tcPr>
            <w:tcW w:w="1984" w:type="dxa"/>
            <w:tcBorders>
              <w:top w:val="single" w:sz="4" w:space="0" w:color="auto"/>
              <w:left w:val="nil"/>
              <w:bottom w:val="single" w:sz="4" w:space="0" w:color="auto"/>
              <w:right w:val="single" w:sz="4" w:space="0" w:color="auto"/>
            </w:tcBorders>
            <w:shd w:val="clear" w:color="000000" w:fill="92D050"/>
            <w:vAlign w:val="center"/>
            <w:hideMark/>
          </w:tcPr>
          <w:p w14:paraId="2CC75CEB" w14:textId="77777777" w:rsidR="0014788A" w:rsidRPr="0014788A" w:rsidRDefault="0014788A" w:rsidP="0014788A">
            <w:pPr>
              <w:spacing w:after="0" w:line="240" w:lineRule="auto"/>
              <w:jc w:val="center"/>
              <w:rPr>
                <w:rFonts w:eastAsia="Times New Roman" w:cs="Calibri"/>
                <w:b/>
                <w:bCs/>
                <w:i/>
                <w:iCs/>
                <w:color w:val="000000"/>
                <w:lang w:eastAsia="en-GB"/>
              </w:rPr>
            </w:pPr>
            <w:r w:rsidRPr="0014788A">
              <w:rPr>
                <w:rFonts w:eastAsia="Times New Roman" w:cs="Calibri"/>
                <w:b/>
                <w:bCs/>
                <w:i/>
                <w:iCs/>
                <w:color w:val="000000"/>
                <w:lang w:eastAsia="en-GB"/>
              </w:rPr>
              <w:t>Contract reference</w:t>
            </w:r>
          </w:p>
        </w:tc>
        <w:tc>
          <w:tcPr>
            <w:tcW w:w="1560" w:type="dxa"/>
            <w:tcBorders>
              <w:top w:val="single" w:sz="4" w:space="0" w:color="auto"/>
              <w:left w:val="nil"/>
              <w:bottom w:val="single" w:sz="4" w:space="0" w:color="auto"/>
              <w:right w:val="single" w:sz="4" w:space="0" w:color="auto"/>
            </w:tcBorders>
            <w:shd w:val="clear" w:color="000000" w:fill="92D050"/>
            <w:vAlign w:val="center"/>
            <w:hideMark/>
          </w:tcPr>
          <w:p w14:paraId="7744690D" w14:textId="77777777" w:rsidR="0014788A" w:rsidRPr="0014788A" w:rsidRDefault="0014788A" w:rsidP="0014788A">
            <w:pPr>
              <w:spacing w:after="0" w:line="240" w:lineRule="auto"/>
              <w:jc w:val="center"/>
              <w:rPr>
                <w:rFonts w:eastAsia="Times New Roman" w:cs="Calibri"/>
                <w:b/>
                <w:bCs/>
                <w:i/>
                <w:iCs/>
                <w:color w:val="000000"/>
                <w:lang w:eastAsia="en-GB"/>
              </w:rPr>
            </w:pPr>
            <w:r w:rsidRPr="0014788A">
              <w:rPr>
                <w:rFonts w:eastAsia="Times New Roman" w:cs="Calibri"/>
                <w:b/>
                <w:bCs/>
                <w:i/>
                <w:iCs/>
                <w:color w:val="000000"/>
                <w:lang w:eastAsia="en-GB"/>
              </w:rPr>
              <w:t>Selection procedure (if applicable for contract awards)</w:t>
            </w:r>
          </w:p>
        </w:tc>
        <w:tc>
          <w:tcPr>
            <w:tcW w:w="2268" w:type="dxa"/>
            <w:tcBorders>
              <w:top w:val="single" w:sz="4" w:space="0" w:color="auto"/>
              <w:left w:val="nil"/>
              <w:bottom w:val="single" w:sz="4" w:space="0" w:color="auto"/>
              <w:right w:val="single" w:sz="4" w:space="0" w:color="auto"/>
            </w:tcBorders>
            <w:shd w:val="clear" w:color="000000" w:fill="92D050"/>
            <w:noWrap/>
            <w:vAlign w:val="center"/>
            <w:hideMark/>
          </w:tcPr>
          <w:p w14:paraId="167F1515" w14:textId="77777777" w:rsidR="0014788A" w:rsidRPr="0014788A" w:rsidRDefault="0014788A" w:rsidP="0014788A">
            <w:pPr>
              <w:spacing w:after="0" w:line="240" w:lineRule="auto"/>
              <w:jc w:val="center"/>
              <w:rPr>
                <w:rFonts w:eastAsia="Times New Roman" w:cs="Calibri"/>
                <w:b/>
                <w:bCs/>
                <w:i/>
                <w:iCs/>
                <w:color w:val="000000"/>
                <w:lang w:eastAsia="en-GB"/>
              </w:rPr>
            </w:pPr>
            <w:r w:rsidRPr="0014788A">
              <w:rPr>
                <w:rFonts w:eastAsia="Times New Roman" w:cs="Calibri"/>
                <w:b/>
                <w:bCs/>
                <w:i/>
                <w:iCs/>
                <w:color w:val="000000"/>
                <w:lang w:eastAsia="en-GB"/>
              </w:rPr>
              <w:t>Name of contractor</w:t>
            </w:r>
          </w:p>
        </w:tc>
        <w:tc>
          <w:tcPr>
            <w:tcW w:w="2126" w:type="dxa"/>
            <w:tcBorders>
              <w:top w:val="single" w:sz="4" w:space="0" w:color="auto"/>
              <w:left w:val="nil"/>
              <w:bottom w:val="single" w:sz="4" w:space="0" w:color="auto"/>
              <w:right w:val="single" w:sz="4" w:space="0" w:color="auto"/>
            </w:tcBorders>
            <w:shd w:val="clear" w:color="000000" w:fill="92D050"/>
            <w:noWrap/>
            <w:vAlign w:val="center"/>
            <w:hideMark/>
          </w:tcPr>
          <w:p w14:paraId="245875C3" w14:textId="77777777" w:rsidR="0014788A" w:rsidRPr="0014788A" w:rsidRDefault="0014788A" w:rsidP="0014788A">
            <w:pPr>
              <w:spacing w:after="0" w:line="240" w:lineRule="auto"/>
              <w:jc w:val="center"/>
              <w:rPr>
                <w:rFonts w:eastAsia="Times New Roman" w:cs="Calibri"/>
                <w:b/>
                <w:bCs/>
                <w:i/>
                <w:iCs/>
                <w:color w:val="000000"/>
                <w:lang w:eastAsia="en-GB"/>
              </w:rPr>
            </w:pPr>
            <w:r w:rsidRPr="0014788A">
              <w:rPr>
                <w:rFonts w:eastAsia="Times New Roman" w:cs="Calibri"/>
                <w:b/>
                <w:bCs/>
                <w:i/>
                <w:iCs/>
                <w:color w:val="000000"/>
                <w:lang w:eastAsia="en-GB"/>
              </w:rPr>
              <w:t>Amount</w:t>
            </w:r>
          </w:p>
        </w:tc>
      </w:tr>
      <w:tr w:rsidR="0014788A" w:rsidRPr="0014788A" w14:paraId="6C738A09" w14:textId="77777777" w:rsidTr="0014788A">
        <w:trPr>
          <w:trHeight w:val="5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6A35D6A"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Specific contracts</w:t>
            </w:r>
          </w:p>
        </w:tc>
        <w:tc>
          <w:tcPr>
            <w:tcW w:w="1985" w:type="dxa"/>
            <w:tcBorders>
              <w:top w:val="nil"/>
              <w:left w:val="nil"/>
              <w:bottom w:val="single" w:sz="4" w:space="0" w:color="auto"/>
              <w:right w:val="single" w:sz="4" w:space="0" w:color="auto"/>
            </w:tcBorders>
            <w:shd w:val="clear" w:color="auto" w:fill="auto"/>
            <w:vAlign w:val="center"/>
            <w:hideMark/>
          </w:tcPr>
          <w:p w14:paraId="54438A71" w14:textId="77777777" w:rsidR="0014788A" w:rsidRPr="0014788A" w:rsidRDefault="0014788A" w:rsidP="0014788A">
            <w:pPr>
              <w:spacing w:after="0" w:line="240" w:lineRule="auto"/>
              <w:rPr>
                <w:rFonts w:eastAsia="Times New Roman" w:cs="Calibri"/>
                <w:i/>
                <w:iCs/>
                <w:color w:val="000000"/>
                <w:lang w:eastAsia="en-GB"/>
              </w:rPr>
            </w:pPr>
            <w:r w:rsidRPr="0014788A">
              <w:rPr>
                <w:rFonts w:eastAsia="Times New Roman" w:cs="Calibri"/>
                <w:i/>
                <w:iCs/>
                <w:color w:val="000000"/>
                <w:lang w:eastAsia="en-GB"/>
              </w:rPr>
              <w:t>2 specific contracts under FWC</w:t>
            </w:r>
          </w:p>
        </w:tc>
        <w:tc>
          <w:tcPr>
            <w:tcW w:w="1984" w:type="dxa"/>
            <w:tcBorders>
              <w:top w:val="nil"/>
              <w:left w:val="nil"/>
              <w:bottom w:val="single" w:sz="4" w:space="0" w:color="auto"/>
              <w:right w:val="single" w:sz="4" w:space="0" w:color="auto"/>
            </w:tcBorders>
            <w:shd w:val="clear" w:color="auto" w:fill="auto"/>
            <w:vAlign w:val="center"/>
            <w:hideMark/>
          </w:tcPr>
          <w:p w14:paraId="3E22F036"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Specific contract No14 and No15</w:t>
            </w:r>
          </w:p>
        </w:tc>
        <w:tc>
          <w:tcPr>
            <w:tcW w:w="1560" w:type="dxa"/>
            <w:tcBorders>
              <w:top w:val="nil"/>
              <w:left w:val="nil"/>
              <w:bottom w:val="single" w:sz="4" w:space="0" w:color="auto"/>
              <w:right w:val="single" w:sz="4" w:space="0" w:color="auto"/>
            </w:tcBorders>
            <w:shd w:val="clear" w:color="auto" w:fill="auto"/>
            <w:vAlign w:val="center"/>
            <w:hideMark/>
          </w:tcPr>
          <w:p w14:paraId="5D661551" w14:textId="77777777" w:rsidR="0014788A" w:rsidRPr="0014788A" w:rsidRDefault="0014788A" w:rsidP="0014788A">
            <w:pPr>
              <w:spacing w:after="0" w:line="240" w:lineRule="auto"/>
              <w:jc w:val="center"/>
              <w:rPr>
                <w:rFonts w:eastAsia="Times New Roman" w:cs="Calibri"/>
                <w:color w:val="000000"/>
                <w:lang w:eastAsia="en-GB"/>
              </w:rPr>
            </w:pPr>
            <w:r w:rsidRPr="0014788A">
              <w:rPr>
                <w:rFonts w:eastAsia="Times New Roman" w:cs="Calibri"/>
                <w:color w:val="000000"/>
                <w:lang w:eastAsia="en-GB"/>
              </w:rPr>
              <w:t>Specific contract under framework</w:t>
            </w:r>
          </w:p>
        </w:tc>
        <w:tc>
          <w:tcPr>
            <w:tcW w:w="2268" w:type="dxa"/>
            <w:tcBorders>
              <w:top w:val="nil"/>
              <w:left w:val="nil"/>
              <w:bottom w:val="single" w:sz="4" w:space="0" w:color="auto"/>
              <w:right w:val="single" w:sz="4" w:space="0" w:color="auto"/>
            </w:tcBorders>
            <w:shd w:val="clear" w:color="auto" w:fill="auto"/>
            <w:vAlign w:val="center"/>
            <w:hideMark/>
          </w:tcPr>
          <w:p w14:paraId="304CAC21"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REALDOLMEN N.V.</w:t>
            </w:r>
          </w:p>
        </w:tc>
        <w:tc>
          <w:tcPr>
            <w:tcW w:w="2126" w:type="dxa"/>
            <w:tcBorders>
              <w:top w:val="nil"/>
              <w:left w:val="nil"/>
              <w:bottom w:val="single" w:sz="4" w:space="0" w:color="auto"/>
              <w:right w:val="single" w:sz="4" w:space="0" w:color="auto"/>
            </w:tcBorders>
            <w:shd w:val="clear" w:color="auto" w:fill="auto"/>
            <w:vAlign w:val="center"/>
            <w:hideMark/>
          </w:tcPr>
          <w:p w14:paraId="08743074"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 xml:space="preserve"> €          649,308.53 </w:t>
            </w:r>
          </w:p>
        </w:tc>
      </w:tr>
      <w:tr w:rsidR="0014788A" w:rsidRPr="0014788A" w14:paraId="1963AED3" w14:textId="77777777" w:rsidTr="0014788A">
        <w:trPr>
          <w:trHeight w:val="5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27836871"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Direct service contract</w:t>
            </w:r>
          </w:p>
        </w:tc>
        <w:tc>
          <w:tcPr>
            <w:tcW w:w="1985" w:type="dxa"/>
            <w:tcBorders>
              <w:top w:val="nil"/>
              <w:left w:val="nil"/>
              <w:bottom w:val="single" w:sz="4" w:space="0" w:color="auto"/>
              <w:right w:val="single" w:sz="4" w:space="0" w:color="auto"/>
            </w:tcBorders>
            <w:shd w:val="clear" w:color="auto" w:fill="auto"/>
            <w:noWrap/>
            <w:vAlign w:val="center"/>
            <w:hideMark/>
          </w:tcPr>
          <w:p w14:paraId="774A838D"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Study Hydrogen in ports</w:t>
            </w:r>
          </w:p>
        </w:tc>
        <w:tc>
          <w:tcPr>
            <w:tcW w:w="1984" w:type="dxa"/>
            <w:tcBorders>
              <w:top w:val="nil"/>
              <w:left w:val="nil"/>
              <w:bottom w:val="single" w:sz="4" w:space="0" w:color="auto"/>
              <w:right w:val="single" w:sz="4" w:space="0" w:color="auto"/>
            </w:tcBorders>
            <w:shd w:val="clear" w:color="auto" w:fill="auto"/>
            <w:noWrap/>
            <w:vAlign w:val="center"/>
            <w:hideMark/>
          </w:tcPr>
          <w:p w14:paraId="00A5A386"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FCH/OP/Contract 300</w:t>
            </w:r>
          </w:p>
        </w:tc>
        <w:tc>
          <w:tcPr>
            <w:tcW w:w="1560" w:type="dxa"/>
            <w:tcBorders>
              <w:top w:val="nil"/>
              <w:left w:val="nil"/>
              <w:bottom w:val="single" w:sz="4" w:space="0" w:color="auto"/>
              <w:right w:val="single" w:sz="4" w:space="0" w:color="auto"/>
            </w:tcBorders>
            <w:shd w:val="clear" w:color="auto" w:fill="auto"/>
            <w:noWrap/>
            <w:vAlign w:val="center"/>
            <w:hideMark/>
          </w:tcPr>
          <w:p w14:paraId="6D7F0359"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Open procedure</w:t>
            </w:r>
          </w:p>
        </w:tc>
        <w:tc>
          <w:tcPr>
            <w:tcW w:w="2268" w:type="dxa"/>
            <w:tcBorders>
              <w:top w:val="nil"/>
              <w:left w:val="nil"/>
              <w:bottom w:val="single" w:sz="4" w:space="0" w:color="auto"/>
              <w:right w:val="single" w:sz="4" w:space="0" w:color="auto"/>
            </w:tcBorders>
            <w:shd w:val="clear" w:color="auto" w:fill="auto"/>
            <w:vAlign w:val="center"/>
            <w:hideMark/>
          </w:tcPr>
          <w:p w14:paraId="3CB06BF6"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Deloitte Consulting &amp; Advisory</w:t>
            </w:r>
          </w:p>
        </w:tc>
        <w:tc>
          <w:tcPr>
            <w:tcW w:w="2126" w:type="dxa"/>
            <w:tcBorders>
              <w:top w:val="nil"/>
              <w:left w:val="nil"/>
              <w:bottom w:val="single" w:sz="4" w:space="0" w:color="auto"/>
              <w:right w:val="single" w:sz="4" w:space="0" w:color="auto"/>
            </w:tcBorders>
            <w:shd w:val="clear" w:color="auto" w:fill="auto"/>
            <w:vAlign w:val="center"/>
            <w:hideMark/>
          </w:tcPr>
          <w:p w14:paraId="572AA0B2"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 xml:space="preserve"> €          518,000.00 </w:t>
            </w:r>
          </w:p>
        </w:tc>
      </w:tr>
      <w:tr w:rsidR="0014788A" w:rsidRPr="0014788A" w14:paraId="24CD7F53" w14:textId="77777777" w:rsidTr="0014788A">
        <w:trPr>
          <w:trHeight w:val="580"/>
        </w:trPr>
        <w:tc>
          <w:tcPr>
            <w:tcW w:w="1701" w:type="dxa"/>
            <w:tcBorders>
              <w:top w:val="nil"/>
              <w:left w:val="single" w:sz="4" w:space="0" w:color="auto"/>
              <w:bottom w:val="single" w:sz="4" w:space="0" w:color="auto"/>
              <w:right w:val="single" w:sz="4" w:space="0" w:color="auto"/>
            </w:tcBorders>
            <w:shd w:val="clear" w:color="auto" w:fill="auto"/>
            <w:vAlign w:val="center"/>
            <w:hideMark/>
          </w:tcPr>
          <w:p w14:paraId="2036862F"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lastRenderedPageBreak/>
              <w:t>Framework contract for services</w:t>
            </w:r>
          </w:p>
        </w:tc>
        <w:tc>
          <w:tcPr>
            <w:tcW w:w="1985" w:type="dxa"/>
            <w:tcBorders>
              <w:top w:val="nil"/>
              <w:left w:val="nil"/>
              <w:bottom w:val="single" w:sz="4" w:space="0" w:color="auto"/>
              <w:right w:val="single" w:sz="4" w:space="0" w:color="auto"/>
            </w:tcBorders>
            <w:shd w:val="clear" w:color="auto" w:fill="auto"/>
            <w:noWrap/>
            <w:vAlign w:val="center"/>
            <w:hideMark/>
          </w:tcPr>
          <w:p w14:paraId="66C66F05"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e-HRS availability</w:t>
            </w:r>
          </w:p>
        </w:tc>
        <w:tc>
          <w:tcPr>
            <w:tcW w:w="1984" w:type="dxa"/>
            <w:tcBorders>
              <w:top w:val="nil"/>
              <w:left w:val="nil"/>
              <w:bottom w:val="single" w:sz="4" w:space="0" w:color="auto"/>
              <w:right w:val="single" w:sz="4" w:space="0" w:color="auto"/>
            </w:tcBorders>
            <w:shd w:val="clear" w:color="auto" w:fill="auto"/>
            <w:noWrap/>
            <w:vAlign w:val="center"/>
            <w:hideMark/>
          </w:tcPr>
          <w:p w14:paraId="659E0AA0"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FCH/Contract 282</w:t>
            </w:r>
          </w:p>
        </w:tc>
        <w:tc>
          <w:tcPr>
            <w:tcW w:w="1560" w:type="dxa"/>
            <w:tcBorders>
              <w:top w:val="nil"/>
              <w:left w:val="nil"/>
              <w:bottom w:val="single" w:sz="4" w:space="0" w:color="auto"/>
              <w:right w:val="single" w:sz="4" w:space="0" w:color="auto"/>
            </w:tcBorders>
            <w:shd w:val="clear" w:color="auto" w:fill="auto"/>
            <w:noWrap/>
            <w:vAlign w:val="center"/>
            <w:hideMark/>
          </w:tcPr>
          <w:p w14:paraId="7B0A86F8"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Open procedure</w:t>
            </w:r>
          </w:p>
        </w:tc>
        <w:tc>
          <w:tcPr>
            <w:tcW w:w="2268" w:type="dxa"/>
            <w:tcBorders>
              <w:top w:val="nil"/>
              <w:left w:val="nil"/>
              <w:bottom w:val="single" w:sz="4" w:space="0" w:color="auto"/>
              <w:right w:val="single" w:sz="4" w:space="0" w:color="auto"/>
            </w:tcBorders>
            <w:shd w:val="clear" w:color="auto" w:fill="auto"/>
            <w:vAlign w:val="center"/>
            <w:hideMark/>
          </w:tcPr>
          <w:p w14:paraId="5DE8D90B"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Spilett New technologies GmbH</w:t>
            </w:r>
          </w:p>
        </w:tc>
        <w:tc>
          <w:tcPr>
            <w:tcW w:w="2126" w:type="dxa"/>
            <w:tcBorders>
              <w:top w:val="nil"/>
              <w:left w:val="nil"/>
              <w:bottom w:val="single" w:sz="4" w:space="0" w:color="auto"/>
              <w:right w:val="single" w:sz="4" w:space="0" w:color="auto"/>
            </w:tcBorders>
            <w:shd w:val="clear" w:color="auto" w:fill="auto"/>
            <w:vAlign w:val="center"/>
            <w:hideMark/>
          </w:tcPr>
          <w:p w14:paraId="48DB6C10"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 xml:space="preserve"> €          400,000.00 </w:t>
            </w:r>
          </w:p>
        </w:tc>
      </w:tr>
      <w:tr w:rsidR="0014788A" w:rsidRPr="0014788A" w14:paraId="224276DC" w14:textId="77777777" w:rsidTr="0014788A">
        <w:trPr>
          <w:trHeight w:val="5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7A9A6100"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Specific contract</w:t>
            </w:r>
          </w:p>
        </w:tc>
        <w:tc>
          <w:tcPr>
            <w:tcW w:w="1985" w:type="dxa"/>
            <w:tcBorders>
              <w:top w:val="nil"/>
              <w:left w:val="nil"/>
              <w:bottom w:val="single" w:sz="4" w:space="0" w:color="auto"/>
              <w:right w:val="single" w:sz="4" w:space="0" w:color="auto"/>
            </w:tcBorders>
            <w:shd w:val="clear" w:color="auto" w:fill="auto"/>
            <w:noWrap/>
            <w:vAlign w:val="center"/>
            <w:hideMark/>
          </w:tcPr>
          <w:p w14:paraId="0F8832A4"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European Hydrogen week 2021</w:t>
            </w:r>
          </w:p>
        </w:tc>
        <w:tc>
          <w:tcPr>
            <w:tcW w:w="1984" w:type="dxa"/>
            <w:tcBorders>
              <w:top w:val="nil"/>
              <w:left w:val="nil"/>
              <w:bottom w:val="single" w:sz="4" w:space="0" w:color="auto"/>
              <w:right w:val="single" w:sz="4" w:space="0" w:color="auto"/>
            </w:tcBorders>
            <w:shd w:val="clear" w:color="auto" w:fill="auto"/>
            <w:noWrap/>
            <w:vAlign w:val="center"/>
            <w:hideMark/>
          </w:tcPr>
          <w:p w14:paraId="770B77F2"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FWC/PCO/Lot3-21/025</w:t>
            </w:r>
          </w:p>
        </w:tc>
        <w:tc>
          <w:tcPr>
            <w:tcW w:w="1560" w:type="dxa"/>
            <w:tcBorders>
              <w:top w:val="nil"/>
              <w:left w:val="nil"/>
              <w:bottom w:val="single" w:sz="4" w:space="0" w:color="auto"/>
              <w:right w:val="single" w:sz="4" w:space="0" w:color="auto"/>
            </w:tcBorders>
            <w:shd w:val="clear" w:color="auto" w:fill="auto"/>
            <w:vAlign w:val="center"/>
            <w:hideMark/>
          </w:tcPr>
          <w:p w14:paraId="0E056BDD" w14:textId="77777777" w:rsidR="0014788A" w:rsidRPr="0014788A" w:rsidRDefault="0014788A" w:rsidP="0014788A">
            <w:pPr>
              <w:spacing w:after="0" w:line="240" w:lineRule="auto"/>
              <w:jc w:val="center"/>
              <w:rPr>
                <w:rFonts w:eastAsia="Times New Roman" w:cs="Calibri"/>
                <w:color w:val="000000"/>
                <w:lang w:eastAsia="en-GB"/>
              </w:rPr>
            </w:pPr>
            <w:r w:rsidRPr="0014788A">
              <w:rPr>
                <w:rFonts w:eastAsia="Times New Roman" w:cs="Calibri"/>
                <w:color w:val="000000"/>
                <w:lang w:eastAsia="en-GB"/>
              </w:rPr>
              <w:t>Specific contract under framework</w:t>
            </w:r>
          </w:p>
        </w:tc>
        <w:tc>
          <w:tcPr>
            <w:tcW w:w="2268" w:type="dxa"/>
            <w:tcBorders>
              <w:top w:val="nil"/>
              <w:left w:val="nil"/>
              <w:bottom w:val="single" w:sz="4" w:space="0" w:color="auto"/>
              <w:right w:val="single" w:sz="4" w:space="0" w:color="auto"/>
            </w:tcBorders>
            <w:shd w:val="clear" w:color="auto" w:fill="auto"/>
            <w:noWrap/>
            <w:vAlign w:val="center"/>
            <w:hideMark/>
          </w:tcPr>
          <w:p w14:paraId="0107B4F6"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VO Communications</w:t>
            </w:r>
          </w:p>
        </w:tc>
        <w:tc>
          <w:tcPr>
            <w:tcW w:w="2126" w:type="dxa"/>
            <w:tcBorders>
              <w:top w:val="nil"/>
              <w:left w:val="nil"/>
              <w:bottom w:val="single" w:sz="4" w:space="0" w:color="auto"/>
              <w:right w:val="single" w:sz="4" w:space="0" w:color="auto"/>
            </w:tcBorders>
            <w:shd w:val="clear" w:color="auto" w:fill="auto"/>
            <w:vAlign w:val="center"/>
            <w:hideMark/>
          </w:tcPr>
          <w:p w14:paraId="1FB5F346"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 xml:space="preserve"> €          308,896.88 </w:t>
            </w:r>
          </w:p>
        </w:tc>
      </w:tr>
      <w:tr w:rsidR="0014788A" w:rsidRPr="0014788A" w14:paraId="046BA16E" w14:textId="77777777" w:rsidTr="0014788A">
        <w:trPr>
          <w:trHeight w:val="5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6AD69E43"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Specific contracts</w:t>
            </w:r>
          </w:p>
        </w:tc>
        <w:tc>
          <w:tcPr>
            <w:tcW w:w="1985" w:type="dxa"/>
            <w:tcBorders>
              <w:top w:val="nil"/>
              <w:left w:val="nil"/>
              <w:bottom w:val="single" w:sz="4" w:space="0" w:color="auto"/>
              <w:right w:val="single" w:sz="4" w:space="0" w:color="auto"/>
            </w:tcBorders>
            <w:shd w:val="clear" w:color="auto" w:fill="auto"/>
            <w:vAlign w:val="center"/>
            <w:hideMark/>
          </w:tcPr>
          <w:p w14:paraId="46826BB6" w14:textId="77777777" w:rsidR="0014788A" w:rsidRPr="0014788A" w:rsidRDefault="0014788A" w:rsidP="0014788A">
            <w:pPr>
              <w:spacing w:after="0" w:line="240" w:lineRule="auto"/>
              <w:rPr>
                <w:rFonts w:eastAsia="Times New Roman" w:cs="Calibri"/>
                <w:i/>
                <w:iCs/>
                <w:color w:val="000000"/>
                <w:lang w:eastAsia="en-GB"/>
              </w:rPr>
            </w:pPr>
            <w:r w:rsidRPr="0014788A">
              <w:rPr>
                <w:rFonts w:eastAsia="Times New Roman" w:cs="Calibri"/>
                <w:i/>
                <w:iCs/>
                <w:color w:val="000000"/>
                <w:lang w:eastAsia="en-GB"/>
              </w:rPr>
              <w:t>7 specific contracts for use of interim services</w:t>
            </w:r>
          </w:p>
        </w:tc>
        <w:tc>
          <w:tcPr>
            <w:tcW w:w="1984" w:type="dxa"/>
            <w:tcBorders>
              <w:top w:val="nil"/>
              <w:left w:val="nil"/>
              <w:bottom w:val="single" w:sz="4" w:space="0" w:color="auto"/>
              <w:right w:val="single" w:sz="4" w:space="0" w:color="auto"/>
            </w:tcBorders>
            <w:shd w:val="clear" w:color="auto" w:fill="auto"/>
            <w:vAlign w:val="center"/>
            <w:hideMark/>
          </w:tcPr>
          <w:p w14:paraId="146AEEA0"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FCH JU 2021 PO14, PO51, PO61, PO13, PO52, PO7 and PO19</w:t>
            </w:r>
          </w:p>
        </w:tc>
        <w:tc>
          <w:tcPr>
            <w:tcW w:w="1560" w:type="dxa"/>
            <w:tcBorders>
              <w:top w:val="nil"/>
              <w:left w:val="nil"/>
              <w:bottom w:val="single" w:sz="4" w:space="0" w:color="auto"/>
              <w:right w:val="single" w:sz="4" w:space="0" w:color="auto"/>
            </w:tcBorders>
            <w:shd w:val="clear" w:color="auto" w:fill="auto"/>
            <w:vAlign w:val="center"/>
            <w:hideMark/>
          </w:tcPr>
          <w:p w14:paraId="65512ADE" w14:textId="77777777" w:rsidR="0014788A" w:rsidRPr="0014788A" w:rsidRDefault="0014788A" w:rsidP="0014788A">
            <w:pPr>
              <w:spacing w:after="0" w:line="240" w:lineRule="auto"/>
              <w:jc w:val="center"/>
              <w:rPr>
                <w:rFonts w:eastAsia="Times New Roman" w:cs="Calibri"/>
                <w:color w:val="000000"/>
                <w:lang w:eastAsia="en-GB"/>
              </w:rPr>
            </w:pPr>
            <w:r w:rsidRPr="0014788A">
              <w:rPr>
                <w:rFonts w:eastAsia="Times New Roman" w:cs="Calibri"/>
                <w:color w:val="000000"/>
                <w:lang w:eastAsia="en-GB"/>
              </w:rPr>
              <w:t>Specific contract under framework</w:t>
            </w:r>
          </w:p>
        </w:tc>
        <w:tc>
          <w:tcPr>
            <w:tcW w:w="2268" w:type="dxa"/>
            <w:tcBorders>
              <w:top w:val="nil"/>
              <w:left w:val="nil"/>
              <w:bottom w:val="single" w:sz="4" w:space="0" w:color="auto"/>
              <w:right w:val="single" w:sz="4" w:space="0" w:color="auto"/>
            </w:tcBorders>
            <w:shd w:val="clear" w:color="auto" w:fill="auto"/>
            <w:noWrap/>
            <w:vAlign w:val="center"/>
            <w:hideMark/>
          </w:tcPr>
          <w:p w14:paraId="75E67012"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Randstad Belgium NV</w:t>
            </w:r>
          </w:p>
        </w:tc>
        <w:tc>
          <w:tcPr>
            <w:tcW w:w="2126" w:type="dxa"/>
            <w:tcBorders>
              <w:top w:val="nil"/>
              <w:left w:val="nil"/>
              <w:bottom w:val="single" w:sz="4" w:space="0" w:color="auto"/>
              <w:right w:val="single" w:sz="4" w:space="0" w:color="auto"/>
            </w:tcBorders>
            <w:shd w:val="clear" w:color="auto" w:fill="auto"/>
            <w:vAlign w:val="center"/>
            <w:hideMark/>
          </w:tcPr>
          <w:p w14:paraId="2466522F"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 xml:space="preserve"> €          233,900.29 </w:t>
            </w:r>
          </w:p>
        </w:tc>
      </w:tr>
      <w:tr w:rsidR="0014788A" w:rsidRPr="0014788A" w14:paraId="19BA2685" w14:textId="77777777" w:rsidTr="0014788A">
        <w:trPr>
          <w:trHeight w:val="5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301CAFF6"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Direct service contract</w:t>
            </w:r>
          </w:p>
        </w:tc>
        <w:tc>
          <w:tcPr>
            <w:tcW w:w="1985" w:type="dxa"/>
            <w:tcBorders>
              <w:top w:val="nil"/>
              <w:left w:val="nil"/>
              <w:bottom w:val="single" w:sz="4" w:space="0" w:color="auto"/>
              <w:right w:val="single" w:sz="4" w:space="0" w:color="auto"/>
            </w:tcBorders>
            <w:shd w:val="clear" w:color="auto" w:fill="auto"/>
            <w:vAlign w:val="center"/>
            <w:hideMark/>
          </w:tcPr>
          <w:p w14:paraId="57973048"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Study impact of deployment of BEV and FCEV infrastructure</w:t>
            </w:r>
          </w:p>
        </w:tc>
        <w:tc>
          <w:tcPr>
            <w:tcW w:w="1984" w:type="dxa"/>
            <w:tcBorders>
              <w:top w:val="nil"/>
              <w:left w:val="nil"/>
              <w:bottom w:val="single" w:sz="4" w:space="0" w:color="auto"/>
              <w:right w:val="single" w:sz="4" w:space="0" w:color="auto"/>
            </w:tcBorders>
            <w:shd w:val="clear" w:color="auto" w:fill="auto"/>
            <w:noWrap/>
            <w:vAlign w:val="center"/>
            <w:hideMark/>
          </w:tcPr>
          <w:p w14:paraId="5E2411AC"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FCH/OP/Contract 296</w:t>
            </w:r>
          </w:p>
        </w:tc>
        <w:tc>
          <w:tcPr>
            <w:tcW w:w="1560" w:type="dxa"/>
            <w:tcBorders>
              <w:top w:val="nil"/>
              <w:left w:val="nil"/>
              <w:bottom w:val="single" w:sz="4" w:space="0" w:color="auto"/>
              <w:right w:val="single" w:sz="4" w:space="0" w:color="auto"/>
            </w:tcBorders>
            <w:shd w:val="clear" w:color="auto" w:fill="auto"/>
            <w:noWrap/>
            <w:vAlign w:val="center"/>
            <w:hideMark/>
          </w:tcPr>
          <w:p w14:paraId="28C6D352"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Open procedure</w:t>
            </w:r>
          </w:p>
        </w:tc>
        <w:tc>
          <w:tcPr>
            <w:tcW w:w="2268" w:type="dxa"/>
            <w:tcBorders>
              <w:top w:val="nil"/>
              <w:left w:val="nil"/>
              <w:bottom w:val="single" w:sz="4" w:space="0" w:color="auto"/>
              <w:right w:val="single" w:sz="4" w:space="0" w:color="auto"/>
            </w:tcBorders>
            <w:shd w:val="clear" w:color="auto" w:fill="auto"/>
            <w:noWrap/>
            <w:vAlign w:val="center"/>
            <w:hideMark/>
          </w:tcPr>
          <w:p w14:paraId="6EA5B07A"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McKinsey solutions</w:t>
            </w:r>
          </w:p>
        </w:tc>
        <w:tc>
          <w:tcPr>
            <w:tcW w:w="2126" w:type="dxa"/>
            <w:tcBorders>
              <w:top w:val="nil"/>
              <w:left w:val="nil"/>
              <w:bottom w:val="single" w:sz="4" w:space="0" w:color="auto"/>
              <w:right w:val="single" w:sz="4" w:space="0" w:color="auto"/>
            </w:tcBorders>
            <w:shd w:val="clear" w:color="auto" w:fill="auto"/>
            <w:vAlign w:val="center"/>
            <w:hideMark/>
          </w:tcPr>
          <w:p w14:paraId="6570214B"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 xml:space="preserve"> €          200,000.00 </w:t>
            </w:r>
          </w:p>
        </w:tc>
      </w:tr>
      <w:tr w:rsidR="0014788A" w:rsidRPr="0014788A" w14:paraId="02C0120F" w14:textId="77777777" w:rsidTr="0014788A">
        <w:trPr>
          <w:trHeight w:val="111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156481DA"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Specific contracts</w:t>
            </w:r>
          </w:p>
        </w:tc>
        <w:tc>
          <w:tcPr>
            <w:tcW w:w="1985" w:type="dxa"/>
            <w:tcBorders>
              <w:top w:val="nil"/>
              <w:left w:val="nil"/>
              <w:bottom w:val="single" w:sz="4" w:space="0" w:color="auto"/>
              <w:right w:val="single" w:sz="4" w:space="0" w:color="auto"/>
            </w:tcBorders>
            <w:shd w:val="clear" w:color="auto" w:fill="auto"/>
            <w:noWrap/>
            <w:vAlign w:val="center"/>
            <w:hideMark/>
          </w:tcPr>
          <w:p w14:paraId="4BD65140" w14:textId="77777777" w:rsidR="0014788A" w:rsidRPr="0014788A" w:rsidRDefault="0014788A" w:rsidP="0014788A">
            <w:pPr>
              <w:spacing w:after="0" w:line="240" w:lineRule="auto"/>
              <w:rPr>
                <w:rFonts w:eastAsia="Times New Roman" w:cs="Calibri"/>
                <w:i/>
                <w:iCs/>
                <w:color w:val="000000"/>
                <w:lang w:eastAsia="en-GB"/>
              </w:rPr>
            </w:pPr>
            <w:r w:rsidRPr="0014788A">
              <w:rPr>
                <w:rFonts w:eastAsia="Times New Roman" w:cs="Calibri"/>
                <w:i/>
                <w:iCs/>
                <w:color w:val="000000"/>
                <w:lang w:eastAsia="en-GB"/>
              </w:rPr>
              <w:t>2 specific contracts under FWC</w:t>
            </w:r>
          </w:p>
        </w:tc>
        <w:tc>
          <w:tcPr>
            <w:tcW w:w="1984" w:type="dxa"/>
            <w:tcBorders>
              <w:top w:val="nil"/>
              <w:left w:val="nil"/>
              <w:bottom w:val="single" w:sz="4" w:space="0" w:color="auto"/>
              <w:right w:val="single" w:sz="4" w:space="0" w:color="auto"/>
            </w:tcBorders>
            <w:shd w:val="clear" w:color="auto" w:fill="auto"/>
            <w:noWrap/>
            <w:vAlign w:val="center"/>
            <w:hideMark/>
          </w:tcPr>
          <w:p w14:paraId="77F7E1E8"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Specific contract No1 and No2</w:t>
            </w:r>
          </w:p>
        </w:tc>
        <w:tc>
          <w:tcPr>
            <w:tcW w:w="1560" w:type="dxa"/>
            <w:tcBorders>
              <w:top w:val="nil"/>
              <w:left w:val="nil"/>
              <w:bottom w:val="single" w:sz="4" w:space="0" w:color="auto"/>
              <w:right w:val="single" w:sz="4" w:space="0" w:color="auto"/>
            </w:tcBorders>
            <w:shd w:val="clear" w:color="auto" w:fill="auto"/>
            <w:vAlign w:val="center"/>
            <w:hideMark/>
          </w:tcPr>
          <w:p w14:paraId="7BA2836E" w14:textId="77777777" w:rsidR="0014788A" w:rsidRPr="0014788A" w:rsidRDefault="0014788A" w:rsidP="0014788A">
            <w:pPr>
              <w:spacing w:after="0" w:line="240" w:lineRule="auto"/>
              <w:jc w:val="center"/>
              <w:rPr>
                <w:rFonts w:eastAsia="Times New Roman" w:cs="Calibri"/>
                <w:color w:val="000000"/>
                <w:lang w:eastAsia="en-GB"/>
              </w:rPr>
            </w:pPr>
            <w:r w:rsidRPr="0014788A">
              <w:rPr>
                <w:rFonts w:eastAsia="Times New Roman" w:cs="Calibri"/>
                <w:color w:val="000000"/>
                <w:lang w:eastAsia="en-GB"/>
              </w:rPr>
              <w:t>Specific contract under framework</w:t>
            </w:r>
          </w:p>
        </w:tc>
        <w:tc>
          <w:tcPr>
            <w:tcW w:w="2268" w:type="dxa"/>
            <w:tcBorders>
              <w:top w:val="nil"/>
              <w:left w:val="nil"/>
              <w:bottom w:val="single" w:sz="4" w:space="0" w:color="auto"/>
              <w:right w:val="single" w:sz="4" w:space="0" w:color="auto"/>
            </w:tcBorders>
            <w:shd w:val="clear" w:color="auto" w:fill="auto"/>
            <w:noWrap/>
            <w:vAlign w:val="center"/>
            <w:hideMark/>
          </w:tcPr>
          <w:p w14:paraId="2499006F"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Spilett New technologies GmbH</w:t>
            </w:r>
          </w:p>
        </w:tc>
        <w:tc>
          <w:tcPr>
            <w:tcW w:w="2126" w:type="dxa"/>
            <w:tcBorders>
              <w:top w:val="nil"/>
              <w:left w:val="nil"/>
              <w:bottom w:val="single" w:sz="4" w:space="0" w:color="auto"/>
              <w:right w:val="single" w:sz="4" w:space="0" w:color="auto"/>
            </w:tcBorders>
            <w:shd w:val="clear" w:color="auto" w:fill="auto"/>
            <w:vAlign w:val="center"/>
            <w:hideMark/>
          </w:tcPr>
          <w:p w14:paraId="1CB26457"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 xml:space="preserve"> €            83,195.00 </w:t>
            </w:r>
          </w:p>
        </w:tc>
      </w:tr>
      <w:tr w:rsidR="0014788A" w:rsidRPr="0014788A" w14:paraId="03251D6A" w14:textId="77777777" w:rsidTr="0014788A">
        <w:trPr>
          <w:trHeight w:val="145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1D81829F"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Specific contract</w:t>
            </w:r>
          </w:p>
        </w:tc>
        <w:tc>
          <w:tcPr>
            <w:tcW w:w="1985" w:type="dxa"/>
            <w:tcBorders>
              <w:top w:val="nil"/>
              <w:left w:val="nil"/>
              <w:bottom w:val="single" w:sz="4" w:space="0" w:color="auto"/>
              <w:right w:val="single" w:sz="4" w:space="0" w:color="auto"/>
            </w:tcBorders>
            <w:shd w:val="clear" w:color="auto" w:fill="auto"/>
            <w:noWrap/>
            <w:vAlign w:val="center"/>
            <w:hideMark/>
          </w:tcPr>
          <w:p w14:paraId="0C7CD7F2"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Media buying services</w:t>
            </w:r>
          </w:p>
        </w:tc>
        <w:tc>
          <w:tcPr>
            <w:tcW w:w="1984" w:type="dxa"/>
            <w:tcBorders>
              <w:top w:val="nil"/>
              <w:left w:val="nil"/>
              <w:bottom w:val="single" w:sz="4" w:space="0" w:color="auto"/>
              <w:right w:val="single" w:sz="4" w:space="0" w:color="auto"/>
            </w:tcBorders>
            <w:shd w:val="clear" w:color="auto" w:fill="auto"/>
            <w:noWrap/>
            <w:vAlign w:val="center"/>
            <w:hideMark/>
          </w:tcPr>
          <w:p w14:paraId="2C7522A7"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COMM-2019-OP-0029-Lot2 –FCH-2</w:t>
            </w:r>
          </w:p>
        </w:tc>
        <w:tc>
          <w:tcPr>
            <w:tcW w:w="1560" w:type="dxa"/>
            <w:tcBorders>
              <w:top w:val="nil"/>
              <w:left w:val="nil"/>
              <w:bottom w:val="single" w:sz="4" w:space="0" w:color="auto"/>
              <w:right w:val="single" w:sz="4" w:space="0" w:color="auto"/>
            </w:tcBorders>
            <w:shd w:val="clear" w:color="auto" w:fill="auto"/>
            <w:vAlign w:val="center"/>
            <w:hideMark/>
          </w:tcPr>
          <w:p w14:paraId="24BF1BF0" w14:textId="77777777" w:rsidR="0014788A" w:rsidRPr="0014788A" w:rsidRDefault="0014788A" w:rsidP="0014788A">
            <w:pPr>
              <w:spacing w:after="0" w:line="240" w:lineRule="auto"/>
              <w:jc w:val="center"/>
              <w:rPr>
                <w:rFonts w:eastAsia="Times New Roman" w:cs="Calibri"/>
                <w:color w:val="000000"/>
                <w:lang w:eastAsia="en-GB"/>
              </w:rPr>
            </w:pPr>
            <w:r w:rsidRPr="0014788A">
              <w:rPr>
                <w:rFonts w:eastAsia="Times New Roman" w:cs="Calibri"/>
                <w:color w:val="000000"/>
                <w:lang w:eastAsia="en-GB"/>
              </w:rPr>
              <w:t>Specific contract under framework</w:t>
            </w:r>
          </w:p>
        </w:tc>
        <w:tc>
          <w:tcPr>
            <w:tcW w:w="2268" w:type="dxa"/>
            <w:tcBorders>
              <w:top w:val="nil"/>
              <w:left w:val="nil"/>
              <w:bottom w:val="single" w:sz="4" w:space="0" w:color="auto"/>
              <w:right w:val="single" w:sz="4" w:space="0" w:color="auto"/>
            </w:tcBorders>
            <w:shd w:val="clear" w:color="auto" w:fill="auto"/>
            <w:vAlign w:val="center"/>
            <w:hideMark/>
          </w:tcPr>
          <w:p w14:paraId="529F93AA"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Consortium E2COMMs formed by EUROPEAN SERVICE NETWORK (leader) and ECORYS EUROPE</w:t>
            </w:r>
          </w:p>
        </w:tc>
        <w:tc>
          <w:tcPr>
            <w:tcW w:w="2126" w:type="dxa"/>
            <w:tcBorders>
              <w:top w:val="nil"/>
              <w:left w:val="nil"/>
              <w:bottom w:val="single" w:sz="4" w:space="0" w:color="auto"/>
              <w:right w:val="single" w:sz="4" w:space="0" w:color="auto"/>
            </w:tcBorders>
            <w:shd w:val="clear" w:color="auto" w:fill="auto"/>
            <w:vAlign w:val="center"/>
            <w:hideMark/>
          </w:tcPr>
          <w:p w14:paraId="4EF0B38E"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 xml:space="preserve"> €            70,196.00 </w:t>
            </w:r>
          </w:p>
        </w:tc>
      </w:tr>
      <w:tr w:rsidR="0014788A" w:rsidRPr="0014788A" w14:paraId="061E85D4" w14:textId="77777777" w:rsidTr="0014788A">
        <w:trPr>
          <w:trHeight w:val="5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41E62248"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Specific contract</w:t>
            </w:r>
          </w:p>
        </w:tc>
        <w:tc>
          <w:tcPr>
            <w:tcW w:w="1985" w:type="dxa"/>
            <w:tcBorders>
              <w:top w:val="nil"/>
              <w:left w:val="nil"/>
              <w:bottom w:val="single" w:sz="4" w:space="0" w:color="auto"/>
              <w:right w:val="single" w:sz="4" w:space="0" w:color="auto"/>
            </w:tcBorders>
            <w:shd w:val="clear" w:color="auto" w:fill="auto"/>
            <w:vAlign w:val="center"/>
            <w:hideMark/>
          </w:tcPr>
          <w:p w14:paraId="34BDF588"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Development of new Visual Identity</w:t>
            </w:r>
          </w:p>
        </w:tc>
        <w:tc>
          <w:tcPr>
            <w:tcW w:w="1984" w:type="dxa"/>
            <w:tcBorders>
              <w:top w:val="nil"/>
              <w:left w:val="nil"/>
              <w:bottom w:val="single" w:sz="4" w:space="0" w:color="auto"/>
              <w:right w:val="single" w:sz="4" w:space="0" w:color="auto"/>
            </w:tcBorders>
            <w:shd w:val="clear" w:color="auto" w:fill="auto"/>
            <w:vAlign w:val="center"/>
            <w:hideMark/>
          </w:tcPr>
          <w:p w14:paraId="768136EC"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AV0187-FCH JU</w:t>
            </w:r>
          </w:p>
        </w:tc>
        <w:tc>
          <w:tcPr>
            <w:tcW w:w="1560" w:type="dxa"/>
            <w:tcBorders>
              <w:top w:val="nil"/>
              <w:left w:val="nil"/>
              <w:bottom w:val="single" w:sz="4" w:space="0" w:color="auto"/>
              <w:right w:val="single" w:sz="4" w:space="0" w:color="auto"/>
            </w:tcBorders>
            <w:shd w:val="clear" w:color="auto" w:fill="auto"/>
            <w:vAlign w:val="center"/>
            <w:hideMark/>
          </w:tcPr>
          <w:p w14:paraId="5624F7BD" w14:textId="77777777" w:rsidR="0014788A" w:rsidRPr="0014788A" w:rsidRDefault="0014788A" w:rsidP="0014788A">
            <w:pPr>
              <w:spacing w:after="0" w:line="240" w:lineRule="auto"/>
              <w:jc w:val="center"/>
              <w:rPr>
                <w:rFonts w:eastAsia="Times New Roman" w:cs="Calibri"/>
                <w:color w:val="000000"/>
                <w:lang w:eastAsia="en-GB"/>
              </w:rPr>
            </w:pPr>
            <w:r w:rsidRPr="0014788A">
              <w:rPr>
                <w:rFonts w:eastAsia="Times New Roman" w:cs="Calibri"/>
                <w:color w:val="000000"/>
                <w:lang w:eastAsia="en-GB"/>
              </w:rPr>
              <w:t>Specific contract under framework</w:t>
            </w:r>
          </w:p>
        </w:tc>
        <w:tc>
          <w:tcPr>
            <w:tcW w:w="2268" w:type="dxa"/>
            <w:tcBorders>
              <w:top w:val="nil"/>
              <w:left w:val="nil"/>
              <w:bottom w:val="single" w:sz="4" w:space="0" w:color="auto"/>
              <w:right w:val="single" w:sz="4" w:space="0" w:color="auto"/>
            </w:tcBorders>
            <w:shd w:val="clear" w:color="auto" w:fill="auto"/>
            <w:vAlign w:val="center"/>
            <w:hideMark/>
          </w:tcPr>
          <w:p w14:paraId="6340FF2D"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European Service Network SA</w:t>
            </w:r>
          </w:p>
        </w:tc>
        <w:tc>
          <w:tcPr>
            <w:tcW w:w="2126" w:type="dxa"/>
            <w:tcBorders>
              <w:top w:val="nil"/>
              <w:left w:val="nil"/>
              <w:bottom w:val="single" w:sz="4" w:space="0" w:color="auto"/>
              <w:right w:val="single" w:sz="4" w:space="0" w:color="auto"/>
            </w:tcBorders>
            <w:shd w:val="clear" w:color="auto" w:fill="auto"/>
            <w:vAlign w:val="center"/>
            <w:hideMark/>
          </w:tcPr>
          <w:p w14:paraId="4F8A424E"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 xml:space="preserve"> €            59,603.69 </w:t>
            </w:r>
          </w:p>
        </w:tc>
      </w:tr>
      <w:tr w:rsidR="0014788A" w:rsidRPr="0014788A" w14:paraId="0413C47C" w14:textId="77777777" w:rsidTr="0014788A">
        <w:trPr>
          <w:trHeight w:val="116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C00C12C"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Specific contract</w:t>
            </w:r>
          </w:p>
        </w:tc>
        <w:tc>
          <w:tcPr>
            <w:tcW w:w="1985" w:type="dxa"/>
            <w:tcBorders>
              <w:top w:val="nil"/>
              <w:left w:val="nil"/>
              <w:bottom w:val="single" w:sz="4" w:space="0" w:color="auto"/>
              <w:right w:val="single" w:sz="4" w:space="0" w:color="auto"/>
            </w:tcBorders>
            <w:shd w:val="clear" w:color="auto" w:fill="auto"/>
            <w:vAlign w:val="center"/>
            <w:hideMark/>
          </w:tcPr>
          <w:p w14:paraId="23FFA6CD"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Equipment and installation material for meeting room 4/25</w:t>
            </w:r>
          </w:p>
        </w:tc>
        <w:tc>
          <w:tcPr>
            <w:tcW w:w="1984" w:type="dxa"/>
            <w:tcBorders>
              <w:top w:val="nil"/>
              <w:left w:val="nil"/>
              <w:bottom w:val="single" w:sz="4" w:space="0" w:color="auto"/>
              <w:right w:val="single" w:sz="4" w:space="0" w:color="auto"/>
            </w:tcBorders>
            <w:shd w:val="clear" w:color="auto" w:fill="auto"/>
            <w:vAlign w:val="center"/>
            <w:hideMark/>
          </w:tcPr>
          <w:p w14:paraId="21AEDCF1"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Specific contract No2</w:t>
            </w:r>
          </w:p>
        </w:tc>
        <w:tc>
          <w:tcPr>
            <w:tcW w:w="1560" w:type="dxa"/>
            <w:tcBorders>
              <w:top w:val="nil"/>
              <w:left w:val="nil"/>
              <w:bottom w:val="single" w:sz="4" w:space="0" w:color="auto"/>
              <w:right w:val="single" w:sz="4" w:space="0" w:color="auto"/>
            </w:tcBorders>
            <w:shd w:val="clear" w:color="auto" w:fill="auto"/>
            <w:vAlign w:val="center"/>
            <w:hideMark/>
          </w:tcPr>
          <w:p w14:paraId="4C5ED48E" w14:textId="77777777" w:rsidR="0014788A" w:rsidRPr="0014788A" w:rsidRDefault="0014788A" w:rsidP="0014788A">
            <w:pPr>
              <w:spacing w:after="0" w:line="240" w:lineRule="auto"/>
              <w:jc w:val="center"/>
              <w:rPr>
                <w:rFonts w:eastAsia="Times New Roman" w:cs="Calibri"/>
                <w:color w:val="000000"/>
                <w:lang w:eastAsia="en-GB"/>
              </w:rPr>
            </w:pPr>
            <w:r w:rsidRPr="0014788A">
              <w:rPr>
                <w:rFonts w:eastAsia="Times New Roman" w:cs="Calibri"/>
                <w:color w:val="000000"/>
                <w:lang w:eastAsia="en-GB"/>
              </w:rPr>
              <w:t>Specific contract under framework</w:t>
            </w:r>
          </w:p>
        </w:tc>
        <w:tc>
          <w:tcPr>
            <w:tcW w:w="2268" w:type="dxa"/>
            <w:tcBorders>
              <w:top w:val="nil"/>
              <w:left w:val="nil"/>
              <w:bottom w:val="single" w:sz="4" w:space="0" w:color="auto"/>
              <w:right w:val="single" w:sz="4" w:space="0" w:color="auto"/>
            </w:tcBorders>
            <w:shd w:val="clear" w:color="auto" w:fill="auto"/>
            <w:vAlign w:val="center"/>
            <w:hideMark/>
          </w:tcPr>
          <w:p w14:paraId="6D0D1E9B"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Telmaco Societé Anonyme Production &amp; Trade of Electronic Products</w:t>
            </w:r>
          </w:p>
        </w:tc>
        <w:tc>
          <w:tcPr>
            <w:tcW w:w="2126" w:type="dxa"/>
            <w:tcBorders>
              <w:top w:val="nil"/>
              <w:left w:val="nil"/>
              <w:bottom w:val="single" w:sz="4" w:space="0" w:color="auto"/>
              <w:right w:val="single" w:sz="4" w:space="0" w:color="auto"/>
            </w:tcBorders>
            <w:shd w:val="clear" w:color="auto" w:fill="auto"/>
            <w:vAlign w:val="center"/>
            <w:hideMark/>
          </w:tcPr>
          <w:p w14:paraId="2B5C040A"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 xml:space="preserve"> €            46,666.48 </w:t>
            </w:r>
          </w:p>
        </w:tc>
      </w:tr>
      <w:tr w:rsidR="0014788A" w:rsidRPr="0014788A" w14:paraId="3A1F508F" w14:textId="77777777" w:rsidTr="0014788A">
        <w:trPr>
          <w:trHeight w:val="5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05657C27"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Specific contract</w:t>
            </w:r>
          </w:p>
        </w:tc>
        <w:tc>
          <w:tcPr>
            <w:tcW w:w="1985" w:type="dxa"/>
            <w:tcBorders>
              <w:top w:val="nil"/>
              <w:left w:val="nil"/>
              <w:bottom w:val="single" w:sz="4" w:space="0" w:color="auto"/>
              <w:right w:val="single" w:sz="4" w:space="0" w:color="auto"/>
            </w:tcBorders>
            <w:shd w:val="clear" w:color="auto" w:fill="auto"/>
            <w:vAlign w:val="center"/>
            <w:hideMark/>
          </w:tcPr>
          <w:p w14:paraId="21589300"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 xml:space="preserve">Editorial, </w:t>
            </w:r>
            <w:proofErr w:type="gramStart"/>
            <w:r w:rsidRPr="0014788A">
              <w:rPr>
                <w:rFonts w:eastAsia="Times New Roman" w:cs="Calibri"/>
                <w:color w:val="000000"/>
                <w:lang w:eastAsia="en-GB"/>
              </w:rPr>
              <w:t>writing</w:t>
            </w:r>
            <w:proofErr w:type="gramEnd"/>
            <w:r w:rsidRPr="0014788A">
              <w:rPr>
                <w:rFonts w:eastAsia="Times New Roman" w:cs="Calibri"/>
                <w:color w:val="000000"/>
                <w:lang w:eastAsia="en-GB"/>
              </w:rPr>
              <w:t xml:space="preserve"> and proof-reading assignment 2021</w:t>
            </w:r>
          </w:p>
        </w:tc>
        <w:tc>
          <w:tcPr>
            <w:tcW w:w="1984" w:type="dxa"/>
            <w:tcBorders>
              <w:top w:val="nil"/>
              <w:left w:val="nil"/>
              <w:bottom w:val="single" w:sz="4" w:space="0" w:color="auto"/>
              <w:right w:val="single" w:sz="4" w:space="0" w:color="auto"/>
            </w:tcBorders>
            <w:shd w:val="clear" w:color="auto" w:fill="auto"/>
            <w:noWrap/>
            <w:vAlign w:val="center"/>
            <w:hideMark/>
          </w:tcPr>
          <w:p w14:paraId="5E0C2EA1"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FCH/Contarct 227-4</w:t>
            </w:r>
          </w:p>
        </w:tc>
        <w:tc>
          <w:tcPr>
            <w:tcW w:w="1560" w:type="dxa"/>
            <w:tcBorders>
              <w:top w:val="nil"/>
              <w:left w:val="nil"/>
              <w:bottom w:val="single" w:sz="4" w:space="0" w:color="auto"/>
              <w:right w:val="single" w:sz="4" w:space="0" w:color="auto"/>
            </w:tcBorders>
            <w:shd w:val="clear" w:color="auto" w:fill="auto"/>
            <w:vAlign w:val="center"/>
            <w:hideMark/>
          </w:tcPr>
          <w:p w14:paraId="1465C935" w14:textId="77777777" w:rsidR="0014788A" w:rsidRPr="0014788A" w:rsidRDefault="0014788A" w:rsidP="0014788A">
            <w:pPr>
              <w:spacing w:after="0" w:line="240" w:lineRule="auto"/>
              <w:jc w:val="center"/>
              <w:rPr>
                <w:rFonts w:eastAsia="Times New Roman" w:cs="Calibri"/>
                <w:color w:val="000000"/>
                <w:lang w:eastAsia="en-GB"/>
              </w:rPr>
            </w:pPr>
            <w:r w:rsidRPr="0014788A">
              <w:rPr>
                <w:rFonts w:eastAsia="Times New Roman" w:cs="Calibri"/>
                <w:color w:val="000000"/>
                <w:lang w:eastAsia="en-GB"/>
              </w:rPr>
              <w:t>Specific contract under framework</w:t>
            </w:r>
          </w:p>
        </w:tc>
        <w:tc>
          <w:tcPr>
            <w:tcW w:w="2268" w:type="dxa"/>
            <w:tcBorders>
              <w:top w:val="nil"/>
              <w:left w:val="nil"/>
              <w:bottom w:val="single" w:sz="4" w:space="0" w:color="auto"/>
              <w:right w:val="single" w:sz="4" w:space="0" w:color="auto"/>
            </w:tcBorders>
            <w:shd w:val="clear" w:color="auto" w:fill="auto"/>
            <w:noWrap/>
            <w:vAlign w:val="center"/>
            <w:hideMark/>
          </w:tcPr>
          <w:p w14:paraId="1FE4AD41"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European Service Network SA</w:t>
            </w:r>
          </w:p>
        </w:tc>
        <w:tc>
          <w:tcPr>
            <w:tcW w:w="2126" w:type="dxa"/>
            <w:tcBorders>
              <w:top w:val="nil"/>
              <w:left w:val="nil"/>
              <w:bottom w:val="single" w:sz="4" w:space="0" w:color="auto"/>
              <w:right w:val="single" w:sz="4" w:space="0" w:color="auto"/>
            </w:tcBorders>
            <w:shd w:val="clear" w:color="auto" w:fill="auto"/>
            <w:vAlign w:val="center"/>
            <w:hideMark/>
          </w:tcPr>
          <w:p w14:paraId="22D75687"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 xml:space="preserve"> €            42,698.00 </w:t>
            </w:r>
          </w:p>
        </w:tc>
      </w:tr>
      <w:tr w:rsidR="0014788A" w:rsidRPr="0014788A" w14:paraId="46C2816C" w14:textId="77777777" w:rsidTr="0014788A">
        <w:trPr>
          <w:trHeight w:val="5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E625DC8"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Specific contract</w:t>
            </w:r>
          </w:p>
        </w:tc>
        <w:tc>
          <w:tcPr>
            <w:tcW w:w="1985" w:type="dxa"/>
            <w:tcBorders>
              <w:top w:val="nil"/>
              <w:left w:val="nil"/>
              <w:bottom w:val="single" w:sz="4" w:space="0" w:color="auto"/>
              <w:right w:val="single" w:sz="4" w:space="0" w:color="auto"/>
            </w:tcBorders>
            <w:shd w:val="clear" w:color="auto" w:fill="auto"/>
            <w:vAlign w:val="center"/>
            <w:hideMark/>
          </w:tcPr>
          <w:p w14:paraId="7EB4A7B5"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1 specific contract for use of interim services</w:t>
            </w:r>
          </w:p>
        </w:tc>
        <w:tc>
          <w:tcPr>
            <w:tcW w:w="1984" w:type="dxa"/>
            <w:tcBorders>
              <w:top w:val="nil"/>
              <w:left w:val="nil"/>
              <w:bottom w:val="single" w:sz="4" w:space="0" w:color="auto"/>
              <w:right w:val="single" w:sz="4" w:space="0" w:color="auto"/>
            </w:tcBorders>
            <w:shd w:val="clear" w:color="auto" w:fill="auto"/>
            <w:noWrap/>
            <w:vAlign w:val="center"/>
            <w:hideMark/>
          </w:tcPr>
          <w:p w14:paraId="7392B3BA"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FCH JU 2021 PO53</w:t>
            </w:r>
          </w:p>
        </w:tc>
        <w:tc>
          <w:tcPr>
            <w:tcW w:w="1560" w:type="dxa"/>
            <w:tcBorders>
              <w:top w:val="nil"/>
              <w:left w:val="nil"/>
              <w:bottom w:val="single" w:sz="4" w:space="0" w:color="auto"/>
              <w:right w:val="single" w:sz="4" w:space="0" w:color="auto"/>
            </w:tcBorders>
            <w:shd w:val="clear" w:color="auto" w:fill="auto"/>
            <w:vAlign w:val="center"/>
            <w:hideMark/>
          </w:tcPr>
          <w:p w14:paraId="5E05D2D7" w14:textId="77777777" w:rsidR="0014788A" w:rsidRPr="0014788A" w:rsidRDefault="0014788A" w:rsidP="0014788A">
            <w:pPr>
              <w:spacing w:after="0" w:line="240" w:lineRule="auto"/>
              <w:jc w:val="center"/>
              <w:rPr>
                <w:rFonts w:eastAsia="Times New Roman" w:cs="Calibri"/>
                <w:color w:val="000000"/>
                <w:lang w:eastAsia="en-GB"/>
              </w:rPr>
            </w:pPr>
            <w:r w:rsidRPr="0014788A">
              <w:rPr>
                <w:rFonts w:eastAsia="Times New Roman" w:cs="Calibri"/>
                <w:color w:val="000000"/>
                <w:lang w:eastAsia="en-GB"/>
              </w:rPr>
              <w:t>Specific contract under framework</w:t>
            </w:r>
          </w:p>
        </w:tc>
        <w:tc>
          <w:tcPr>
            <w:tcW w:w="2268" w:type="dxa"/>
            <w:tcBorders>
              <w:top w:val="nil"/>
              <w:left w:val="nil"/>
              <w:bottom w:val="single" w:sz="4" w:space="0" w:color="auto"/>
              <w:right w:val="single" w:sz="4" w:space="0" w:color="auto"/>
            </w:tcBorders>
            <w:shd w:val="clear" w:color="auto" w:fill="auto"/>
            <w:noWrap/>
            <w:vAlign w:val="center"/>
            <w:hideMark/>
          </w:tcPr>
          <w:p w14:paraId="20766E14"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Start People N.V.</w:t>
            </w:r>
          </w:p>
        </w:tc>
        <w:tc>
          <w:tcPr>
            <w:tcW w:w="2126" w:type="dxa"/>
            <w:tcBorders>
              <w:top w:val="nil"/>
              <w:left w:val="nil"/>
              <w:bottom w:val="single" w:sz="4" w:space="0" w:color="auto"/>
              <w:right w:val="single" w:sz="4" w:space="0" w:color="auto"/>
            </w:tcBorders>
            <w:shd w:val="clear" w:color="auto" w:fill="auto"/>
            <w:vAlign w:val="center"/>
            <w:hideMark/>
          </w:tcPr>
          <w:p w14:paraId="7A69C549"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 xml:space="preserve"> €            38,211.13 </w:t>
            </w:r>
          </w:p>
        </w:tc>
      </w:tr>
      <w:tr w:rsidR="0014788A" w:rsidRPr="0014788A" w14:paraId="7A45D4E9" w14:textId="77777777" w:rsidTr="0014788A">
        <w:trPr>
          <w:trHeight w:val="29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2EEBE879"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Direct service contract</w:t>
            </w:r>
          </w:p>
        </w:tc>
        <w:tc>
          <w:tcPr>
            <w:tcW w:w="1985" w:type="dxa"/>
            <w:tcBorders>
              <w:top w:val="nil"/>
              <w:left w:val="nil"/>
              <w:bottom w:val="single" w:sz="4" w:space="0" w:color="auto"/>
              <w:right w:val="single" w:sz="4" w:space="0" w:color="auto"/>
            </w:tcBorders>
            <w:shd w:val="clear" w:color="auto" w:fill="auto"/>
            <w:vAlign w:val="center"/>
            <w:hideMark/>
          </w:tcPr>
          <w:p w14:paraId="2B423470"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Data protection services</w:t>
            </w:r>
          </w:p>
        </w:tc>
        <w:tc>
          <w:tcPr>
            <w:tcW w:w="1984" w:type="dxa"/>
            <w:tcBorders>
              <w:top w:val="nil"/>
              <w:left w:val="nil"/>
              <w:bottom w:val="single" w:sz="4" w:space="0" w:color="auto"/>
              <w:right w:val="single" w:sz="4" w:space="0" w:color="auto"/>
            </w:tcBorders>
            <w:shd w:val="clear" w:color="auto" w:fill="auto"/>
            <w:noWrap/>
            <w:vAlign w:val="center"/>
            <w:hideMark/>
          </w:tcPr>
          <w:p w14:paraId="25E2754C"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FCH/Contract 294</w:t>
            </w:r>
          </w:p>
        </w:tc>
        <w:tc>
          <w:tcPr>
            <w:tcW w:w="1560" w:type="dxa"/>
            <w:tcBorders>
              <w:top w:val="nil"/>
              <w:left w:val="nil"/>
              <w:bottom w:val="single" w:sz="4" w:space="0" w:color="auto"/>
              <w:right w:val="single" w:sz="4" w:space="0" w:color="auto"/>
            </w:tcBorders>
            <w:shd w:val="clear" w:color="auto" w:fill="auto"/>
            <w:noWrap/>
            <w:vAlign w:val="center"/>
            <w:hideMark/>
          </w:tcPr>
          <w:p w14:paraId="7BBA9875"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Negotiated procedure</w:t>
            </w:r>
          </w:p>
        </w:tc>
        <w:tc>
          <w:tcPr>
            <w:tcW w:w="2268" w:type="dxa"/>
            <w:tcBorders>
              <w:top w:val="nil"/>
              <w:left w:val="nil"/>
              <w:bottom w:val="single" w:sz="4" w:space="0" w:color="auto"/>
              <w:right w:val="single" w:sz="4" w:space="0" w:color="auto"/>
            </w:tcBorders>
            <w:shd w:val="clear" w:color="auto" w:fill="auto"/>
            <w:noWrap/>
            <w:vAlign w:val="center"/>
            <w:hideMark/>
          </w:tcPr>
          <w:p w14:paraId="4077B505"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LYDIAN</w:t>
            </w:r>
          </w:p>
        </w:tc>
        <w:tc>
          <w:tcPr>
            <w:tcW w:w="2126" w:type="dxa"/>
            <w:tcBorders>
              <w:top w:val="nil"/>
              <w:left w:val="nil"/>
              <w:bottom w:val="single" w:sz="4" w:space="0" w:color="auto"/>
              <w:right w:val="single" w:sz="4" w:space="0" w:color="auto"/>
            </w:tcBorders>
            <w:shd w:val="clear" w:color="auto" w:fill="auto"/>
            <w:vAlign w:val="center"/>
            <w:hideMark/>
          </w:tcPr>
          <w:p w14:paraId="4B6845AD"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 xml:space="preserve"> €            35,000.00 </w:t>
            </w:r>
          </w:p>
        </w:tc>
      </w:tr>
      <w:tr w:rsidR="0014788A" w:rsidRPr="0014788A" w14:paraId="665C7398" w14:textId="77777777" w:rsidTr="0014788A">
        <w:trPr>
          <w:trHeight w:val="5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6405F164"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Specific contract</w:t>
            </w:r>
          </w:p>
        </w:tc>
        <w:tc>
          <w:tcPr>
            <w:tcW w:w="1985" w:type="dxa"/>
            <w:tcBorders>
              <w:top w:val="nil"/>
              <w:left w:val="nil"/>
              <w:bottom w:val="single" w:sz="4" w:space="0" w:color="auto"/>
              <w:right w:val="single" w:sz="4" w:space="0" w:color="auto"/>
            </w:tcBorders>
            <w:shd w:val="clear" w:color="auto" w:fill="auto"/>
            <w:vAlign w:val="center"/>
            <w:hideMark/>
          </w:tcPr>
          <w:p w14:paraId="530A882E"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Ongoing services Eurodomain 01.01.2022-31.12.2022</w:t>
            </w:r>
          </w:p>
        </w:tc>
        <w:tc>
          <w:tcPr>
            <w:tcW w:w="1984" w:type="dxa"/>
            <w:tcBorders>
              <w:top w:val="nil"/>
              <w:left w:val="nil"/>
              <w:bottom w:val="single" w:sz="4" w:space="0" w:color="auto"/>
              <w:right w:val="single" w:sz="4" w:space="0" w:color="auto"/>
            </w:tcBorders>
            <w:shd w:val="clear" w:color="auto" w:fill="auto"/>
            <w:noWrap/>
            <w:vAlign w:val="center"/>
            <w:hideMark/>
          </w:tcPr>
          <w:p w14:paraId="56173A68"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Testa-ng II SC76</w:t>
            </w:r>
          </w:p>
        </w:tc>
        <w:tc>
          <w:tcPr>
            <w:tcW w:w="1560" w:type="dxa"/>
            <w:tcBorders>
              <w:top w:val="nil"/>
              <w:left w:val="nil"/>
              <w:bottom w:val="single" w:sz="4" w:space="0" w:color="auto"/>
              <w:right w:val="single" w:sz="4" w:space="0" w:color="auto"/>
            </w:tcBorders>
            <w:shd w:val="clear" w:color="auto" w:fill="auto"/>
            <w:vAlign w:val="center"/>
            <w:hideMark/>
          </w:tcPr>
          <w:p w14:paraId="54287E9F" w14:textId="77777777" w:rsidR="0014788A" w:rsidRPr="0014788A" w:rsidRDefault="0014788A" w:rsidP="0014788A">
            <w:pPr>
              <w:spacing w:after="0" w:line="240" w:lineRule="auto"/>
              <w:jc w:val="center"/>
              <w:rPr>
                <w:rFonts w:eastAsia="Times New Roman" w:cs="Calibri"/>
                <w:color w:val="000000"/>
                <w:lang w:eastAsia="en-GB"/>
              </w:rPr>
            </w:pPr>
            <w:r w:rsidRPr="0014788A">
              <w:rPr>
                <w:rFonts w:eastAsia="Times New Roman" w:cs="Calibri"/>
                <w:color w:val="000000"/>
                <w:lang w:eastAsia="en-GB"/>
              </w:rPr>
              <w:t>Specific contract under framework</w:t>
            </w:r>
          </w:p>
        </w:tc>
        <w:tc>
          <w:tcPr>
            <w:tcW w:w="2268" w:type="dxa"/>
            <w:tcBorders>
              <w:top w:val="nil"/>
              <w:left w:val="nil"/>
              <w:bottom w:val="single" w:sz="4" w:space="0" w:color="auto"/>
              <w:right w:val="single" w:sz="4" w:space="0" w:color="auto"/>
            </w:tcBorders>
            <w:shd w:val="clear" w:color="auto" w:fill="auto"/>
            <w:noWrap/>
            <w:vAlign w:val="center"/>
            <w:hideMark/>
          </w:tcPr>
          <w:p w14:paraId="308E879C"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Deutsche Telekom Business Solutions GmbH</w:t>
            </w:r>
          </w:p>
        </w:tc>
        <w:tc>
          <w:tcPr>
            <w:tcW w:w="2126" w:type="dxa"/>
            <w:tcBorders>
              <w:top w:val="nil"/>
              <w:left w:val="nil"/>
              <w:bottom w:val="single" w:sz="4" w:space="0" w:color="auto"/>
              <w:right w:val="single" w:sz="4" w:space="0" w:color="auto"/>
            </w:tcBorders>
            <w:shd w:val="clear" w:color="auto" w:fill="auto"/>
            <w:vAlign w:val="center"/>
            <w:hideMark/>
          </w:tcPr>
          <w:p w14:paraId="66F52A16"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 xml:space="preserve"> €            31,463.76 </w:t>
            </w:r>
          </w:p>
        </w:tc>
      </w:tr>
      <w:tr w:rsidR="0014788A" w:rsidRPr="0014788A" w14:paraId="53AC79CE" w14:textId="77777777" w:rsidTr="0014788A">
        <w:trPr>
          <w:trHeight w:val="5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03CB73C0"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Specific contract</w:t>
            </w:r>
          </w:p>
        </w:tc>
        <w:tc>
          <w:tcPr>
            <w:tcW w:w="1985" w:type="dxa"/>
            <w:tcBorders>
              <w:top w:val="nil"/>
              <w:left w:val="nil"/>
              <w:bottom w:val="single" w:sz="4" w:space="0" w:color="auto"/>
              <w:right w:val="single" w:sz="4" w:space="0" w:color="auto"/>
            </w:tcBorders>
            <w:shd w:val="clear" w:color="auto" w:fill="auto"/>
            <w:vAlign w:val="center"/>
            <w:hideMark/>
          </w:tcPr>
          <w:p w14:paraId="2F2444F3"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Microsoft annual fee for software licenses renewal</w:t>
            </w:r>
          </w:p>
        </w:tc>
        <w:tc>
          <w:tcPr>
            <w:tcW w:w="1984" w:type="dxa"/>
            <w:tcBorders>
              <w:top w:val="nil"/>
              <w:left w:val="nil"/>
              <w:bottom w:val="single" w:sz="4" w:space="0" w:color="auto"/>
              <w:right w:val="single" w:sz="4" w:space="0" w:color="auto"/>
            </w:tcBorders>
            <w:shd w:val="clear" w:color="auto" w:fill="auto"/>
            <w:vAlign w:val="center"/>
            <w:hideMark/>
          </w:tcPr>
          <w:p w14:paraId="1D75DA99"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Order Form No 07722-OF-4854</w:t>
            </w:r>
          </w:p>
        </w:tc>
        <w:tc>
          <w:tcPr>
            <w:tcW w:w="1560" w:type="dxa"/>
            <w:tcBorders>
              <w:top w:val="nil"/>
              <w:left w:val="nil"/>
              <w:bottom w:val="single" w:sz="4" w:space="0" w:color="auto"/>
              <w:right w:val="single" w:sz="4" w:space="0" w:color="auto"/>
            </w:tcBorders>
            <w:shd w:val="clear" w:color="auto" w:fill="auto"/>
            <w:vAlign w:val="center"/>
            <w:hideMark/>
          </w:tcPr>
          <w:p w14:paraId="4D4FDB86" w14:textId="77777777" w:rsidR="0014788A" w:rsidRPr="0014788A" w:rsidRDefault="0014788A" w:rsidP="0014788A">
            <w:pPr>
              <w:spacing w:after="0" w:line="240" w:lineRule="auto"/>
              <w:jc w:val="center"/>
              <w:rPr>
                <w:rFonts w:eastAsia="Times New Roman" w:cs="Calibri"/>
                <w:color w:val="000000"/>
                <w:lang w:eastAsia="en-GB"/>
              </w:rPr>
            </w:pPr>
            <w:r w:rsidRPr="0014788A">
              <w:rPr>
                <w:rFonts w:eastAsia="Times New Roman" w:cs="Calibri"/>
                <w:color w:val="000000"/>
                <w:lang w:eastAsia="en-GB"/>
              </w:rPr>
              <w:t>Specific contract under framework</w:t>
            </w:r>
          </w:p>
        </w:tc>
        <w:tc>
          <w:tcPr>
            <w:tcW w:w="2268" w:type="dxa"/>
            <w:tcBorders>
              <w:top w:val="nil"/>
              <w:left w:val="nil"/>
              <w:bottom w:val="single" w:sz="4" w:space="0" w:color="auto"/>
              <w:right w:val="single" w:sz="4" w:space="0" w:color="auto"/>
            </w:tcBorders>
            <w:shd w:val="clear" w:color="auto" w:fill="auto"/>
            <w:vAlign w:val="center"/>
            <w:hideMark/>
          </w:tcPr>
          <w:p w14:paraId="0BA58983"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Insight Technology Solutions Belgium Inc</w:t>
            </w:r>
          </w:p>
        </w:tc>
        <w:tc>
          <w:tcPr>
            <w:tcW w:w="2126" w:type="dxa"/>
            <w:tcBorders>
              <w:top w:val="nil"/>
              <w:left w:val="nil"/>
              <w:bottom w:val="single" w:sz="4" w:space="0" w:color="auto"/>
              <w:right w:val="single" w:sz="4" w:space="0" w:color="auto"/>
            </w:tcBorders>
            <w:shd w:val="clear" w:color="auto" w:fill="auto"/>
            <w:noWrap/>
            <w:vAlign w:val="center"/>
            <w:hideMark/>
          </w:tcPr>
          <w:p w14:paraId="6899144B" w14:textId="77777777" w:rsidR="0014788A" w:rsidRPr="0014788A" w:rsidRDefault="0014788A" w:rsidP="0014788A">
            <w:pPr>
              <w:spacing w:after="0" w:line="240" w:lineRule="auto"/>
              <w:rPr>
                <w:rFonts w:eastAsia="Times New Roman" w:cs="Calibri"/>
                <w:color w:val="000000"/>
                <w:lang w:eastAsia="en-GB"/>
              </w:rPr>
            </w:pPr>
            <w:r w:rsidRPr="0014788A">
              <w:rPr>
                <w:rFonts w:eastAsia="Times New Roman" w:cs="Calibri"/>
                <w:color w:val="000000"/>
                <w:lang w:eastAsia="en-GB"/>
              </w:rPr>
              <w:t xml:space="preserve"> €            17,744.24 </w:t>
            </w:r>
          </w:p>
        </w:tc>
      </w:tr>
    </w:tbl>
    <w:p w14:paraId="2FF9D5B9" w14:textId="77777777" w:rsidR="002638D4" w:rsidRPr="002638D4" w:rsidRDefault="002638D4" w:rsidP="002638D4">
      <w:pPr>
        <w:jc w:val="both"/>
        <w:rPr>
          <w:rFonts w:ascii="Arial" w:hAnsi="Arial" w:cs="Arial"/>
          <w:b/>
          <w:bCs/>
        </w:rPr>
      </w:pPr>
    </w:p>
    <w:p w14:paraId="5E4070B1" w14:textId="77777777" w:rsidR="002638D4" w:rsidRPr="002638D4" w:rsidRDefault="002638D4" w:rsidP="002638D4"/>
    <w:p w14:paraId="137B0BE5" w14:textId="77777777" w:rsidR="0054406E" w:rsidRPr="00792B39" w:rsidRDefault="006131DC" w:rsidP="00B45034">
      <w:pPr>
        <w:pStyle w:val="Heading3"/>
        <w:numPr>
          <w:ilvl w:val="1"/>
          <w:numId w:val="1"/>
        </w:numPr>
        <w:jc w:val="both"/>
        <w:rPr>
          <w:rFonts w:ascii="Arial" w:hAnsi="Arial" w:cs="Arial"/>
        </w:rPr>
      </w:pPr>
      <w:r w:rsidRPr="00792B39">
        <w:rPr>
          <w:rFonts w:ascii="Arial" w:hAnsi="Arial" w:cs="Arial"/>
        </w:rPr>
        <w:lastRenderedPageBreak/>
        <w:t xml:space="preserve"> </w:t>
      </w:r>
      <w:bookmarkStart w:id="156" w:name="_Toc98496355"/>
      <w:bookmarkStart w:id="157" w:name="_Toc101516076"/>
      <w:r w:rsidR="0054406E" w:rsidRPr="00792B39">
        <w:rPr>
          <w:rFonts w:ascii="Arial" w:hAnsi="Arial" w:cs="Arial"/>
        </w:rPr>
        <w:t>IT and logistics</w:t>
      </w:r>
      <w:bookmarkEnd w:id="156"/>
      <w:bookmarkEnd w:id="157"/>
    </w:p>
    <w:p w14:paraId="1E97F98C" w14:textId="344B1058" w:rsidR="00FC26FE" w:rsidRPr="0043568C" w:rsidRDefault="00FC26FE" w:rsidP="00FC26FE">
      <w:pPr>
        <w:jc w:val="both"/>
        <w:rPr>
          <w:rFonts w:cs="Calibri"/>
        </w:rPr>
      </w:pPr>
      <w:r w:rsidRPr="0043568C">
        <w:rPr>
          <w:rFonts w:cs="Calibri"/>
        </w:rPr>
        <w:t>The year 202</w:t>
      </w:r>
      <w:r>
        <w:rPr>
          <w:rFonts w:cs="Calibri"/>
        </w:rPr>
        <w:t>1</w:t>
      </w:r>
      <w:r w:rsidRPr="0043568C">
        <w:rPr>
          <w:rFonts w:cs="Calibri"/>
        </w:rPr>
        <w:t xml:space="preserve"> was driven by the </w:t>
      </w:r>
      <w:r w:rsidRPr="00BC4717">
        <w:rPr>
          <w:rFonts w:cs="Calibri"/>
        </w:rPr>
        <w:t>new ways of working accelerated by the COVID-19</w:t>
      </w:r>
      <w:r>
        <w:rPr>
          <w:rFonts w:cs="Calibri"/>
        </w:rPr>
        <w:t xml:space="preserve"> </w:t>
      </w:r>
      <w:r w:rsidRPr="00BC4717">
        <w:rPr>
          <w:rFonts w:cs="Calibri"/>
        </w:rPr>
        <w:t>situation</w:t>
      </w:r>
      <w:r>
        <w:rPr>
          <w:rFonts w:cs="Calibri"/>
        </w:rPr>
        <w:t xml:space="preserve">.IT has accelerated the </w:t>
      </w:r>
      <w:r w:rsidRPr="00BC4717">
        <w:rPr>
          <w:rFonts w:cs="Calibri"/>
        </w:rPr>
        <w:t>deployment of Software-as-a-service solution (SaaS), starting</w:t>
      </w:r>
      <w:r>
        <w:rPr>
          <w:rFonts w:cs="Calibri"/>
        </w:rPr>
        <w:t xml:space="preserve"> </w:t>
      </w:r>
      <w:r w:rsidRPr="00BC4717">
        <w:rPr>
          <w:rFonts w:cs="Calibri"/>
        </w:rPr>
        <w:t xml:space="preserve">with the implementation of the mitigation measures identified in the Office365 DPIA. </w:t>
      </w:r>
      <w:r w:rsidRPr="0043568C">
        <w:rPr>
          <w:rFonts w:cs="Calibri"/>
        </w:rPr>
        <w:t xml:space="preserve">The year was marked </w:t>
      </w:r>
      <w:r>
        <w:rPr>
          <w:rFonts w:cs="Calibri"/>
        </w:rPr>
        <w:t xml:space="preserve">by </w:t>
      </w:r>
      <w:r w:rsidRPr="00BC4717">
        <w:rPr>
          <w:rFonts w:cs="Calibri"/>
        </w:rPr>
        <w:t>replacement of in person meetings by virtual meetings and conferences</w:t>
      </w:r>
      <w:r w:rsidRPr="0043568C">
        <w:rPr>
          <w:rFonts w:cs="Calibri"/>
        </w:rPr>
        <w:t xml:space="preserve">. </w:t>
      </w:r>
      <w:r>
        <w:rPr>
          <w:rFonts w:cs="Calibri"/>
        </w:rPr>
        <w:t>It was reinforced by the unified communication project a</w:t>
      </w:r>
      <w:r w:rsidRPr="003A2C08">
        <w:rPr>
          <w:rFonts w:cs="Calibri"/>
        </w:rPr>
        <w:t xml:space="preserve">s replacement of the classic </w:t>
      </w:r>
      <w:r>
        <w:rPr>
          <w:rFonts w:cs="Calibri"/>
        </w:rPr>
        <w:t xml:space="preserve">telephony. </w:t>
      </w:r>
      <w:r w:rsidRPr="0043568C">
        <w:rPr>
          <w:rFonts w:cs="Calibri"/>
        </w:rPr>
        <w:t xml:space="preserve">The last quarter was marked by the organization and success of the European Hydrogen Week as hybrid virtual web conference </w:t>
      </w:r>
      <w:r>
        <w:rPr>
          <w:rFonts w:cs="Calibri"/>
        </w:rPr>
        <w:t>and</w:t>
      </w:r>
      <w:r w:rsidRPr="003A2C08">
        <w:rPr>
          <w:rFonts w:cs="Calibri"/>
        </w:rPr>
        <w:t xml:space="preserve"> the highest attendance of</w:t>
      </w:r>
      <w:r>
        <w:rPr>
          <w:rFonts w:cs="Calibri"/>
        </w:rPr>
        <w:t xml:space="preserve"> </w:t>
      </w:r>
      <w:r w:rsidRPr="003A2C08">
        <w:rPr>
          <w:rFonts w:cs="Calibri"/>
        </w:rPr>
        <w:t>the PRD days ever which were for the first time broadcasted from</w:t>
      </w:r>
      <w:r>
        <w:rPr>
          <w:rFonts w:cs="Calibri"/>
        </w:rPr>
        <w:t xml:space="preserve"> </w:t>
      </w:r>
      <w:r w:rsidRPr="003A2C08">
        <w:rPr>
          <w:rFonts w:cs="Calibri"/>
        </w:rPr>
        <w:t>the newly created studio of the JU</w:t>
      </w:r>
      <w:r>
        <w:rPr>
          <w:rFonts w:cs="Calibri"/>
        </w:rPr>
        <w:t xml:space="preserve"> but also by the transition to the new Clean Hydrogen Joint Undertaking.</w:t>
      </w:r>
    </w:p>
    <w:p w14:paraId="474D33AB" w14:textId="77777777" w:rsidR="00FC26FE" w:rsidRPr="0043568C" w:rsidRDefault="00FC26FE" w:rsidP="00FC26FE">
      <w:pPr>
        <w:jc w:val="both"/>
        <w:rPr>
          <w:rFonts w:cs="Calibri"/>
          <w:b/>
        </w:rPr>
      </w:pPr>
      <w:r w:rsidRPr="0043568C">
        <w:rPr>
          <w:rFonts w:cs="Calibri"/>
          <w:b/>
        </w:rPr>
        <w:t>Support to FCH core business</w:t>
      </w:r>
    </w:p>
    <w:p w14:paraId="77C40FB8" w14:textId="1D58242C" w:rsidR="00FC26FE" w:rsidRPr="0043568C" w:rsidRDefault="00FC26FE" w:rsidP="00FC26FE">
      <w:pPr>
        <w:jc w:val="both"/>
        <w:rPr>
          <w:rFonts w:cs="Calibri"/>
        </w:rPr>
      </w:pPr>
      <w:r w:rsidRPr="0043568C">
        <w:rPr>
          <w:rFonts w:cs="Calibri"/>
        </w:rPr>
        <w:t>As in previous years, FCH staff were assured adequate access to the complete set of EC applications for grant management. The roles of the Single Point of Contact for COMPASS (SPOC) and Local Authorisations Manager for ABAC (LAM) were again useful to ensure the successful implementation of H2020 Call 202</w:t>
      </w:r>
      <w:r>
        <w:rPr>
          <w:rFonts w:cs="Calibri"/>
        </w:rPr>
        <w:t>1</w:t>
      </w:r>
      <w:r w:rsidRPr="0043568C">
        <w:rPr>
          <w:rFonts w:cs="Calibri"/>
        </w:rPr>
        <w:t xml:space="preserve">. </w:t>
      </w:r>
      <w:r>
        <w:rPr>
          <w:rFonts w:cs="Calibri"/>
        </w:rPr>
        <w:t xml:space="preserve">More important as the efficient remote support provided by the IT Officer and the service desk </w:t>
      </w:r>
      <w:proofErr w:type="gramStart"/>
      <w:r>
        <w:rPr>
          <w:rFonts w:cs="Calibri"/>
        </w:rPr>
        <w:t>t</w:t>
      </w:r>
      <w:r w:rsidR="000C5BE7">
        <w:rPr>
          <w:rFonts w:cs="Calibri"/>
        </w:rPr>
        <w:t>o</w:t>
      </w:r>
      <w:r>
        <w:rPr>
          <w:rFonts w:cs="Calibri"/>
        </w:rPr>
        <w:t>o</w:t>
      </w:r>
      <w:r w:rsidR="000C5BE7">
        <w:rPr>
          <w:rFonts w:cs="Calibri"/>
        </w:rPr>
        <w:t>k</w:t>
      </w:r>
      <w:r>
        <w:rPr>
          <w:rFonts w:cs="Calibri"/>
        </w:rPr>
        <w:t xml:space="preserve"> </w:t>
      </w:r>
      <w:r w:rsidRPr="003A2C08">
        <w:rPr>
          <w:rFonts w:cs="Calibri"/>
        </w:rPr>
        <w:t>into account</w:t>
      </w:r>
      <w:proofErr w:type="gramEnd"/>
      <w:r w:rsidRPr="003A2C08">
        <w:rPr>
          <w:rFonts w:cs="Calibri"/>
        </w:rPr>
        <w:t xml:space="preserve"> </w:t>
      </w:r>
      <w:r w:rsidR="000C5BE7">
        <w:rPr>
          <w:rFonts w:cs="Calibri"/>
        </w:rPr>
        <w:t>reduced</w:t>
      </w:r>
      <w:r>
        <w:rPr>
          <w:rFonts w:cs="Calibri"/>
        </w:rPr>
        <w:t xml:space="preserve"> </w:t>
      </w:r>
      <w:r w:rsidRPr="003A2C08">
        <w:rPr>
          <w:rFonts w:cs="Calibri"/>
        </w:rPr>
        <w:t>presence in the office, increased hybrid modes of working as well as health and safety requirements.</w:t>
      </w:r>
    </w:p>
    <w:p w14:paraId="379BF590" w14:textId="3EBEC727" w:rsidR="00FC26FE" w:rsidRPr="0043568C" w:rsidRDefault="00FC26FE" w:rsidP="00FC26FE">
      <w:pPr>
        <w:jc w:val="both"/>
        <w:rPr>
          <w:rFonts w:cs="Calibri"/>
        </w:rPr>
      </w:pPr>
      <w:r w:rsidRPr="0043568C">
        <w:rPr>
          <w:rFonts w:cs="Calibri"/>
        </w:rPr>
        <w:t xml:space="preserve">The deployment in urgency of the Teams </w:t>
      </w:r>
      <w:r>
        <w:rPr>
          <w:rFonts w:cs="Calibri"/>
        </w:rPr>
        <w:t>voice</w:t>
      </w:r>
      <w:r w:rsidRPr="0043568C">
        <w:rPr>
          <w:rFonts w:cs="Calibri"/>
        </w:rPr>
        <w:t xml:space="preserve"> project during the second quarter, due to the Covid-19 situation, helped a lot the JU to continue without interruption the usual business activities.</w:t>
      </w:r>
    </w:p>
    <w:p w14:paraId="7528688E" w14:textId="59707C62" w:rsidR="00FC26FE" w:rsidRPr="0043568C" w:rsidRDefault="00FC26FE" w:rsidP="00FC26FE">
      <w:pPr>
        <w:jc w:val="both"/>
        <w:rPr>
          <w:rFonts w:cs="Calibri"/>
        </w:rPr>
      </w:pPr>
      <w:r w:rsidRPr="0043568C">
        <w:rPr>
          <w:rFonts w:cs="Calibri"/>
        </w:rPr>
        <w:t xml:space="preserve">A close follow-up of the infrastructure-as-a-service (IaaS) solution and IT managed services contracts available to the JU has been performed and as indicators supporting the new internal control </w:t>
      </w:r>
      <w:proofErr w:type="gramStart"/>
      <w:r w:rsidRPr="0043568C">
        <w:rPr>
          <w:rFonts w:cs="Calibri"/>
        </w:rPr>
        <w:t>framework</w:t>
      </w:r>
      <w:proofErr w:type="gramEnd"/>
      <w:r w:rsidRPr="0043568C">
        <w:rPr>
          <w:rFonts w:cs="Calibri"/>
        </w:rPr>
        <w:t xml:space="preserve"> we can mention the following:</w:t>
      </w:r>
    </w:p>
    <w:p w14:paraId="2A400839" w14:textId="6AF3F663" w:rsidR="00FC26FE" w:rsidRPr="0043568C" w:rsidRDefault="00FC26FE" w:rsidP="002672A0">
      <w:pPr>
        <w:numPr>
          <w:ilvl w:val="0"/>
          <w:numId w:val="5"/>
        </w:numPr>
        <w:spacing w:after="160" w:line="259" w:lineRule="auto"/>
        <w:contextualSpacing/>
        <w:jc w:val="both"/>
        <w:rPr>
          <w:rFonts w:cs="Calibri"/>
        </w:rPr>
      </w:pPr>
      <w:r w:rsidRPr="0043568C">
        <w:rPr>
          <w:rFonts w:cs="Calibri"/>
        </w:rPr>
        <w:t xml:space="preserve">The business continuity </w:t>
      </w:r>
      <w:r>
        <w:rPr>
          <w:rFonts w:cs="Calibri"/>
        </w:rPr>
        <w:t>operations were eviden</w:t>
      </w:r>
      <w:r w:rsidR="000C5BE7">
        <w:rPr>
          <w:rFonts w:cs="Calibri"/>
        </w:rPr>
        <w:t>t</w:t>
      </w:r>
      <w:r>
        <w:rPr>
          <w:rFonts w:cs="Calibri"/>
        </w:rPr>
        <w:t xml:space="preserve"> during all</w:t>
      </w:r>
      <w:r w:rsidRPr="0043568C">
        <w:rPr>
          <w:rFonts w:cs="Calibri"/>
        </w:rPr>
        <w:t xml:space="preserve"> 202</w:t>
      </w:r>
      <w:r>
        <w:rPr>
          <w:rFonts w:cs="Calibri"/>
        </w:rPr>
        <w:t>1</w:t>
      </w:r>
    </w:p>
    <w:p w14:paraId="75883743" w14:textId="2C402868" w:rsidR="00FC26FE" w:rsidRDefault="00FC26FE" w:rsidP="002672A0">
      <w:pPr>
        <w:numPr>
          <w:ilvl w:val="0"/>
          <w:numId w:val="5"/>
        </w:numPr>
        <w:spacing w:after="160" w:line="259" w:lineRule="auto"/>
        <w:contextualSpacing/>
        <w:jc w:val="both"/>
        <w:rPr>
          <w:rFonts w:cs="Calibri"/>
        </w:rPr>
      </w:pPr>
      <w:r w:rsidRPr="0043568C">
        <w:rPr>
          <w:rFonts w:cs="Calibri"/>
        </w:rPr>
        <w:t xml:space="preserve">The quality and performance indicators of the IT Managed services, the downtime of the key systems </w:t>
      </w:r>
      <w:proofErr w:type="gramStart"/>
      <w:r>
        <w:rPr>
          <w:rFonts w:cs="Calibri"/>
        </w:rPr>
        <w:t>are</w:t>
      </w:r>
      <w:proofErr w:type="gramEnd"/>
      <w:r w:rsidRPr="0043568C">
        <w:rPr>
          <w:rFonts w:cs="Calibri"/>
        </w:rPr>
        <w:t xml:space="preserve"> reported on a quarterly basis in the inter JUs IT Governance report. </w:t>
      </w:r>
    </w:p>
    <w:p w14:paraId="05BD0D43" w14:textId="77777777" w:rsidR="00FC26FE" w:rsidRDefault="00FC26FE" w:rsidP="002672A0">
      <w:pPr>
        <w:numPr>
          <w:ilvl w:val="0"/>
          <w:numId w:val="5"/>
        </w:numPr>
        <w:spacing w:after="160" w:line="259" w:lineRule="auto"/>
        <w:contextualSpacing/>
        <w:jc w:val="both"/>
        <w:rPr>
          <w:rFonts w:cs="Calibri"/>
        </w:rPr>
      </w:pPr>
      <w:r w:rsidRPr="0043568C">
        <w:rPr>
          <w:rFonts w:cs="Calibri"/>
        </w:rPr>
        <w:t xml:space="preserve">We have several sources </w:t>
      </w:r>
      <w:r>
        <w:rPr>
          <w:rFonts w:cs="Calibri"/>
        </w:rPr>
        <w:t xml:space="preserve">of monitoring </w:t>
      </w:r>
      <w:r w:rsidRPr="0043568C">
        <w:rPr>
          <w:rFonts w:cs="Calibri"/>
        </w:rPr>
        <w:t>depending on the type of service:</w:t>
      </w:r>
      <w:r>
        <w:rPr>
          <w:rFonts w:cs="Calibri"/>
        </w:rPr>
        <w:t xml:space="preserve"> performance metrics of EC Tools, </w:t>
      </w:r>
      <w:hyperlink r:id="rId88" w:history="1">
        <w:r w:rsidRPr="0043568C">
          <w:rPr>
            <w:rFonts w:cs="Calibri"/>
            <w:color w:val="0563C1"/>
            <w:u w:val="single"/>
          </w:rPr>
          <w:t>ScienceLogic portal</w:t>
        </w:r>
      </w:hyperlink>
      <w:r>
        <w:rPr>
          <w:rFonts w:cs="Calibri"/>
          <w:color w:val="0563C1"/>
          <w:u w:val="single"/>
        </w:rPr>
        <w:t xml:space="preserve"> </w:t>
      </w:r>
      <w:r>
        <w:rPr>
          <w:rFonts w:cs="Calibri"/>
        </w:rPr>
        <w:t xml:space="preserve">for the IT Infrastructure and end support, </w:t>
      </w:r>
      <w:hyperlink r:id="rId89" w:history="1">
        <w:r w:rsidRPr="0043568C">
          <w:rPr>
            <w:rFonts w:cs="Calibri"/>
            <w:color w:val="0563C1"/>
            <w:u w:val="single"/>
          </w:rPr>
          <w:t>Icinga portal</w:t>
        </w:r>
      </w:hyperlink>
      <w:r>
        <w:rPr>
          <w:rFonts w:cs="Calibri"/>
          <w:color w:val="0563C1"/>
          <w:u w:val="single"/>
        </w:rPr>
        <w:t xml:space="preserve"> </w:t>
      </w:r>
      <w:r>
        <w:rPr>
          <w:rFonts w:cs="Calibri"/>
        </w:rPr>
        <w:t xml:space="preserve">for the IaaS cloud services, Splunk from CERT-EU for the log files and security analysis. </w:t>
      </w:r>
    </w:p>
    <w:p w14:paraId="40B289FF" w14:textId="345ADBBF" w:rsidR="00FC26FE" w:rsidRPr="0043568C" w:rsidRDefault="00FC26FE" w:rsidP="002672A0">
      <w:pPr>
        <w:numPr>
          <w:ilvl w:val="0"/>
          <w:numId w:val="5"/>
        </w:numPr>
        <w:spacing w:after="160" w:line="259" w:lineRule="auto"/>
        <w:contextualSpacing/>
        <w:jc w:val="both"/>
        <w:rPr>
          <w:rFonts w:cs="Calibri"/>
        </w:rPr>
      </w:pPr>
      <w:r>
        <w:rPr>
          <w:rFonts w:cs="Calibri"/>
        </w:rPr>
        <w:t>The Joint Undertaking was no</w:t>
      </w:r>
      <w:r w:rsidR="000C5BE7">
        <w:rPr>
          <w:rFonts w:cs="Calibri"/>
        </w:rPr>
        <w:t>t</w:t>
      </w:r>
      <w:r>
        <w:rPr>
          <w:rFonts w:cs="Calibri"/>
        </w:rPr>
        <w:t xml:space="preserve"> affected by security incident coming for external cyberattack(s).</w:t>
      </w:r>
    </w:p>
    <w:p w14:paraId="1C64E07E" w14:textId="77777777" w:rsidR="00FC26FE" w:rsidRPr="0043568C" w:rsidRDefault="00FC26FE" w:rsidP="00FC26FE">
      <w:pPr>
        <w:ind w:left="1440"/>
        <w:contextualSpacing/>
        <w:jc w:val="both"/>
        <w:rPr>
          <w:rFonts w:cs="Calibri"/>
        </w:rPr>
      </w:pPr>
    </w:p>
    <w:p w14:paraId="650507FB" w14:textId="77777777" w:rsidR="00FC26FE" w:rsidRPr="0043568C" w:rsidRDefault="00FC26FE" w:rsidP="00FC26FE">
      <w:pPr>
        <w:jc w:val="both"/>
        <w:rPr>
          <w:rFonts w:cs="Calibri"/>
          <w:b/>
        </w:rPr>
      </w:pPr>
      <w:r w:rsidRPr="0043568C">
        <w:rPr>
          <w:rFonts w:cs="Calibri"/>
          <w:b/>
        </w:rPr>
        <w:t>Business support tools</w:t>
      </w:r>
    </w:p>
    <w:p w14:paraId="0D100998" w14:textId="4A6F64A0" w:rsidR="00FC26FE" w:rsidRPr="0043568C" w:rsidRDefault="00FC26FE" w:rsidP="00FC26FE">
      <w:pPr>
        <w:jc w:val="both"/>
        <w:rPr>
          <w:rFonts w:cs="Calibri"/>
        </w:rPr>
      </w:pPr>
      <w:r w:rsidRPr="0043568C">
        <w:rPr>
          <w:rFonts w:cs="Calibri"/>
        </w:rPr>
        <w:t xml:space="preserve">The JU continued to adopt more common EU </w:t>
      </w:r>
      <w:r>
        <w:rPr>
          <w:rFonts w:cs="Calibri"/>
        </w:rPr>
        <w:t>solutions for Grants &amp; Procurement</w:t>
      </w:r>
      <w:r w:rsidRPr="0043568C">
        <w:rPr>
          <w:rFonts w:cs="Calibri"/>
        </w:rPr>
        <w:t xml:space="preserve">. Amongst them, the </w:t>
      </w:r>
      <w:r>
        <w:rPr>
          <w:rFonts w:cs="Calibri"/>
        </w:rPr>
        <w:t xml:space="preserve">module eSubmission form the new </w:t>
      </w:r>
      <w:r>
        <w:t xml:space="preserve">e-Procurement suite </w:t>
      </w:r>
      <w:r>
        <w:rPr>
          <w:rFonts w:cs="Calibri"/>
        </w:rPr>
        <w:t xml:space="preserve">provided </w:t>
      </w:r>
      <w:r w:rsidRPr="0043568C">
        <w:rPr>
          <w:rFonts w:cs="Calibri"/>
        </w:rPr>
        <w:t>by DIGIT was used allowing a smoother process, simplified interactions, and efficiency gains for the evaluation process.</w:t>
      </w:r>
      <w:r>
        <w:rPr>
          <w:rFonts w:cs="Calibri"/>
        </w:rPr>
        <w:t xml:space="preserve"> T</w:t>
      </w:r>
      <w:r w:rsidRPr="00A65BE5">
        <w:rPr>
          <w:rFonts w:cs="Calibri"/>
        </w:rPr>
        <w:t xml:space="preserve">he legacy tools, named historically ePRIOR </w:t>
      </w:r>
      <w:r>
        <w:rPr>
          <w:rFonts w:cs="Calibri"/>
        </w:rPr>
        <w:t>is gradually</w:t>
      </w:r>
      <w:r w:rsidRPr="00A65BE5">
        <w:rPr>
          <w:rFonts w:cs="Calibri"/>
        </w:rPr>
        <w:t xml:space="preserve"> replace</w:t>
      </w:r>
      <w:r>
        <w:rPr>
          <w:rFonts w:cs="Calibri"/>
        </w:rPr>
        <w:t>d</w:t>
      </w:r>
      <w:r w:rsidRPr="00A65BE5">
        <w:rPr>
          <w:rFonts w:cs="Calibri"/>
        </w:rPr>
        <w:t xml:space="preserve"> by the end-to-end business process support covered in the new </w:t>
      </w:r>
      <w:proofErr w:type="gramStart"/>
      <w:r w:rsidRPr="00A65BE5">
        <w:rPr>
          <w:rFonts w:cs="Calibri"/>
        </w:rPr>
        <w:t>Corporate</w:t>
      </w:r>
      <w:proofErr w:type="gramEnd"/>
      <w:r w:rsidRPr="00A65BE5">
        <w:rPr>
          <w:rFonts w:cs="Calibri"/>
        </w:rPr>
        <w:t xml:space="preserve"> eProcurement suite.</w:t>
      </w:r>
      <w:r>
        <w:rPr>
          <w:rFonts w:cs="Calibri"/>
        </w:rPr>
        <w:t xml:space="preserve"> </w:t>
      </w:r>
      <w:r w:rsidR="001731C4">
        <w:rPr>
          <w:rFonts w:cs="Calibri"/>
        </w:rPr>
        <w:t xml:space="preserve">The </w:t>
      </w:r>
      <w:r>
        <w:rPr>
          <w:rFonts w:cs="Calibri"/>
        </w:rPr>
        <w:t xml:space="preserve">JU is already engaged in the adoption of the new </w:t>
      </w:r>
      <w:r>
        <w:rPr>
          <w:rFonts w:eastAsia="Times New Roman"/>
          <w:lang w:val="en-US"/>
        </w:rPr>
        <w:t xml:space="preserve">PPMT (Public Procurement Management Tool) to support negotiated procedures for middle and low value contracts, and the Contract management module which will be the link </w:t>
      </w:r>
      <w:r w:rsidRPr="00A65BE5">
        <w:rPr>
          <w:rFonts w:eastAsia="Times New Roman"/>
          <w:lang w:val="en-US"/>
        </w:rPr>
        <w:t>with eSubmission for the automatic generation of contract and electronic signature.</w:t>
      </w:r>
    </w:p>
    <w:p w14:paraId="3B4CC4CA" w14:textId="2E743228" w:rsidR="00FC26FE" w:rsidRPr="0043568C" w:rsidRDefault="00FC26FE" w:rsidP="00FC26FE">
      <w:pPr>
        <w:jc w:val="both"/>
        <w:rPr>
          <w:rFonts w:cs="Calibri"/>
        </w:rPr>
      </w:pPr>
      <w:r w:rsidRPr="0043568C">
        <w:rPr>
          <w:rFonts w:cs="Calibri"/>
        </w:rPr>
        <w:t xml:space="preserve">The JU </w:t>
      </w:r>
      <w:r>
        <w:rPr>
          <w:rFonts w:cs="Calibri"/>
        </w:rPr>
        <w:t>started the</w:t>
      </w:r>
      <w:r w:rsidRPr="00A65BE5">
        <w:rPr>
          <w:rFonts w:cs="Calibri"/>
        </w:rPr>
        <w:t xml:space="preserve"> effective use of the of the EC application SYSPER (for</w:t>
      </w:r>
      <w:r>
        <w:rPr>
          <w:rFonts w:cs="Calibri"/>
        </w:rPr>
        <w:t xml:space="preserve"> </w:t>
      </w:r>
      <w:r w:rsidRPr="00A65BE5">
        <w:rPr>
          <w:rFonts w:cs="Calibri"/>
        </w:rPr>
        <w:t xml:space="preserve">personnel management) </w:t>
      </w:r>
      <w:r>
        <w:rPr>
          <w:rFonts w:cs="Calibri"/>
        </w:rPr>
        <w:t xml:space="preserve">in February </w:t>
      </w:r>
      <w:r w:rsidRPr="00A65BE5">
        <w:rPr>
          <w:rFonts w:cs="Calibri"/>
        </w:rPr>
        <w:t xml:space="preserve">and </w:t>
      </w:r>
      <w:r>
        <w:rPr>
          <w:rFonts w:cs="Calibri"/>
        </w:rPr>
        <w:t>is now preparing the next module</w:t>
      </w:r>
      <w:r w:rsidRPr="00A65BE5">
        <w:rPr>
          <w:rFonts w:cs="Calibri"/>
        </w:rPr>
        <w:t xml:space="preserve"> MiPS (Mission Processing System) as IT application for the management</w:t>
      </w:r>
      <w:r>
        <w:rPr>
          <w:rFonts w:cs="Calibri"/>
        </w:rPr>
        <w:t xml:space="preserve"> </w:t>
      </w:r>
      <w:r w:rsidRPr="00A65BE5">
        <w:rPr>
          <w:rFonts w:cs="Calibri"/>
        </w:rPr>
        <w:t>of mission approval workflows and the reimbursement of costs incurred by mission</w:t>
      </w:r>
      <w:r>
        <w:rPr>
          <w:rFonts w:cs="Calibri"/>
        </w:rPr>
        <w:t xml:space="preserve"> </w:t>
      </w:r>
      <w:r w:rsidRPr="00A65BE5">
        <w:rPr>
          <w:rFonts w:cs="Calibri"/>
        </w:rPr>
        <w:lastRenderedPageBreak/>
        <w:t>performers</w:t>
      </w:r>
      <w:r>
        <w:rPr>
          <w:rFonts w:cs="Calibri"/>
        </w:rPr>
        <w:t>. The transition to the next Clean Hydrogen JU was also the occasion to automate further the processes with synchronization of the user profiles between the document management system Ares and Sysper improving the data quality.</w:t>
      </w:r>
    </w:p>
    <w:p w14:paraId="0B26588C" w14:textId="3AB4EED1" w:rsidR="00FC26FE" w:rsidRPr="00257ACF" w:rsidRDefault="00FC26FE" w:rsidP="00FC26FE">
      <w:pPr>
        <w:jc w:val="both"/>
        <w:rPr>
          <w:rFonts w:cs="Calibri"/>
        </w:rPr>
      </w:pPr>
      <w:r w:rsidRPr="0043568C">
        <w:rPr>
          <w:rFonts w:cs="Calibri"/>
        </w:rPr>
        <w:t xml:space="preserve">The JU website is hosted by DIGIT under the Next-Europa services to ensure the stability and continuity of this essential tool for the external communication and visibility of the FCH programme. </w:t>
      </w:r>
      <w:r>
        <w:rPr>
          <w:rFonts w:cs="Calibri"/>
        </w:rPr>
        <w:t xml:space="preserve">With the setup of the new Clean </w:t>
      </w:r>
      <w:proofErr w:type="gramStart"/>
      <w:r>
        <w:rPr>
          <w:rFonts w:cs="Calibri"/>
        </w:rPr>
        <w:t>Hydrogen</w:t>
      </w:r>
      <w:proofErr w:type="gramEnd"/>
      <w:r>
        <w:rPr>
          <w:rFonts w:cs="Calibri"/>
        </w:rPr>
        <w:t xml:space="preserve"> we have achieved the creation of a completely new website compliant with the EWPP norm, released in a perfect timing in November</w:t>
      </w:r>
      <w:r w:rsidRPr="0043568C">
        <w:rPr>
          <w:rFonts w:cs="Calibri"/>
        </w:rPr>
        <w:t>.</w:t>
      </w:r>
      <w:r>
        <w:rPr>
          <w:rFonts w:cs="Calibri"/>
        </w:rPr>
        <w:t xml:space="preserve"> The old website will be archived in 2022. </w:t>
      </w:r>
    </w:p>
    <w:p w14:paraId="591F9A32" w14:textId="650C2828" w:rsidR="00FC26FE" w:rsidRPr="0043568C" w:rsidRDefault="00FC26FE" w:rsidP="00FC26FE">
      <w:pPr>
        <w:jc w:val="both"/>
        <w:rPr>
          <w:rFonts w:cs="Calibri"/>
        </w:rPr>
      </w:pPr>
      <w:r>
        <w:rPr>
          <w:rFonts w:cs="Calibri"/>
        </w:rPr>
        <w:t>The</w:t>
      </w:r>
      <w:r w:rsidR="0069538B">
        <w:rPr>
          <w:rFonts w:cs="Calibri"/>
        </w:rPr>
        <w:t>re were plenty of challenges</w:t>
      </w:r>
      <w:r>
        <w:rPr>
          <w:rFonts w:cs="Calibri"/>
        </w:rPr>
        <w:t xml:space="preserve"> </w:t>
      </w:r>
      <w:r w:rsidR="0069538B">
        <w:rPr>
          <w:rFonts w:cs="Calibri"/>
        </w:rPr>
        <w:t xml:space="preserve">in 2021, specifically </w:t>
      </w:r>
      <w:r>
        <w:rPr>
          <w:rFonts w:cs="Calibri"/>
        </w:rPr>
        <w:t xml:space="preserve">during the </w:t>
      </w:r>
      <w:r w:rsidRPr="00257ACF">
        <w:rPr>
          <w:rFonts w:cs="Calibri"/>
        </w:rPr>
        <w:t xml:space="preserve">transition to the new </w:t>
      </w:r>
      <w:r>
        <w:rPr>
          <w:rFonts w:cs="Calibri"/>
        </w:rPr>
        <w:t xml:space="preserve">Clean Hydrogen </w:t>
      </w:r>
      <w:r w:rsidRPr="00257ACF">
        <w:rPr>
          <w:rFonts w:cs="Calibri"/>
        </w:rPr>
        <w:t>JU</w:t>
      </w:r>
      <w:r>
        <w:rPr>
          <w:rFonts w:cs="Calibri"/>
        </w:rPr>
        <w:t xml:space="preserve"> in November</w:t>
      </w:r>
      <w:r w:rsidRPr="00257ACF">
        <w:rPr>
          <w:rFonts w:cs="Calibri"/>
        </w:rPr>
        <w:t xml:space="preserve">, </w:t>
      </w:r>
      <w:r>
        <w:rPr>
          <w:rFonts w:cs="Calibri"/>
        </w:rPr>
        <w:t>where we had to deal with all the implications of the renaming, change of logo and graphical chart in all the applications, in due time without business interruption</w:t>
      </w:r>
      <w:r w:rsidRPr="00257ACF">
        <w:rPr>
          <w:rFonts w:cs="Calibri"/>
        </w:rPr>
        <w:t xml:space="preserve">. </w:t>
      </w:r>
      <w:r>
        <w:rPr>
          <w:rFonts w:cs="Calibri"/>
        </w:rPr>
        <w:t xml:space="preserve">One of the positive impacts was the progress achieved in moving from a simple </w:t>
      </w:r>
      <w:r w:rsidRPr="00257ACF">
        <w:rPr>
          <w:rFonts w:cs="Calibri"/>
        </w:rPr>
        <w:t>“Qualified Electronic Signature (QES)”</w:t>
      </w:r>
      <w:r>
        <w:rPr>
          <w:rFonts w:cs="Calibri"/>
        </w:rPr>
        <w:t xml:space="preserve"> to the official sealing certificate with EU Sign.</w:t>
      </w:r>
    </w:p>
    <w:p w14:paraId="2C6B57DE" w14:textId="77777777" w:rsidR="00FC26FE" w:rsidRPr="0043568C" w:rsidRDefault="00FC26FE" w:rsidP="00FC26FE">
      <w:pPr>
        <w:jc w:val="both"/>
        <w:rPr>
          <w:rFonts w:cs="Calibri"/>
          <w:b/>
        </w:rPr>
      </w:pPr>
      <w:r w:rsidRPr="0043568C">
        <w:rPr>
          <w:rFonts w:cs="Calibri"/>
          <w:b/>
        </w:rPr>
        <w:t>FCH internal support</w:t>
      </w:r>
    </w:p>
    <w:p w14:paraId="2D16A21C" w14:textId="6F0621DD" w:rsidR="00FC26FE" w:rsidRPr="009872B0" w:rsidRDefault="00FC26FE" w:rsidP="00FC26FE">
      <w:pPr>
        <w:jc w:val="both"/>
        <w:rPr>
          <w:rFonts w:cs="Calibri"/>
        </w:rPr>
      </w:pPr>
      <w:r w:rsidRPr="009872B0">
        <w:rPr>
          <w:rFonts w:cs="Calibri"/>
        </w:rPr>
        <w:t xml:space="preserve">The specific contract under the EC Framework Contract TESTA NG II for the provision of the secured telecommunications was signed to enable the continuation of services </w:t>
      </w:r>
      <w:r w:rsidRPr="0099098D">
        <w:rPr>
          <w:rFonts w:cs="Calibri"/>
        </w:rPr>
        <w:t>for</w:t>
      </w:r>
      <w:r w:rsidRPr="009872B0">
        <w:rPr>
          <w:rFonts w:cs="Calibri"/>
        </w:rPr>
        <w:t xml:space="preserve"> all Joint Undertakings</w:t>
      </w:r>
      <w:r w:rsidRPr="0099098D">
        <w:rPr>
          <w:rFonts w:cs="Calibri"/>
        </w:rPr>
        <w:t>, ERA, ELA and Berec Office</w:t>
      </w:r>
      <w:r w:rsidRPr="009872B0">
        <w:rPr>
          <w:rFonts w:cs="Calibri"/>
        </w:rPr>
        <w:t>. Th</w:t>
      </w:r>
      <w:r w:rsidRPr="0099098D">
        <w:rPr>
          <w:rFonts w:cs="Calibri"/>
        </w:rPr>
        <w:t>e</w:t>
      </w:r>
      <w:r w:rsidRPr="009872B0">
        <w:rPr>
          <w:rFonts w:cs="Calibri"/>
        </w:rPr>
        <w:t xml:space="preserve"> technical choice </w:t>
      </w:r>
      <w:r w:rsidRPr="0099098D">
        <w:rPr>
          <w:rFonts w:cs="Calibri"/>
        </w:rPr>
        <w:t xml:space="preserve">to operate from a community cloud in Hamburg (operated by CANCOM) </w:t>
      </w:r>
      <w:r w:rsidRPr="009872B0">
        <w:rPr>
          <w:rFonts w:cs="Calibri"/>
        </w:rPr>
        <w:t xml:space="preserve">has been </w:t>
      </w:r>
      <w:r w:rsidRPr="0099098D">
        <w:rPr>
          <w:rFonts w:cs="Calibri"/>
        </w:rPr>
        <w:t>proven very efficient and resilient</w:t>
      </w:r>
      <w:r w:rsidRPr="009872B0">
        <w:rPr>
          <w:rFonts w:cs="Calibri"/>
        </w:rPr>
        <w:t xml:space="preserve">, supporting without </w:t>
      </w:r>
      <w:r w:rsidR="0069538B">
        <w:rPr>
          <w:rFonts w:cs="Calibri"/>
        </w:rPr>
        <w:t>issue</w:t>
      </w:r>
      <w:r w:rsidRPr="009872B0">
        <w:rPr>
          <w:rFonts w:cs="Calibri"/>
        </w:rPr>
        <w:t xml:space="preserve"> the massive use of teleworking during the confinement. </w:t>
      </w:r>
    </w:p>
    <w:p w14:paraId="5855EA6E" w14:textId="77777777" w:rsidR="00FC26FE" w:rsidRPr="009E7DD4" w:rsidRDefault="00FC26FE" w:rsidP="00FC26FE">
      <w:pPr>
        <w:jc w:val="both"/>
        <w:rPr>
          <w:rFonts w:cs="Calibri"/>
        </w:rPr>
      </w:pPr>
      <w:r w:rsidRPr="009872B0">
        <w:rPr>
          <w:rFonts w:cs="Calibri"/>
        </w:rPr>
        <w:t xml:space="preserve">FCH 2 </w:t>
      </w:r>
      <w:r w:rsidRPr="0099098D">
        <w:rPr>
          <w:rFonts w:cs="Calibri"/>
        </w:rPr>
        <w:t xml:space="preserve">is engaged in </w:t>
      </w:r>
      <w:r w:rsidRPr="009872B0">
        <w:rPr>
          <w:rFonts w:cs="Calibri"/>
        </w:rPr>
        <w:t xml:space="preserve">the deployment of Microsoft Office 365 (O365) as Software-as-a-service solution (SaaS). </w:t>
      </w:r>
      <w:r w:rsidRPr="0099098D">
        <w:rPr>
          <w:rFonts w:cs="Calibri"/>
        </w:rPr>
        <w:t xml:space="preserve">The implementation of the </w:t>
      </w:r>
      <w:r w:rsidRPr="009872B0">
        <w:rPr>
          <w:rFonts w:cs="Calibri"/>
        </w:rPr>
        <w:t xml:space="preserve">mitigation measures </w:t>
      </w:r>
      <w:r w:rsidRPr="0099098D">
        <w:rPr>
          <w:rFonts w:cs="Calibri"/>
        </w:rPr>
        <w:t>after the DPIA performed by Deloitte in 2020 were completed by the</w:t>
      </w:r>
      <w:r w:rsidRPr="009872B0">
        <w:rPr>
          <w:rFonts w:cs="Calibri"/>
        </w:rPr>
        <w:t xml:space="preserve"> DPOs, ITOs, DMOs and HR Officers </w:t>
      </w:r>
      <w:r w:rsidRPr="0099098D">
        <w:rPr>
          <w:rFonts w:cs="Calibri"/>
        </w:rPr>
        <w:t>with some external consultancy</w:t>
      </w:r>
      <w:r w:rsidRPr="009872B0">
        <w:rPr>
          <w:rFonts w:cs="Calibri"/>
        </w:rPr>
        <w:t>. Teams with UCC features</w:t>
      </w:r>
      <w:r w:rsidRPr="0099098D">
        <w:rPr>
          <w:rFonts w:cs="Calibri"/>
        </w:rPr>
        <w:t xml:space="preserve"> was deployed already in 2021, where</w:t>
      </w:r>
      <w:r w:rsidRPr="009872B0">
        <w:rPr>
          <w:rFonts w:cs="Calibri"/>
        </w:rPr>
        <w:t xml:space="preserve"> Sharepoint, Onedrive and Exchange online </w:t>
      </w:r>
      <w:r w:rsidRPr="009E7DD4">
        <w:rPr>
          <w:rFonts w:cs="Calibri"/>
        </w:rPr>
        <w:t xml:space="preserve">identified as priority assets </w:t>
      </w:r>
      <w:r w:rsidRPr="0099098D">
        <w:rPr>
          <w:rFonts w:cs="Calibri"/>
        </w:rPr>
        <w:t>will be deployed during 2022</w:t>
      </w:r>
      <w:r w:rsidRPr="009E7DD4">
        <w:rPr>
          <w:rFonts w:cs="Calibri"/>
        </w:rPr>
        <w:t>.</w:t>
      </w:r>
    </w:p>
    <w:p w14:paraId="730F6B21" w14:textId="4A3A89F0" w:rsidR="00FC26FE" w:rsidRPr="009E7DD4" w:rsidRDefault="001731C4" w:rsidP="00FC26FE">
      <w:pPr>
        <w:jc w:val="both"/>
        <w:rPr>
          <w:rFonts w:cs="Calibri"/>
        </w:rPr>
      </w:pPr>
      <w:r>
        <w:rPr>
          <w:rFonts w:cs="Calibri"/>
        </w:rPr>
        <w:t xml:space="preserve">The </w:t>
      </w:r>
      <w:r w:rsidR="00FC26FE" w:rsidRPr="009E7DD4">
        <w:rPr>
          <w:rFonts w:cs="Calibri"/>
        </w:rPr>
        <w:t xml:space="preserve">JU is the leading </w:t>
      </w:r>
      <w:r w:rsidR="004C3078">
        <w:rPr>
          <w:rFonts w:cs="Calibri"/>
        </w:rPr>
        <w:t xml:space="preserve">contracting </w:t>
      </w:r>
      <w:r w:rsidR="00FC26FE" w:rsidRPr="009E7DD4">
        <w:rPr>
          <w:rFonts w:cs="Calibri"/>
        </w:rPr>
        <w:t>authority for the Framework Contract for the IT Managed Services provided for the six JUs hosted in the White Atrium building. The specific contract for the associated services entered into force on 1 January 202</w:t>
      </w:r>
      <w:r w:rsidR="00FC26FE" w:rsidRPr="0099098D">
        <w:rPr>
          <w:rFonts w:cs="Calibri"/>
        </w:rPr>
        <w:t>2 after preparation and signature during the last quarter of 2021</w:t>
      </w:r>
      <w:r w:rsidR="00FC26FE" w:rsidRPr="009E7DD4">
        <w:rPr>
          <w:rFonts w:cs="Calibri"/>
        </w:rPr>
        <w:t xml:space="preserve">. </w:t>
      </w:r>
    </w:p>
    <w:p w14:paraId="318DC3C8" w14:textId="77777777" w:rsidR="00FC26FE" w:rsidRPr="0099098D" w:rsidRDefault="00FC26FE" w:rsidP="00FC26FE">
      <w:pPr>
        <w:jc w:val="both"/>
        <w:rPr>
          <w:rFonts w:cs="Calibri"/>
          <w:highlight w:val="yellow"/>
        </w:rPr>
      </w:pPr>
      <w:r w:rsidRPr="009E7DD4">
        <w:rPr>
          <w:rFonts w:cs="Calibri"/>
        </w:rPr>
        <w:t xml:space="preserve">The evolutive maintenance and support contract on the internally developed data collection platform TRUST (Technology Reporting Using Structured Templates) </w:t>
      </w:r>
      <w:r w:rsidRPr="0099098D">
        <w:rPr>
          <w:rFonts w:cs="Calibri"/>
        </w:rPr>
        <w:t>is in place</w:t>
      </w:r>
      <w:r w:rsidRPr="009E7DD4">
        <w:rPr>
          <w:rFonts w:cs="Calibri"/>
        </w:rPr>
        <w:t xml:space="preserve">. </w:t>
      </w:r>
      <w:r w:rsidRPr="0099098D">
        <w:rPr>
          <w:rFonts w:cs="Calibri"/>
        </w:rPr>
        <w:t>The necessary</w:t>
      </w:r>
      <w:r w:rsidRPr="009E7DD4">
        <w:rPr>
          <w:rFonts w:cs="Calibri"/>
        </w:rPr>
        <w:t xml:space="preserve"> technical</w:t>
      </w:r>
      <w:r w:rsidRPr="0099098D">
        <w:rPr>
          <w:rFonts w:cs="Calibri"/>
        </w:rPr>
        <w:t xml:space="preserve"> &amp;</w:t>
      </w:r>
      <w:r w:rsidRPr="009E7DD4">
        <w:rPr>
          <w:rFonts w:cs="Calibri"/>
        </w:rPr>
        <w:t xml:space="preserve"> security improvements</w:t>
      </w:r>
      <w:r w:rsidRPr="0099098D">
        <w:rPr>
          <w:rFonts w:cs="Calibri"/>
        </w:rPr>
        <w:t xml:space="preserve"> were delivered earlier in 2021 and the </w:t>
      </w:r>
      <w:r w:rsidRPr="009E7DD4">
        <w:rPr>
          <w:rFonts w:cs="Calibri"/>
        </w:rPr>
        <w:t xml:space="preserve">helpdesk and service requests support </w:t>
      </w:r>
      <w:proofErr w:type="gramStart"/>
      <w:r w:rsidRPr="0099098D">
        <w:rPr>
          <w:rFonts w:cs="Calibri"/>
        </w:rPr>
        <w:t>is</w:t>
      </w:r>
      <w:proofErr w:type="gramEnd"/>
      <w:r w:rsidRPr="0099098D">
        <w:rPr>
          <w:rFonts w:cs="Calibri"/>
        </w:rPr>
        <w:t xml:space="preserve"> now used on ad basis to keep this application efficient</w:t>
      </w:r>
      <w:r w:rsidRPr="009E7DD4">
        <w:rPr>
          <w:rFonts w:cs="Calibri"/>
        </w:rPr>
        <w:t xml:space="preserve">. </w:t>
      </w:r>
    </w:p>
    <w:p w14:paraId="269C8DA0" w14:textId="77777777" w:rsidR="00FC26FE" w:rsidRPr="0043568C" w:rsidRDefault="00FC26FE" w:rsidP="00FC26FE">
      <w:pPr>
        <w:jc w:val="both"/>
        <w:rPr>
          <w:rFonts w:cs="Calibri"/>
        </w:rPr>
      </w:pPr>
      <w:r w:rsidRPr="009E7DD4">
        <w:rPr>
          <w:rFonts w:cs="Calibri"/>
        </w:rPr>
        <w:t xml:space="preserve">As enhancement of the applications regarding performance, </w:t>
      </w:r>
      <w:proofErr w:type="gramStart"/>
      <w:r w:rsidRPr="009E7DD4">
        <w:rPr>
          <w:rFonts w:cs="Calibri"/>
        </w:rPr>
        <w:t>usability</w:t>
      </w:r>
      <w:proofErr w:type="gramEnd"/>
      <w:r w:rsidRPr="009E7DD4">
        <w:rPr>
          <w:rFonts w:cs="Calibri"/>
        </w:rPr>
        <w:t xml:space="preserve"> and user interface we have also deployed the windows VPN solution available with windows 10 as an essential IT support for teleworking.</w:t>
      </w:r>
    </w:p>
    <w:p w14:paraId="5EF1EEEB" w14:textId="42CA9700" w:rsidR="00FC26FE" w:rsidRPr="00E87581" w:rsidRDefault="00FC26FE" w:rsidP="00FC26FE">
      <w:pPr>
        <w:jc w:val="both"/>
      </w:pPr>
      <w:r>
        <w:t xml:space="preserve">Given the reinforced used of teleworking, the JU has also put in place a failover solution when a corporate device is damaged or missing. The private equipment using a </w:t>
      </w:r>
      <w:proofErr w:type="gramStart"/>
      <w:r>
        <w:t>virtual desktop solutions</w:t>
      </w:r>
      <w:proofErr w:type="gramEnd"/>
      <w:r>
        <w:t xml:space="preserve"> was effective from August. The next step is the more modern Mobile Device Management (MDM) as </w:t>
      </w:r>
      <w:r>
        <w:lastRenderedPageBreak/>
        <w:t>temporary environment using Office 365 tools under evaluation in 2021 and to be released earlier in 2022.</w:t>
      </w:r>
    </w:p>
    <w:p w14:paraId="02678544" w14:textId="710FBA88" w:rsidR="00FC26FE" w:rsidRPr="0043568C" w:rsidRDefault="00FC26FE" w:rsidP="00FC26FE">
      <w:pPr>
        <w:jc w:val="both"/>
        <w:rPr>
          <w:rFonts w:cs="Calibri"/>
        </w:rPr>
      </w:pPr>
      <w:r w:rsidRPr="0043568C">
        <w:rPr>
          <w:rFonts w:cs="Calibri"/>
        </w:rPr>
        <w:t xml:space="preserve">The JU </w:t>
      </w:r>
      <w:r>
        <w:rPr>
          <w:rFonts w:cs="Calibri"/>
        </w:rPr>
        <w:t>started the</w:t>
      </w:r>
      <w:r w:rsidRPr="00A65BE5">
        <w:rPr>
          <w:rFonts w:cs="Calibri"/>
        </w:rPr>
        <w:t xml:space="preserve"> effective use of the of the </w:t>
      </w:r>
      <w:r w:rsidRPr="0043568C">
        <w:rPr>
          <w:rFonts w:cs="Calibri"/>
        </w:rPr>
        <w:t xml:space="preserve">SYSTAL tool for recruitments </w:t>
      </w:r>
      <w:r>
        <w:rPr>
          <w:rFonts w:cs="Calibri"/>
        </w:rPr>
        <w:t>in June</w:t>
      </w:r>
      <w:r w:rsidRPr="0043568C">
        <w:rPr>
          <w:rFonts w:cs="Calibri"/>
        </w:rPr>
        <w:t xml:space="preserve">. The tool </w:t>
      </w:r>
      <w:r>
        <w:rPr>
          <w:rFonts w:cs="Calibri"/>
        </w:rPr>
        <w:t>is</w:t>
      </w:r>
      <w:r w:rsidRPr="0043568C">
        <w:rPr>
          <w:rFonts w:cs="Calibri"/>
        </w:rPr>
        <w:t xml:space="preserve"> shared by five Joint Undertakings. A Service Level Agreement was signed with BBI JU who leads the project. </w:t>
      </w:r>
      <w:r w:rsidRPr="002E0FCB">
        <w:rPr>
          <w:rFonts w:cs="Calibri"/>
        </w:rPr>
        <w:t>As SYSTAL is configured now, all JU</w:t>
      </w:r>
      <w:r>
        <w:rPr>
          <w:rFonts w:cs="Calibri"/>
        </w:rPr>
        <w:t>s</w:t>
      </w:r>
      <w:r w:rsidRPr="002E0FCB">
        <w:rPr>
          <w:rFonts w:cs="Calibri"/>
        </w:rPr>
        <w:t xml:space="preserve"> can participate to common recruitments with the advantage of using the same functionalities.</w:t>
      </w:r>
      <w:r>
        <w:rPr>
          <w:rFonts w:cs="Calibri"/>
        </w:rPr>
        <w:t xml:space="preserve"> It also supports </w:t>
      </w:r>
      <w:r w:rsidRPr="002E0FCB">
        <w:rPr>
          <w:rFonts w:cs="Calibri"/>
        </w:rPr>
        <w:t xml:space="preserve">the establishment of a </w:t>
      </w:r>
      <w:r>
        <w:rPr>
          <w:rFonts w:cs="Calibri"/>
        </w:rPr>
        <w:t xml:space="preserve">future </w:t>
      </w:r>
      <w:r w:rsidRPr="002E0FCB">
        <w:rPr>
          <w:rFonts w:cs="Calibri"/>
        </w:rPr>
        <w:t>common back office</w:t>
      </w:r>
      <w:r>
        <w:rPr>
          <w:rFonts w:cs="Calibri"/>
        </w:rPr>
        <w:t xml:space="preserve"> with the migration of </w:t>
      </w:r>
      <w:r w:rsidRPr="002E0FCB">
        <w:rPr>
          <w:rFonts w:cs="Calibri"/>
        </w:rPr>
        <w:t>user to a new entity</w:t>
      </w:r>
      <w:r>
        <w:rPr>
          <w:rFonts w:cs="Calibri"/>
        </w:rPr>
        <w:t xml:space="preserve"> but was out of scope of the initial project and could led to additional customization in a next phase.</w:t>
      </w:r>
    </w:p>
    <w:p w14:paraId="587037A6" w14:textId="77777777" w:rsidR="00FC26FE" w:rsidRPr="0043568C" w:rsidRDefault="00FC26FE" w:rsidP="00FC26FE">
      <w:pPr>
        <w:jc w:val="both"/>
        <w:rPr>
          <w:rFonts w:cs="Calibri"/>
          <w:b/>
        </w:rPr>
      </w:pPr>
      <w:r w:rsidRPr="0043568C">
        <w:rPr>
          <w:rFonts w:cs="Calibri"/>
          <w:b/>
        </w:rPr>
        <w:t>Logistics</w:t>
      </w:r>
    </w:p>
    <w:p w14:paraId="6413D31E" w14:textId="77777777" w:rsidR="00FC26FE" w:rsidRPr="0043568C" w:rsidRDefault="00FC26FE" w:rsidP="00FC26FE">
      <w:pPr>
        <w:jc w:val="both"/>
        <w:rPr>
          <w:rFonts w:cs="Calibri"/>
        </w:rPr>
      </w:pPr>
      <w:r w:rsidRPr="0043568C">
        <w:rPr>
          <w:rFonts w:cs="Calibri"/>
        </w:rPr>
        <w:t xml:space="preserve">In addition, logistical support has been provided in the context of general administration. This encompasses the management of supply and maintenance of equipment, namely stationery, </w:t>
      </w:r>
      <w:proofErr w:type="gramStart"/>
      <w:r w:rsidRPr="0043568C">
        <w:rPr>
          <w:rFonts w:cs="Calibri"/>
        </w:rPr>
        <w:t>goods</w:t>
      </w:r>
      <w:proofErr w:type="gramEnd"/>
      <w:r w:rsidRPr="0043568C">
        <w:rPr>
          <w:rFonts w:cs="Calibri"/>
        </w:rPr>
        <w:t xml:space="preserve"> and services for administration, and includes the monitoring of services provided in particular through the Office des Infrastructures de Bruxelles (OIB), the translation centre and the publications office (OPOCE).</w:t>
      </w:r>
    </w:p>
    <w:p w14:paraId="3AD8C847" w14:textId="61355320" w:rsidR="00EF5915" w:rsidRPr="00FC26FE" w:rsidRDefault="00FC26FE" w:rsidP="00FC26FE">
      <w:pPr>
        <w:jc w:val="both"/>
        <w:rPr>
          <w:rFonts w:cs="Calibri"/>
        </w:rPr>
      </w:pPr>
      <w:proofErr w:type="gramStart"/>
      <w:r w:rsidRPr="0043568C">
        <w:rPr>
          <w:rFonts w:cs="Calibri"/>
        </w:rPr>
        <w:t>S</w:t>
      </w:r>
      <w:r>
        <w:rPr>
          <w:rFonts w:cs="Calibri"/>
        </w:rPr>
        <w:t>imilar to</w:t>
      </w:r>
      <w:proofErr w:type="gramEnd"/>
      <w:r>
        <w:rPr>
          <w:rFonts w:cs="Calibri"/>
        </w:rPr>
        <w:t xml:space="preserve"> 2020 t</w:t>
      </w:r>
      <w:r w:rsidRPr="0043568C">
        <w:rPr>
          <w:rFonts w:cs="Calibri"/>
        </w:rPr>
        <w:t xml:space="preserve">he use of web conference as communication method highly increased, with events in hybrid or complete virtual mode. We observed </w:t>
      </w:r>
      <w:r>
        <w:rPr>
          <w:rFonts w:cs="Calibri"/>
        </w:rPr>
        <w:t>again</w:t>
      </w:r>
      <w:r w:rsidRPr="0043568C">
        <w:rPr>
          <w:rFonts w:cs="Calibri"/>
        </w:rPr>
        <w:t xml:space="preserve"> a shift of the costs from the missions to the telecommunications. </w:t>
      </w:r>
      <w:r>
        <w:rPr>
          <w:rFonts w:cs="Calibri"/>
        </w:rPr>
        <w:t xml:space="preserve">Taking this into account, a </w:t>
      </w:r>
      <w:r w:rsidRPr="0043568C">
        <w:rPr>
          <w:rFonts w:cs="Calibri"/>
        </w:rPr>
        <w:t xml:space="preserve">special achievement was the implementation </w:t>
      </w:r>
      <w:r>
        <w:rPr>
          <w:rFonts w:cs="Calibri"/>
        </w:rPr>
        <w:t xml:space="preserve">of </w:t>
      </w:r>
      <w:r w:rsidRPr="00E406AE">
        <w:rPr>
          <w:rFonts w:cs="Calibri"/>
        </w:rPr>
        <w:t xml:space="preserve">new equipment for video conference </w:t>
      </w:r>
      <w:r>
        <w:rPr>
          <w:rFonts w:cs="Calibri"/>
        </w:rPr>
        <w:t xml:space="preserve">in a flexible </w:t>
      </w:r>
      <w:r w:rsidRPr="00E406AE">
        <w:rPr>
          <w:rFonts w:cs="Calibri"/>
        </w:rPr>
        <w:t xml:space="preserve">audio-visual studio </w:t>
      </w:r>
      <w:r>
        <w:rPr>
          <w:rFonts w:cs="Calibri"/>
        </w:rPr>
        <w:t xml:space="preserve">where we can </w:t>
      </w:r>
      <w:r w:rsidRPr="00E406AE">
        <w:rPr>
          <w:rFonts w:cs="Calibri"/>
        </w:rPr>
        <w:t xml:space="preserve">organise </w:t>
      </w:r>
      <w:r>
        <w:rPr>
          <w:rFonts w:cs="Calibri"/>
        </w:rPr>
        <w:t>such new kin</w:t>
      </w:r>
      <w:r w:rsidR="00032ABF">
        <w:rPr>
          <w:rFonts w:cs="Calibri"/>
        </w:rPr>
        <w:t>d</w:t>
      </w:r>
      <w:r>
        <w:rPr>
          <w:rFonts w:cs="Calibri"/>
        </w:rPr>
        <w:t xml:space="preserve"> of events. It </w:t>
      </w:r>
      <w:r w:rsidR="00032ABF">
        <w:rPr>
          <w:rFonts w:cs="Calibri"/>
        </w:rPr>
        <w:t>i</w:t>
      </w:r>
      <w:r>
        <w:rPr>
          <w:rFonts w:cs="Calibri"/>
        </w:rPr>
        <w:t>s proven to be capable producing</w:t>
      </w:r>
      <w:r w:rsidRPr="00E406AE">
        <w:rPr>
          <w:rFonts w:cs="Calibri"/>
        </w:rPr>
        <w:t xml:space="preserve"> live streaming </w:t>
      </w:r>
      <w:r>
        <w:rPr>
          <w:rFonts w:cs="Calibri"/>
        </w:rPr>
        <w:t>event during the Program Review Days in November</w:t>
      </w:r>
      <w:r w:rsidRPr="00E406AE">
        <w:rPr>
          <w:rFonts w:cs="Calibri"/>
        </w:rPr>
        <w:t>.</w:t>
      </w:r>
    </w:p>
    <w:p w14:paraId="298818AC" w14:textId="0C7C2B69" w:rsidR="0054406E" w:rsidRPr="00792B39" w:rsidRDefault="006131DC" w:rsidP="00B45034">
      <w:pPr>
        <w:pStyle w:val="Heading3"/>
        <w:numPr>
          <w:ilvl w:val="1"/>
          <w:numId w:val="1"/>
        </w:numPr>
        <w:jc w:val="both"/>
        <w:rPr>
          <w:rFonts w:ascii="Arial" w:hAnsi="Arial" w:cs="Arial"/>
        </w:rPr>
      </w:pPr>
      <w:r>
        <w:rPr>
          <w:rFonts w:asciiTheme="minorHAnsi" w:hAnsiTheme="minorHAnsi"/>
        </w:rPr>
        <w:t xml:space="preserve"> </w:t>
      </w:r>
      <w:bookmarkStart w:id="158" w:name="_Toc98496356"/>
      <w:bookmarkStart w:id="159" w:name="_Toc101516077"/>
      <w:r w:rsidR="0054406E" w:rsidRPr="00792B39">
        <w:rPr>
          <w:rFonts w:ascii="Arial" w:hAnsi="Arial" w:cs="Arial"/>
        </w:rPr>
        <w:t>Human Resources</w:t>
      </w:r>
      <w:bookmarkEnd w:id="158"/>
      <w:bookmarkEnd w:id="159"/>
    </w:p>
    <w:p w14:paraId="77FD7FD2" w14:textId="5FFFE940" w:rsidR="005D1EA7" w:rsidRDefault="005D1EA7" w:rsidP="005D1EA7">
      <w:r>
        <w:t xml:space="preserve">By the end of 2021, the JU programme office had a total of 25 statutory staff (23 temporary agents, 2 contract agents) and 2 SNEs from 10 </w:t>
      </w:r>
      <w:r w:rsidR="007D1F00">
        <w:t>d</w:t>
      </w:r>
      <w:r>
        <w:t>ifferent countries.</w:t>
      </w:r>
    </w:p>
    <w:p w14:paraId="531D8264" w14:textId="77777777" w:rsidR="005D1EA7" w:rsidRDefault="005D1EA7" w:rsidP="005D1EA7">
      <w:r>
        <w:rPr>
          <w:noProof/>
          <w:lang w:eastAsia="en-GB"/>
        </w:rPr>
        <w:drawing>
          <wp:inline distT="0" distB="0" distL="0" distR="0" wp14:anchorId="0B3110E7" wp14:editId="5C4F4AA1">
            <wp:extent cx="4462463" cy="2999422"/>
            <wp:effectExtent l="0" t="0" r="14605" b="10795"/>
            <wp:docPr id="5" name="Chart 5">
              <a:extLst xmlns:a="http://schemas.openxmlformats.org/drawingml/2006/main">
                <a:ext uri="{FF2B5EF4-FFF2-40B4-BE49-F238E27FC236}">
                  <a16:creationId xmlns:a16="http://schemas.microsoft.com/office/drawing/2014/main" id="{00000000-0008-0000-00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2E200DC5" w14:textId="77A42A8B" w:rsidR="005D1EA7" w:rsidRDefault="005D1EA7" w:rsidP="005D1EA7">
      <w:r>
        <w:t>There is a good gender balance at JU as you can see in the chart below.</w:t>
      </w:r>
    </w:p>
    <w:p w14:paraId="1EBD176F" w14:textId="77777777" w:rsidR="005D1EA7" w:rsidRDefault="005D1EA7" w:rsidP="005D1EA7"/>
    <w:p w14:paraId="5738C122" w14:textId="77777777" w:rsidR="005D1EA7" w:rsidRDefault="005D1EA7" w:rsidP="005D1EA7">
      <w:r>
        <w:rPr>
          <w:noProof/>
          <w:lang w:eastAsia="en-GB"/>
        </w:rPr>
        <w:drawing>
          <wp:inline distT="0" distB="0" distL="0" distR="0" wp14:anchorId="722C826E" wp14:editId="5458EF47">
            <wp:extent cx="4572000" cy="2628900"/>
            <wp:effectExtent l="0" t="0" r="0" b="0"/>
            <wp:docPr id="6" name="Chart 6">
              <a:extLst xmlns:a="http://schemas.openxmlformats.org/drawingml/2006/main">
                <a:ext uri="{FF2B5EF4-FFF2-40B4-BE49-F238E27FC236}">
                  <a16:creationId xmlns:a16="http://schemas.microsoft.com/office/drawing/2014/main" id="{00000000-0008-0000-00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37561DF4" w14:textId="7000FEB8" w:rsidR="005D1EA7" w:rsidRDefault="005D1EA7" w:rsidP="005D1EA7">
      <w:r>
        <w:t xml:space="preserve">The Covid-19 situation continued throughout the year with short periods of return to the office on voluntary basis.  In October 2021 we were able to organise a half day outdoor team building event.  </w:t>
      </w:r>
      <w:r w:rsidR="009E01BC">
        <w:t xml:space="preserve">The </w:t>
      </w:r>
      <w:r>
        <w:t xml:space="preserve">JU followed closely the guidelines of the Commission as set by the Belgian Government in the situation of the pandemic.  </w:t>
      </w:r>
    </w:p>
    <w:p w14:paraId="7DC7E2FE" w14:textId="4710C9F2" w:rsidR="005D1EA7" w:rsidRDefault="005D1EA7" w:rsidP="005D1EA7">
      <w:r>
        <w:t xml:space="preserve">During the pandemic we continued to have online meetings with the whole office, they were set every 2 weeks on Thursday morning </w:t>
      </w:r>
      <w:r w:rsidR="00BD55D6">
        <w:t>to</w:t>
      </w:r>
      <w:r>
        <w:t xml:space="preserve"> maintain motivation and well-being of staff members.</w:t>
      </w:r>
    </w:p>
    <w:p w14:paraId="785C23CE" w14:textId="6F82E508" w:rsidR="005D1EA7" w:rsidRDefault="005D1EA7" w:rsidP="005D1EA7">
      <w:r>
        <w:t>As a follow-up of the resilience training, organized for 6 J</w:t>
      </w:r>
      <w:r w:rsidR="00BD55D6">
        <w:t>U</w:t>
      </w:r>
      <w:r>
        <w:t>s in 2020, 3 workgroups were created in 2021 to discuss and develop guidelines on the following topics:</w:t>
      </w:r>
    </w:p>
    <w:p w14:paraId="01D687A8" w14:textId="77777777" w:rsidR="005D1EA7" w:rsidRDefault="005D1EA7" w:rsidP="002672A0">
      <w:pPr>
        <w:pStyle w:val="ListParagraph"/>
        <w:numPr>
          <w:ilvl w:val="0"/>
          <w:numId w:val="3"/>
        </w:numPr>
        <w:spacing w:after="160" w:line="259" w:lineRule="auto"/>
      </w:pPr>
      <w:r>
        <w:t>Effective use of tools and the right to disconnect</w:t>
      </w:r>
    </w:p>
    <w:p w14:paraId="1E1EE836" w14:textId="77777777" w:rsidR="005D1EA7" w:rsidRDefault="005D1EA7" w:rsidP="002672A0">
      <w:pPr>
        <w:pStyle w:val="ListParagraph"/>
        <w:numPr>
          <w:ilvl w:val="0"/>
          <w:numId w:val="3"/>
        </w:numPr>
        <w:spacing w:after="160" w:line="259" w:lineRule="auto"/>
      </w:pPr>
      <w:r>
        <w:t>Wellbeing during Telework/Managing teams remotely</w:t>
      </w:r>
    </w:p>
    <w:p w14:paraId="22BF3198" w14:textId="77777777" w:rsidR="005D1EA7" w:rsidRDefault="005D1EA7" w:rsidP="002672A0">
      <w:pPr>
        <w:pStyle w:val="ListParagraph"/>
        <w:numPr>
          <w:ilvl w:val="0"/>
          <w:numId w:val="3"/>
        </w:numPr>
        <w:spacing w:after="160" w:line="259" w:lineRule="auto"/>
      </w:pPr>
      <w:r>
        <w:t xml:space="preserve">Integration, </w:t>
      </w:r>
      <w:proofErr w:type="gramStart"/>
      <w:r>
        <w:t>support</w:t>
      </w:r>
      <w:proofErr w:type="gramEnd"/>
      <w:r>
        <w:t xml:space="preserve"> and learning</w:t>
      </w:r>
    </w:p>
    <w:p w14:paraId="1BDE53C3" w14:textId="77777777" w:rsidR="005D1EA7" w:rsidRDefault="005D1EA7" w:rsidP="005D1EA7">
      <w:r>
        <w:t xml:space="preserve">The 3 working groups produced a ‘best practices for hybrid working’ document.  It was an inter JU effort, with a good mix of Staff Levels and different JU members.  </w:t>
      </w:r>
    </w:p>
    <w:p w14:paraId="3B401484" w14:textId="68719A4B" w:rsidR="005D1EA7" w:rsidRDefault="0035355D" w:rsidP="005D1EA7">
      <w:r>
        <w:t xml:space="preserve">We had organized </w:t>
      </w:r>
      <w:r w:rsidR="00E85650">
        <w:t xml:space="preserve">a staff survey in 2020 and to follow up on the results </w:t>
      </w:r>
      <w:r w:rsidR="00106A86">
        <w:t xml:space="preserve">we had a </w:t>
      </w:r>
      <w:r w:rsidR="00C43A94">
        <w:t xml:space="preserve">GRIP </w:t>
      </w:r>
      <w:r w:rsidR="00106A86">
        <w:t>workshop</w:t>
      </w:r>
      <w:r w:rsidR="00C43A94">
        <w:t xml:space="preserve"> (GRIP = Goals, Roles, Interaction </w:t>
      </w:r>
      <w:proofErr w:type="gramStart"/>
      <w:r w:rsidR="00C43A94">
        <w:t>Rules</w:t>
      </w:r>
      <w:proofErr w:type="gramEnd"/>
      <w:r w:rsidR="00C43A94">
        <w:t xml:space="preserve"> and procedures)</w:t>
      </w:r>
      <w:r w:rsidR="00106A86">
        <w:t xml:space="preserve"> </w:t>
      </w:r>
      <w:r w:rsidR="00C43A94">
        <w:t xml:space="preserve">with a Human Resources Specialist.   In 2021, </w:t>
      </w:r>
      <w:r w:rsidR="00A91055">
        <w:t>t</w:t>
      </w:r>
      <w:r w:rsidR="00C43A94">
        <w:t>hree work groups were created for the following topics:</w:t>
      </w:r>
    </w:p>
    <w:p w14:paraId="24614DE8" w14:textId="7BFE04E3" w:rsidR="00A3329B" w:rsidRDefault="00A3329B" w:rsidP="00BA7897">
      <w:pPr>
        <w:pStyle w:val="ListParagraph"/>
        <w:numPr>
          <w:ilvl w:val="0"/>
          <w:numId w:val="14"/>
        </w:numPr>
      </w:pPr>
      <w:r>
        <w:t>WG1: Vision and Mission of the next JU (~ Sept. 2021)</w:t>
      </w:r>
    </w:p>
    <w:p w14:paraId="43F67B52" w14:textId="51F38F6D" w:rsidR="00A3329B" w:rsidRDefault="00A3329B" w:rsidP="00BA7897">
      <w:pPr>
        <w:pStyle w:val="ListParagraph"/>
        <w:numPr>
          <w:ilvl w:val="0"/>
          <w:numId w:val="14"/>
        </w:numPr>
      </w:pPr>
      <w:r>
        <w:t>WG2: Define responsibilities, roles &amp; objectives to be reflected in the revised job descriptions (~Jun. 2021)</w:t>
      </w:r>
    </w:p>
    <w:p w14:paraId="3ED691A3" w14:textId="77777777" w:rsidR="00BA7897" w:rsidRDefault="00A3329B" w:rsidP="00A3329B">
      <w:pPr>
        <w:pStyle w:val="ListParagraph"/>
        <w:numPr>
          <w:ilvl w:val="0"/>
          <w:numId w:val="14"/>
        </w:numPr>
      </w:pPr>
      <w:r>
        <w:t>WG3: Implementing the new ways of working (Start after the EC has published the new guidelines)</w:t>
      </w:r>
    </w:p>
    <w:p w14:paraId="1984201E" w14:textId="5FEF8037" w:rsidR="00BA7897" w:rsidRDefault="00BA7897" w:rsidP="00BA7897">
      <w:r>
        <w:t>The 3 working groups finalised the work and the end results were shared with management.</w:t>
      </w:r>
    </w:p>
    <w:p w14:paraId="3A438883" w14:textId="69390FE7" w:rsidR="00BA7897" w:rsidRDefault="00BA7897" w:rsidP="00BA7897">
      <w:proofErr w:type="gramStart"/>
      <w:r>
        <w:lastRenderedPageBreak/>
        <w:t>At the same time that</w:t>
      </w:r>
      <w:proofErr w:type="gramEnd"/>
      <w:r>
        <w:t xml:space="preserve"> the working groups were established we also </w:t>
      </w:r>
      <w:r w:rsidR="00A91055">
        <w:t>looked for a v</w:t>
      </w:r>
      <w:r>
        <w:t>olunteer to be the ‘Social Chair’ of the JU</w:t>
      </w:r>
      <w:r w:rsidR="00A91055">
        <w:t xml:space="preserve">.  Two people volunteered and they tried to interact with staff while creating group challenges.  </w:t>
      </w:r>
    </w:p>
    <w:p w14:paraId="2DFC28D0" w14:textId="77777777" w:rsidR="00A3329B" w:rsidRDefault="00A3329B" w:rsidP="005D1EA7"/>
    <w:p w14:paraId="245FDA08" w14:textId="77777777" w:rsidR="005D1EA7" w:rsidRPr="00996FFD" w:rsidRDefault="005D1EA7" w:rsidP="005D1EA7">
      <w:pPr>
        <w:rPr>
          <w:b/>
          <w:bCs/>
        </w:rPr>
      </w:pPr>
      <w:r w:rsidRPr="00996FFD">
        <w:rPr>
          <w:b/>
          <w:bCs/>
        </w:rPr>
        <w:t>Recruitment</w:t>
      </w:r>
      <w:r>
        <w:rPr>
          <w:b/>
          <w:bCs/>
        </w:rPr>
        <w:t xml:space="preserve"> </w:t>
      </w:r>
    </w:p>
    <w:p w14:paraId="0C3C22BA" w14:textId="77777777" w:rsidR="005D1EA7" w:rsidRDefault="005D1EA7" w:rsidP="005D1EA7">
      <w:r>
        <w:t>We published the post for Head of Administration and Finance on 7 May 2021 with deadline of application on 13 June 2021.  The selection was completed on 10 September.  The starting date for the Head of Unit was 01 January 2022.</w:t>
      </w:r>
    </w:p>
    <w:p w14:paraId="7A0CE76C" w14:textId="3187027E" w:rsidR="005D1EA7" w:rsidRDefault="005D1EA7" w:rsidP="005D1EA7">
      <w:r>
        <w:t xml:space="preserve">On 28 June we published </w:t>
      </w:r>
      <w:r w:rsidR="009F6DD0">
        <w:t xml:space="preserve">vacancy </w:t>
      </w:r>
      <w:r>
        <w:t xml:space="preserve">for AD5 position.  The deadline for application was 19 September 2021.  </w:t>
      </w:r>
      <w:r w:rsidR="0040484F">
        <w:t xml:space="preserve">This publication was to create a reserve list to recruit </w:t>
      </w:r>
      <w:r w:rsidR="00501C0C">
        <w:t>one additional</w:t>
      </w:r>
      <w:r w:rsidR="0040484F">
        <w:t xml:space="preserve"> project officer </w:t>
      </w:r>
      <w:r w:rsidR="00501C0C">
        <w:t>and one to replace a project officer who left in 2021.</w:t>
      </w:r>
      <w:r w:rsidR="0040484F">
        <w:t xml:space="preserve">  </w:t>
      </w:r>
    </w:p>
    <w:p w14:paraId="5C1720BB" w14:textId="3142A845" w:rsidR="005D1EA7" w:rsidRDefault="005D1EA7" w:rsidP="005D1EA7">
      <w:r>
        <w:t xml:space="preserve">On 15 September 2022 we published a post for AST3 Legal Assistant.  The deadline was set for 30 November 2021 and was extended until 31 December 2021.  </w:t>
      </w:r>
      <w:r w:rsidR="00A91055">
        <w:t>The deadline was extended because the 2 units involved in the selection procedure needed to focus on preparing all the relevant documents for the chan</w:t>
      </w:r>
      <w:r w:rsidR="000564DD">
        <w:t>g</w:t>
      </w:r>
      <w:r w:rsidR="00A91055">
        <w:t>e of iden</w:t>
      </w:r>
      <w:r w:rsidR="000564DD">
        <w:t>ti</w:t>
      </w:r>
      <w:r w:rsidR="00A91055">
        <w:t xml:space="preserve">ty and name of the Joint Undertaking.  </w:t>
      </w:r>
      <w:r w:rsidR="000564DD">
        <w:t xml:space="preserve">We decided that it would be better to have the Legal Officer as member of the selection team, since the Legal Assistant would be working directly with her.  </w:t>
      </w:r>
      <w:r>
        <w:t>This selection procedure will start in 2022.</w:t>
      </w:r>
    </w:p>
    <w:p w14:paraId="7E4F8191" w14:textId="77777777" w:rsidR="005D1EA7" w:rsidRDefault="005D1EA7" w:rsidP="005D1EA7">
      <w:r>
        <w:t>To provide support to the Programme office, in projects, in communication and knowledge management and to cover for the maternity leave of the legal officer, short-term contracts for interim services were used in 2021.</w:t>
      </w:r>
    </w:p>
    <w:p w14:paraId="3CE8FADC" w14:textId="35E29C7F" w:rsidR="005D1EA7" w:rsidRDefault="005D1EA7" w:rsidP="005D1EA7">
      <w:pPr>
        <w:rPr>
          <w:b/>
          <w:bCs/>
        </w:rPr>
      </w:pPr>
    </w:p>
    <w:p w14:paraId="50ECAF13" w14:textId="77777777" w:rsidR="005D1EA7" w:rsidRDefault="005D1EA7" w:rsidP="005D1EA7">
      <w:pPr>
        <w:rPr>
          <w:b/>
          <w:bCs/>
        </w:rPr>
      </w:pPr>
      <w:r w:rsidRPr="00274B25">
        <w:rPr>
          <w:b/>
          <w:bCs/>
        </w:rPr>
        <w:t>Learning and development</w:t>
      </w:r>
    </w:p>
    <w:p w14:paraId="23054DFC" w14:textId="3917F937" w:rsidR="005D1EA7" w:rsidRPr="00CF0098" w:rsidRDefault="005D1EA7" w:rsidP="005D1EA7">
      <w:r w:rsidRPr="00CF0098">
        <w:t>In 2021</w:t>
      </w:r>
      <w:r>
        <w:t xml:space="preserve"> joint IT sessions were organised together with the other JUs with the main purpose to prepare ourselves for the switch to 0365, Sharepoint and Onedrive.  There were also interesting sessions on cybersecurity for the JUs.  Furthermore, </w:t>
      </w:r>
      <w:r w:rsidR="00BD55D6">
        <w:t>the Programme Office</w:t>
      </w:r>
      <w:r>
        <w:t xml:space="preserve"> had organised session for the whole organization on ‘fraud awareness and prevention’ presented by OLAF and ‘Horizon Europe rules’ organized by </w:t>
      </w:r>
      <w:r w:rsidR="00BD55D6">
        <w:t>the Common Implementation Centre (</w:t>
      </w:r>
      <w:r>
        <w:t>CIC</w:t>
      </w:r>
      <w:r w:rsidR="00BD55D6">
        <w:t>)</w:t>
      </w:r>
      <w:r>
        <w:t>.  A specialised session on ‘</w:t>
      </w:r>
      <w:r w:rsidRPr="0077046F">
        <w:t>Accounting training on Equipment treatment and R&amp;D’ was organized for the financial and project officers.</w:t>
      </w:r>
      <w:r>
        <w:rPr>
          <w:rFonts w:ascii="Trebuchet MS" w:hAnsi="Trebuchet MS" w:cs="Trebuchet MS"/>
          <w:b/>
          <w:bCs/>
          <w:color w:val="000000"/>
        </w:rPr>
        <w:t xml:space="preserve"> </w:t>
      </w:r>
      <w:r>
        <w:t>During the pandemic</w:t>
      </w:r>
      <w:r w:rsidR="00BD55D6">
        <w:t>,</w:t>
      </w:r>
      <w:r>
        <w:t xml:space="preserve"> staff members took time to participate in on-line trainings to expand their knowledge related to their job.  Participation in trainings were highly encouraged to keep staff motivated and connected with others during the lock-down.</w:t>
      </w:r>
    </w:p>
    <w:p w14:paraId="72287E9D" w14:textId="77777777" w:rsidR="005D1EA7" w:rsidRDefault="005D1EA7" w:rsidP="005D1EA7">
      <w:pPr>
        <w:rPr>
          <w:b/>
          <w:bCs/>
        </w:rPr>
      </w:pPr>
    </w:p>
    <w:p w14:paraId="168E3B68" w14:textId="77777777" w:rsidR="005D1EA7" w:rsidRDefault="005D1EA7" w:rsidP="005D1EA7">
      <w:pPr>
        <w:rPr>
          <w:b/>
          <w:bCs/>
        </w:rPr>
      </w:pPr>
      <w:r w:rsidRPr="00274B25">
        <w:rPr>
          <w:b/>
          <w:bCs/>
        </w:rPr>
        <w:t>Digitalisation of HR</w:t>
      </w:r>
    </w:p>
    <w:p w14:paraId="6989CDAF" w14:textId="41C21F41" w:rsidR="005D1EA7" w:rsidRDefault="005D1EA7" w:rsidP="005D1EA7">
      <w:r w:rsidRPr="00E712EE">
        <w:t xml:space="preserve">In </w:t>
      </w:r>
      <w:r>
        <w:t>February 2021 we onboarded SYSPER.  The following modules were available to us</w:t>
      </w:r>
      <w:r w:rsidR="009F1316">
        <w:t xml:space="preserve">: </w:t>
      </w:r>
      <w:r>
        <w:t xml:space="preserve">ORG/DOT/TIM/PER&amp;FAM/CAR.  Throughout the year new modules were added, such as: DOC/JIS.  We are anticipating the use of: MIPS </w:t>
      </w:r>
      <w:proofErr w:type="gramStart"/>
      <w:r>
        <w:t>and also</w:t>
      </w:r>
      <w:proofErr w:type="gramEnd"/>
      <w:r>
        <w:t xml:space="preserve"> the feature: EVAL-PRO</w:t>
      </w:r>
    </w:p>
    <w:p w14:paraId="66A4A8A9" w14:textId="77777777" w:rsidR="005D1EA7" w:rsidRDefault="005D1EA7" w:rsidP="005D1EA7">
      <w:r>
        <w:rPr>
          <w:noProof/>
          <w:lang w:eastAsia="en-GB"/>
        </w:rPr>
        <w:lastRenderedPageBreak/>
        <w:drawing>
          <wp:inline distT="0" distB="0" distL="0" distR="0" wp14:anchorId="551A2F9F" wp14:editId="68A1DC19">
            <wp:extent cx="6176075" cy="794067"/>
            <wp:effectExtent l="0" t="0" r="0" b="6350"/>
            <wp:docPr id="7" name="Picture 7" descr="Graphical user interface, application, table,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application, table, treemap chart&#10;&#10;Description automatically generated"/>
                    <pic:cNvPicPr/>
                  </pic:nvPicPr>
                  <pic:blipFill rotWithShape="1">
                    <a:blip r:embed="rId92"/>
                    <a:srcRect l="2704" t="28364" r="2644" b="50001"/>
                    <a:stretch/>
                  </pic:blipFill>
                  <pic:spPr bwMode="auto">
                    <a:xfrm>
                      <a:off x="0" y="0"/>
                      <a:ext cx="6211198" cy="798583"/>
                    </a:xfrm>
                    <a:prstGeom prst="rect">
                      <a:avLst/>
                    </a:prstGeom>
                    <a:ln>
                      <a:noFill/>
                    </a:ln>
                    <a:extLst>
                      <a:ext uri="{53640926-AAD7-44D8-BBD7-CCE9431645EC}">
                        <a14:shadowObscured xmlns:a14="http://schemas.microsoft.com/office/drawing/2010/main"/>
                      </a:ext>
                    </a:extLst>
                  </pic:spPr>
                </pic:pic>
              </a:graphicData>
            </a:graphic>
          </wp:inline>
        </w:drawing>
      </w:r>
    </w:p>
    <w:p w14:paraId="55E73F6C" w14:textId="77777777" w:rsidR="005D1EA7" w:rsidRDefault="005D1EA7" w:rsidP="005D1EA7"/>
    <w:p w14:paraId="2378FEE2" w14:textId="7138CC28" w:rsidR="005D1EA7" w:rsidRDefault="005D1EA7" w:rsidP="005D1EA7">
      <w:r>
        <w:t xml:space="preserve">Workshops were organised to introduce the new recruitment tool, Systal.  This tool came into production for </w:t>
      </w:r>
      <w:r w:rsidR="009E01BC">
        <w:t>the JU</w:t>
      </w:r>
      <w:r>
        <w:t xml:space="preserve"> in November 2021 and the next recruitment will be done by using this system.</w:t>
      </w:r>
    </w:p>
    <w:p w14:paraId="73D6E61C" w14:textId="77777777" w:rsidR="005D1EA7" w:rsidRPr="00E712EE" w:rsidRDefault="005D1EA7" w:rsidP="005D1EA7"/>
    <w:p w14:paraId="1646C15A" w14:textId="77777777" w:rsidR="005D1EA7" w:rsidRDefault="005D1EA7" w:rsidP="005D1EA7">
      <w:pPr>
        <w:rPr>
          <w:b/>
          <w:bCs/>
        </w:rPr>
      </w:pPr>
      <w:r>
        <w:rPr>
          <w:b/>
          <w:bCs/>
        </w:rPr>
        <w:t xml:space="preserve">Other HR related activities </w:t>
      </w:r>
    </w:p>
    <w:p w14:paraId="337452DE" w14:textId="77777777" w:rsidR="005D1EA7" w:rsidRDefault="005D1EA7" w:rsidP="005D1EA7">
      <w:r w:rsidRPr="00223E2A">
        <w:t>The Appraisal and reclassification</w:t>
      </w:r>
      <w:r w:rsidRPr="00274B25">
        <w:rPr>
          <w:b/>
          <w:bCs/>
        </w:rPr>
        <w:t xml:space="preserve"> </w:t>
      </w:r>
      <w:r w:rsidRPr="00223E2A">
        <w:t>exercise 2021 was carried out and the decision on staff reclassified</w:t>
      </w:r>
      <w:r>
        <w:t xml:space="preserve"> (4 Temporary agents) was adopted with reclassifications taking effect retroactively on 1 January 2021.</w:t>
      </w:r>
    </w:p>
    <w:p w14:paraId="109BD8D5" w14:textId="2AFD095A" w:rsidR="005D1EA7" w:rsidRPr="00223E2A" w:rsidRDefault="009E01BC" w:rsidP="005D1EA7">
      <w:r>
        <w:t>The</w:t>
      </w:r>
      <w:r w:rsidR="005D1EA7">
        <w:t xml:space="preserve"> JU participated in the meetings organised by the European Union Network of Agencies (EUAN), which continued the ‘new ways of working’ meetings giving updates on the different situations in the member states on Covi</w:t>
      </w:r>
      <w:r w:rsidR="009F1316">
        <w:t>d-19</w:t>
      </w:r>
      <w:r w:rsidR="005D1EA7">
        <w:t xml:space="preserve">.  Learning Network meetings were followed as well, to be informed on the different developments in EU learn and linkedIn learn. </w:t>
      </w:r>
    </w:p>
    <w:p w14:paraId="129A1644" w14:textId="77777777" w:rsidR="005D1EA7" w:rsidRPr="005D1EA7" w:rsidRDefault="005D1EA7" w:rsidP="005D1EA7"/>
    <w:p w14:paraId="65273FE5" w14:textId="77777777" w:rsidR="00D41A02" w:rsidRPr="00896AB4" w:rsidRDefault="00D41A02" w:rsidP="00864737">
      <w:pPr>
        <w:jc w:val="both"/>
        <w:rPr>
          <w:rFonts w:asciiTheme="minorHAnsi" w:hAnsiTheme="minorHAnsi"/>
        </w:rPr>
      </w:pPr>
    </w:p>
    <w:p w14:paraId="2DCB23FC" w14:textId="77777777" w:rsidR="00D41A02" w:rsidRPr="00896AB4" w:rsidRDefault="00D41A02" w:rsidP="00864737">
      <w:pPr>
        <w:pStyle w:val="Heading1"/>
        <w:numPr>
          <w:ilvl w:val="0"/>
          <w:numId w:val="1"/>
        </w:numPr>
        <w:jc w:val="both"/>
        <w:rPr>
          <w:rFonts w:asciiTheme="minorHAnsi" w:hAnsiTheme="minorHAnsi"/>
        </w:rPr>
      </w:pPr>
      <w:bookmarkStart w:id="160" w:name="_Toc98496357"/>
      <w:bookmarkStart w:id="161" w:name="_Toc101516078"/>
      <w:r w:rsidRPr="00896AB4">
        <w:rPr>
          <w:rFonts w:asciiTheme="minorHAnsi" w:hAnsiTheme="minorHAnsi"/>
        </w:rPr>
        <w:t>GOVERNANCE</w:t>
      </w:r>
      <w:bookmarkEnd w:id="160"/>
      <w:bookmarkEnd w:id="161"/>
    </w:p>
    <w:p w14:paraId="653054AF" w14:textId="77777777" w:rsidR="00D41A02" w:rsidRPr="00896AB4" w:rsidRDefault="009111A1" w:rsidP="00864737">
      <w:pPr>
        <w:pStyle w:val="Heading3"/>
        <w:numPr>
          <w:ilvl w:val="1"/>
          <w:numId w:val="1"/>
        </w:numPr>
        <w:jc w:val="both"/>
        <w:rPr>
          <w:rFonts w:asciiTheme="minorHAnsi" w:hAnsiTheme="minorHAnsi"/>
        </w:rPr>
      </w:pPr>
      <w:r>
        <w:rPr>
          <w:rFonts w:asciiTheme="minorHAnsi" w:hAnsiTheme="minorHAnsi"/>
        </w:rPr>
        <w:t xml:space="preserve"> </w:t>
      </w:r>
      <w:bookmarkStart w:id="162" w:name="_Toc98496358"/>
      <w:bookmarkStart w:id="163" w:name="_Toc101516079"/>
      <w:r w:rsidR="00D41A02" w:rsidRPr="00896AB4">
        <w:rPr>
          <w:rFonts w:asciiTheme="minorHAnsi" w:hAnsiTheme="minorHAnsi"/>
        </w:rPr>
        <w:t>Governing Board</w:t>
      </w:r>
      <w:bookmarkEnd w:id="162"/>
      <w:bookmarkEnd w:id="163"/>
      <w:r w:rsidR="00D41A02" w:rsidRPr="00896AB4">
        <w:rPr>
          <w:rFonts w:asciiTheme="minorHAnsi" w:hAnsiTheme="minorHAnsi"/>
        </w:rPr>
        <w:t xml:space="preserve"> </w:t>
      </w:r>
    </w:p>
    <w:p w14:paraId="4C913056" w14:textId="485C8E0C" w:rsidR="00A77F24" w:rsidRPr="00182125" w:rsidRDefault="00A77F24" w:rsidP="00A77F24">
      <w:pPr>
        <w:autoSpaceDE w:val="0"/>
        <w:autoSpaceDN w:val="0"/>
        <w:adjustRightInd w:val="0"/>
        <w:spacing w:after="0" w:line="240" w:lineRule="auto"/>
      </w:pPr>
      <w:r w:rsidRPr="00182125">
        <w:t>The JU GB comprise</w:t>
      </w:r>
      <w:r w:rsidR="00101744" w:rsidRPr="00182125">
        <w:t>d</w:t>
      </w:r>
      <w:r w:rsidRPr="00182125">
        <w:t xml:space="preserve"> three representatives from the EC representing the EU, six representatives from Hydrogen Europe and one from Hydrogen Europe Research. </w:t>
      </w:r>
    </w:p>
    <w:p w14:paraId="6681324C" w14:textId="77777777" w:rsidR="00A77F24" w:rsidRPr="00182125" w:rsidRDefault="00A77F24" w:rsidP="00A77F24">
      <w:pPr>
        <w:autoSpaceDE w:val="0"/>
        <w:autoSpaceDN w:val="0"/>
        <w:adjustRightInd w:val="0"/>
        <w:spacing w:after="0" w:line="240" w:lineRule="auto"/>
      </w:pPr>
    </w:p>
    <w:p w14:paraId="6B7D434C" w14:textId="79D569CF" w:rsidR="00A77F24" w:rsidRPr="00182125" w:rsidRDefault="00A77F24" w:rsidP="00A77F24">
      <w:pPr>
        <w:autoSpaceDE w:val="0"/>
        <w:autoSpaceDN w:val="0"/>
        <w:adjustRightInd w:val="0"/>
        <w:spacing w:after="0" w:line="240" w:lineRule="auto"/>
      </w:pPr>
      <w:r w:rsidRPr="00182125">
        <w:t xml:space="preserve">The GB chair </w:t>
      </w:r>
      <w:r w:rsidR="00101744" w:rsidRPr="00182125">
        <w:t>was</w:t>
      </w:r>
      <w:r w:rsidRPr="00182125">
        <w:t xml:space="preserve"> René Schutte, </w:t>
      </w:r>
      <w:r w:rsidR="00101744" w:rsidRPr="00182125">
        <w:t>Director of HyNorth</w:t>
      </w:r>
      <w:r w:rsidRPr="00182125">
        <w:t xml:space="preserve">. The vice-chair </w:t>
      </w:r>
      <w:r w:rsidR="00101744" w:rsidRPr="00182125">
        <w:t>wa</w:t>
      </w:r>
      <w:r w:rsidRPr="00182125">
        <w:t>s Rosalinde van der Vlies, Director of Clean Planet in DG Research and Innovation</w:t>
      </w:r>
      <w:r w:rsidR="007C053A">
        <w:t xml:space="preserve"> of the European Commission</w:t>
      </w:r>
      <w:r w:rsidRPr="00182125">
        <w:t xml:space="preserve">. </w:t>
      </w:r>
    </w:p>
    <w:p w14:paraId="6AB09B97" w14:textId="77777777" w:rsidR="00A77F24" w:rsidRPr="00182125" w:rsidRDefault="00A77F24" w:rsidP="00A77F24">
      <w:pPr>
        <w:autoSpaceDE w:val="0"/>
        <w:autoSpaceDN w:val="0"/>
        <w:adjustRightInd w:val="0"/>
        <w:spacing w:after="0" w:line="240" w:lineRule="auto"/>
      </w:pPr>
    </w:p>
    <w:p w14:paraId="49697BE0" w14:textId="157D38D3" w:rsidR="00A77F24" w:rsidRPr="00182125" w:rsidRDefault="00A77F24" w:rsidP="00A77F24">
      <w:pPr>
        <w:autoSpaceDE w:val="0"/>
        <w:autoSpaceDN w:val="0"/>
        <w:adjustRightInd w:val="0"/>
        <w:spacing w:after="0" w:line="240" w:lineRule="auto"/>
      </w:pPr>
      <w:r w:rsidRPr="00182125">
        <w:t xml:space="preserve">In </w:t>
      </w:r>
      <w:r w:rsidR="00101744" w:rsidRPr="00182125">
        <w:t>July 2021</w:t>
      </w:r>
      <w:r w:rsidRPr="00182125">
        <w:t>, t</w:t>
      </w:r>
      <w:r w:rsidR="00101744" w:rsidRPr="00182125">
        <w:t>hree</w:t>
      </w:r>
      <w:r w:rsidRPr="00182125">
        <w:t xml:space="preserve"> representatives from Hydrogen Europe left and were replaced by two new</w:t>
      </w:r>
    </w:p>
    <w:p w14:paraId="6EC229CC" w14:textId="3EE40BBB" w:rsidR="00A77F24" w:rsidRPr="00182125" w:rsidRDefault="00A77F24" w:rsidP="00A77F24">
      <w:pPr>
        <w:autoSpaceDE w:val="0"/>
        <w:autoSpaceDN w:val="0"/>
        <w:adjustRightInd w:val="0"/>
        <w:spacing w:after="0" w:line="240" w:lineRule="auto"/>
      </w:pPr>
      <w:r w:rsidRPr="00182125">
        <w:t xml:space="preserve">representatives: </w:t>
      </w:r>
      <w:r w:rsidR="00101744" w:rsidRPr="00182125">
        <w:t>Patrick Huber (H2 Energy), Melissa Verykios (Helbio), Glenn Llewellyn (Airbus).</w:t>
      </w:r>
    </w:p>
    <w:p w14:paraId="445F4A73" w14:textId="21C23FB9" w:rsidR="006F1AC1" w:rsidRPr="00182125" w:rsidRDefault="00A77F24" w:rsidP="00A77F24">
      <w:pPr>
        <w:autoSpaceDE w:val="0"/>
        <w:autoSpaceDN w:val="0"/>
        <w:adjustRightInd w:val="0"/>
        <w:spacing w:after="0" w:line="240" w:lineRule="auto"/>
      </w:pPr>
      <w:r w:rsidRPr="00182125">
        <w:t>During the year, the JU GB held three meetings: 2</w:t>
      </w:r>
      <w:r w:rsidR="006F1AC1" w:rsidRPr="00182125">
        <w:t>4 March</w:t>
      </w:r>
      <w:r w:rsidRPr="00182125">
        <w:t xml:space="preserve">, </w:t>
      </w:r>
      <w:r w:rsidR="006F1AC1" w:rsidRPr="00182125">
        <w:t>18</w:t>
      </w:r>
      <w:r w:rsidRPr="00182125">
        <w:t xml:space="preserve"> </w:t>
      </w:r>
      <w:proofErr w:type="gramStart"/>
      <w:r w:rsidRPr="00182125">
        <w:t>June</w:t>
      </w:r>
      <w:proofErr w:type="gramEnd"/>
      <w:r w:rsidRPr="00182125">
        <w:t xml:space="preserve"> and </w:t>
      </w:r>
      <w:r w:rsidR="006F1AC1" w:rsidRPr="00182125">
        <w:t>10 November</w:t>
      </w:r>
      <w:r w:rsidRPr="00182125">
        <w:t xml:space="preserve">. </w:t>
      </w:r>
    </w:p>
    <w:p w14:paraId="2B07D58C" w14:textId="77777777" w:rsidR="006F1AC1" w:rsidRPr="00182125" w:rsidRDefault="006F1AC1" w:rsidP="00A77F24">
      <w:pPr>
        <w:autoSpaceDE w:val="0"/>
        <w:autoSpaceDN w:val="0"/>
        <w:adjustRightInd w:val="0"/>
        <w:spacing w:after="0" w:line="240" w:lineRule="auto"/>
      </w:pPr>
    </w:p>
    <w:p w14:paraId="29CA66C1" w14:textId="6698181A" w:rsidR="00A77F24" w:rsidRPr="00182125" w:rsidRDefault="00A77F24" w:rsidP="00A77F24">
      <w:pPr>
        <w:autoSpaceDE w:val="0"/>
        <w:autoSpaceDN w:val="0"/>
        <w:adjustRightInd w:val="0"/>
        <w:spacing w:after="0" w:line="240" w:lineRule="auto"/>
      </w:pPr>
      <w:r w:rsidRPr="00182125">
        <w:t>Due to the COVID-19 situation all meetings were virtual.</w:t>
      </w:r>
    </w:p>
    <w:p w14:paraId="73E178C8" w14:textId="77777777" w:rsidR="006F1AC1" w:rsidRPr="00182125" w:rsidRDefault="006F1AC1" w:rsidP="00A77F24">
      <w:pPr>
        <w:autoSpaceDE w:val="0"/>
        <w:autoSpaceDN w:val="0"/>
        <w:adjustRightInd w:val="0"/>
        <w:spacing w:after="0" w:line="240" w:lineRule="auto"/>
      </w:pPr>
    </w:p>
    <w:p w14:paraId="01CEA098" w14:textId="3DEC9BD3" w:rsidR="00A77F24" w:rsidRPr="00182125" w:rsidRDefault="00A77F24" w:rsidP="00A77F24">
      <w:pPr>
        <w:autoSpaceDE w:val="0"/>
        <w:autoSpaceDN w:val="0"/>
        <w:adjustRightInd w:val="0"/>
        <w:spacing w:after="0" w:line="240" w:lineRule="auto"/>
      </w:pPr>
      <w:r w:rsidRPr="00182125">
        <w:t>All the meetings focused on strategic issues and discussions on the progress of the programme and included updates from the members</w:t>
      </w:r>
      <w:r w:rsidR="006F1AC1" w:rsidRPr="00182125">
        <w:t xml:space="preserve"> </w:t>
      </w:r>
      <w:r w:rsidRPr="00182125">
        <w:t>on policy developments and preparations for Horizon Europe.</w:t>
      </w:r>
    </w:p>
    <w:p w14:paraId="3922B775" w14:textId="77777777" w:rsidR="006F1AC1" w:rsidRPr="00182125" w:rsidRDefault="006F1AC1" w:rsidP="00A77F24">
      <w:pPr>
        <w:autoSpaceDE w:val="0"/>
        <w:autoSpaceDN w:val="0"/>
        <w:adjustRightInd w:val="0"/>
        <w:spacing w:after="0" w:line="240" w:lineRule="auto"/>
      </w:pPr>
    </w:p>
    <w:p w14:paraId="145F9AE0" w14:textId="658595AC" w:rsidR="00A77F24" w:rsidRPr="00182125" w:rsidRDefault="00A77F24" w:rsidP="00A77F24">
      <w:pPr>
        <w:autoSpaceDE w:val="0"/>
        <w:autoSpaceDN w:val="0"/>
        <w:adjustRightInd w:val="0"/>
        <w:spacing w:after="0" w:line="240" w:lineRule="auto"/>
      </w:pPr>
      <w:r w:rsidRPr="00182125">
        <w:t xml:space="preserve">• The first meeting </w:t>
      </w:r>
      <w:r w:rsidR="00825020" w:rsidRPr="00182125">
        <w:t xml:space="preserve">in March </w:t>
      </w:r>
      <w:r w:rsidRPr="00182125">
        <w:t xml:space="preserve">was mainly dedicated to discussions </w:t>
      </w:r>
      <w:r w:rsidR="006F1AC1" w:rsidRPr="00182125">
        <w:t xml:space="preserve">regarding </w:t>
      </w:r>
      <w:r w:rsidR="00A64D45">
        <w:t>SRIA (ex-</w:t>
      </w:r>
      <w:r w:rsidR="006F1AC1" w:rsidRPr="00182125">
        <w:t>MAWP</w:t>
      </w:r>
      <w:r w:rsidR="00A64D45">
        <w:t>)</w:t>
      </w:r>
      <w:r w:rsidR="006F1AC1" w:rsidRPr="00182125">
        <w:t xml:space="preserve"> 2021-2027, AWP 2021, AWP </w:t>
      </w:r>
      <w:proofErr w:type="gramStart"/>
      <w:r w:rsidR="006F1AC1" w:rsidRPr="00182125">
        <w:t>2022</w:t>
      </w:r>
      <w:proofErr w:type="gramEnd"/>
      <w:r w:rsidR="006F1AC1" w:rsidRPr="00182125">
        <w:t xml:space="preserve"> and strategic priorities, as well as AAR 2020 and the implementation of JRC Annual rolling plan for 2020</w:t>
      </w:r>
      <w:r w:rsidRPr="00182125">
        <w:t>.</w:t>
      </w:r>
    </w:p>
    <w:p w14:paraId="3848D5C0" w14:textId="77777777" w:rsidR="006F1AC1" w:rsidRPr="00182125" w:rsidRDefault="006F1AC1" w:rsidP="00A77F24">
      <w:pPr>
        <w:autoSpaceDE w:val="0"/>
        <w:autoSpaceDN w:val="0"/>
        <w:adjustRightInd w:val="0"/>
        <w:spacing w:after="0" w:line="240" w:lineRule="auto"/>
      </w:pPr>
    </w:p>
    <w:p w14:paraId="0553B063" w14:textId="519A898E" w:rsidR="006F1AC1" w:rsidRPr="00182125" w:rsidRDefault="00A77F24" w:rsidP="00A77F24">
      <w:pPr>
        <w:autoSpaceDE w:val="0"/>
        <w:autoSpaceDN w:val="0"/>
        <w:adjustRightInd w:val="0"/>
        <w:spacing w:after="0" w:line="240" w:lineRule="auto"/>
      </w:pPr>
      <w:r w:rsidRPr="00182125">
        <w:lastRenderedPageBreak/>
        <w:t>• The June meeting included an update on progress in th</w:t>
      </w:r>
      <w:r w:rsidR="006753DF" w:rsidRPr="00182125">
        <w:t xml:space="preserve">e </w:t>
      </w:r>
      <w:r w:rsidR="00A64D45">
        <w:t>SRIA</w:t>
      </w:r>
      <w:r w:rsidR="00A64D45" w:rsidRPr="00182125">
        <w:t xml:space="preserve"> </w:t>
      </w:r>
      <w:r w:rsidR="006753DF" w:rsidRPr="00182125">
        <w:t xml:space="preserve">2021-2027, AWP 2021, AWP </w:t>
      </w:r>
      <w:proofErr w:type="gramStart"/>
      <w:r w:rsidR="006753DF" w:rsidRPr="00182125">
        <w:t>2022</w:t>
      </w:r>
      <w:proofErr w:type="gramEnd"/>
      <w:r w:rsidR="0084534E" w:rsidRPr="00182125">
        <w:t xml:space="preserve"> and the preparation of the second European Hydrogen Week</w:t>
      </w:r>
      <w:r w:rsidRPr="00182125">
        <w:t xml:space="preserve">. </w:t>
      </w:r>
    </w:p>
    <w:p w14:paraId="624D977F" w14:textId="77777777" w:rsidR="006753DF" w:rsidRPr="00182125" w:rsidRDefault="006753DF" w:rsidP="00A77F24">
      <w:pPr>
        <w:autoSpaceDE w:val="0"/>
        <w:autoSpaceDN w:val="0"/>
        <w:adjustRightInd w:val="0"/>
        <w:spacing w:after="0" w:line="240" w:lineRule="auto"/>
      </w:pPr>
    </w:p>
    <w:p w14:paraId="76DB7087" w14:textId="309BE920" w:rsidR="00A77F24" w:rsidRPr="00182125" w:rsidRDefault="00A77F24" w:rsidP="00A77F24">
      <w:pPr>
        <w:autoSpaceDE w:val="0"/>
        <w:autoSpaceDN w:val="0"/>
        <w:adjustRightInd w:val="0"/>
        <w:spacing w:after="0" w:line="240" w:lineRule="auto"/>
      </w:pPr>
      <w:r w:rsidRPr="00182125">
        <w:t xml:space="preserve">• In October, the main topics included the latest developments on the </w:t>
      </w:r>
      <w:r w:rsidR="00825020" w:rsidRPr="00182125">
        <w:t xml:space="preserve">set up </w:t>
      </w:r>
      <w:r w:rsidR="00F83F68" w:rsidRPr="00182125">
        <w:t xml:space="preserve">of the </w:t>
      </w:r>
      <w:r w:rsidRPr="00182125">
        <w:t>Clean Hydrogen Partnership</w:t>
      </w:r>
      <w:r w:rsidR="00F83F68" w:rsidRPr="00182125">
        <w:t xml:space="preserve"> and its synergies</w:t>
      </w:r>
      <w:r w:rsidRPr="00182125">
        <w:t>, the</w:t>
      </w:r>
      <w:r w:rsidR="006F1AC1" w:rsidRPr="00182125">
        <w:t xml:space="preserve"> </w:t>
      </w:r>
      <w:r w:rsidRPr="00182125">
        <w:t xml:space="preserve">state of play of the </w:t>
      </w:r>
      <w:r w:rsidR="00A64D45">
        <w:t>SRIA</w:t>
      </w:r>
      <w:r w:rsidR="00A64D45" w:rsidRPr="00182125">
        <w:t xml:space="preserve"> </w:t>
      </w:r>
      <w:r w:rsidRPr="00182125">
        <w:t xml:space="preserve">2021-2027, and the FCH 2 JU AWP </w:t>
      </w:r>
      <w:r w:rsidR="00F83F68" w:rsidRPr="00182125">
        <w:t>2022</w:t>
      </w:r>
      <w:r w:rsidR="00A64D45">
        <w:t xml:space="preserve"> but also new JU call 2022 status</w:t>
      </w:r>
      <w:r w:rsidR="00F83F68" w:rsidRPr="00182125">
        <w:t xml:space="preserve">. </w:t>
      </w:r>
    </w:p>
    <w:p w14:paraId="34392B37" w14:textId="77777777" w:rsidR="006F1AC1" w:rsidRDefault="006F1AC1" w:rsidP="00A77F24">
      <w:pPr>
        <w:autoSpaceDE w:val="0"/>
        <w:autoSpaceDN w:val="0"/>
        <w:adjustRightInd w:val="0"/>
        <w:spacing w:after="0" w:line="240" w:lineRule="auto"/>
        <w:rPr>
          <w:rFonts w:ascii="DINCond-Regular" w:hAnsi="DINCond-Regular" w:cs="DINCond-Regular"/>
          <w:color w:val="393939"/>
          <w:sz w:val="20"/>
          <w:szCs w:val="20"/>
          <w:lang w:eastAsia="en-GB"/>
        </w:rPr>
      </w:pPr>
    </w:p>
    <w:p w14:paraId="5B78F090" w14:textId="6DB2404A" w:rsidR="00A77F24" w:rsidRPr="00BD55D6" w:rsidRDefault="00A77F24" w:rsidP="00A77F24">
      <w:pPr>
        <w:autoSpaceDE w:val="0"/>
        <w:autoSpaceDN w:val="0"/>
        <w:adjustRightInd w:val="0"/>
        <w:spacing w:after="0" w:line="240" w:lineRule="auto"/>
      </w:pPr>
      <w:r w:rsidRPr="00BD55D6">
        <w:t>The GB also adopted major decisions by written procedure, including:</w:t>
      </w:r>
    </w:p>
    <w:p w14:paraId="71102540" w14:textId="3A11C2CB" w:rsidR="00A13274" w:rsidRPr="00182125" w:rsidRDefault="00A13274" w:rsidP="002672A0">
      <w:pPr>
        <w:pStyle w:val="ListParagraph"/>
        <w:numPr>
          <w:ilvl w:val="0"/>
          <w:numId w:val="4"/>
        </w:numPr>
        <w:autoSpaceDE w:val="0"/>
        <w:autoSpaceDN w:val="0"/>
        <w:adjustRightInd w:val="0"/>
        <w:spacing w:after="0" w:line="240" w:lineRule="auto"/>
        <w:rPr>
          <w:rFonts w:asciiTheme="minorHAnsi" w:hAnsiTheme="minorHAnsi" w:cstheme="minorHAnsi"/>
          <w:lang w:eastAsia="en-GB"/>
        </w:rPr>
      </w:pPr>
      <w:r w:rsidRPr="00182125">
        <w:rPr>
          <w:rFonts w:asciiTheme="minorHAnsi" w:hAnsiTheme="minorHAnsi" w:cstheme="minorHAnsi"/>
          <w:lang w:eastAsia="en-GB"/>
        </w:rPr>
        <w:t>FCH-GB-2021-01</w:t>
      </w:r>
      <w:r w:rsidRPr="00182125">
        <w:rPr>
          <w:rFonts w:asciiTheme="minorHAnsi" w:hAnsiTheme="minorHAnsi" w:cstheme="minorHAnsi"/>
          <w:lang w:eastAsia="en-GB"/>
        </w:rPr>
        <w:tab/>
        <w:t>Approval of 26 February 2021 of amendment n°1 to the FCH 2 JU AWP and Budget for 2021</w:t>
      </w:r>
    </w:p>
    <w:p w14:paraId="1371F161" w14:textId="03D73C5D" w:rsidR="00A13274" w:rsidRPr="00182125" w:rsidRDefault="00A13274" w:rsidP="002672A0">
      <w:pPr>
        <w:pStyle w:val="ListParagraph"/>
        <w:numPr>
          <w:ilvl w:val="0"/>
          <w:numId w:val="4"/>
        </w:numPr>
        <w:autoSpaceDE w:val="0"/>
        <w:autoSpaceDN w:val="0"/>
        <w:adjustRightInd w:val="0"/>
        <w:spacing w:after="0" w:line="240" w:lineRule="auto"/>
        <w:rPr>
          <w:rFonts w:asciiTheme="minorHAnsi" w:hAnsiTheme="minorHAnsi" w:cstheme="minorHAnsi"/>
          <w:lang w:eastAsia="en-GB"/>
        </w:rPr>
      </w:pPr>
      <w:r w:rsidRPr="00182125">
        <w:rPr>
          <w:rFonts w:asciiTheme="minorHAnsi" w:hAnsiTheme="minorHAnsi" w:cstheme="minorHAnsi"/>
          <w:lang w:eastAsia="en-GB"/>
        </w:rPr>
        <w:t>FCH-GB-2021-02</w:t>
      </w:r>
      <w:r w:rsidRPr="00182125">
        <w:rPr>
          <w:rFonts w:asciiTheme="minorHAnsi" w:hAnsiTheme="minorHAnsi" w:cstheme="minorHAnsi"/>
          <w:lang w:eastAsia="en-GB"/>
        </w:rPr>
        <w:tab/>
        <w:t>Approval of 07 April 2021 of independent assessment of aggregate level of IK (FP7) at 31.12.2020</w:t>
      </w:r>
    </w:p>
    <w:p w14:paraId="1545C3B9" w14:textId="268E6A18" w:rsidR="00A13274" w:rsidRPr="00182125" w:rsidRDefault="00A13274" w:rsidP="002672A0">
      <w:pPr>
        <w:pStyle w:val="ListParagraph"/>
        <w:numPr>
          <w:ilvl w:val="0"/>
          <w:numId w:val="4"/>
        </w:numPr>
        <w:autoSpaceDE w:val="0"/>
        <w:autoSpaceDN w:val="0"/>
        <w:adjustRightInd w:val="0"/>
        <w:spacing w:after="0" w:line="240" w:lineRule="auto"/>
        <w:rPr>
          <w:rFonts w:asciiTheme="minorHAnsi" w:hAnsiTheme="minorHAnsi" w:cstheme="minorHAnsi"/>
          <w:lang w:eastAsia="en-GB"/>
        </w:rPr>
      </w:pPr>
      <w:r w:rsidRPr="00182125">
        <w:rPr>
          <w:rFonts w:asciiTheme="minorHAnsi" w:hAnsiTheme="minorHAnsi" w:cstheme="minorHAnsi"/>
          <w:lang w:eastAsia="en-GB"/>
        </w:rPr>
        <w:t>FCH-GB-2021-03</w:t>
      </w:r>
      <w:r w:rsidRPr="00182125">
        <w:rPr>
          <w:rFonts w:asciiTheme="minorHAnsi" w:hAnsiTheme="minorHAnsi" w:cstheme="minorHAnsi"/>
          <w:lang w:eastAsia="en-GB"/>
        </w:rPr>
        <w:tab/>
        <w:t>Approval of 15 June 2021 of the minutes of GB meeting of 24 March 2021</w:t>
      </w:r>
    </w:p>
    <w:p w14:paraId="30724D80" w14:textId="1F4343A8" w:rsidR="00A13274" w:rsidRPr="00182125" w:rsidRDefault="00A13274" w:rsidP="002672A0">
      <w:pPr>
        <w:pStyle w:val="ListParagraph"/>
        <w:numPr>
          <w:ilvl w:val="0"/>
          <w:numId w:val="4"/>
        </w:numPr>
        <w:autoSpaceDE w:val="0"/>
        <w:autoSpaceDN w:val="0"/>
        <w:adjustRightInd w:val="0"/>
        <w:spacing w:after="0" w:line="240" w:lineRule="auto"/>
        <w:rPr>
          <w:rFonts w:asciiTheme="minorHAnsi" w:hAnsiTheme="minorHAnsi" w:cstheme="minorHAnsi"/>
          <w:lang w:eastAsia="en-GB"/>
        </w:rPr>
      </w:pPr>
      <w:r w:rsidRPr="00182125">
        <w:rPr>
          <w:rFonts w:asciiTheme="minorHAnsi" w:hAnsiTheme="minorHAnsi" w:cstheme="minorHAnsi"/>
          <w:lang w:eastAsia="en-GB"/>
        </w:rPr>
        <w:t>FCH-GB-2021-04</w:t>
      </w:r>
      <w:r w:rsidRPr="00182125">
        <w:rPr>
          <w:rFonts w:asciiTheme="minorHAnsi" w:hAnsiTheme="minorHAnsi" w:cstheme="minorHAnsi"/>
          <w:lang w:eastAsia="en-GB"/>
        </w:rPr>
        <w:tab/>
        <w:t>Approval of 31 May 2021 of amendment n°2 to the FCH 2 JU AWP and Budget for 2021</w:t>
      </w:r>
    </w:p>
    <w:p w14:paraId="2C13F14E" w14:textId="36EDBC7C" w:rsidR="00A13274" w:rsidRPr="00182125" w:rsidRDefault="00A13274" w:rsidP="002672A0">
      <w:pPr>
        <w:pStyle w:val="ListParagraph"/>
        <w:numPr>
          <w:ilvl w:val="0"/>
          <w:numId w:val="4"/>
        </w:numPr>
        <w:autoSpaceDE w:val="0"/>
        <w:autoSpaceDN w:val="0"/>
        <w:adjustRightInd w:val="0"/>
        <w:spacing w:after="0" w:line="240" w:lineRule="auto"/>
        <w:rPr>
          <w:rFonts w:asciiTheme="minorHAnsi" w:hAnsiTheme="minorHAnsi" w:cstheme="minorHAnsi"/>
          <w:lang w:eastAsia="en-GB"/>
        </w:rPr>
      </w:pPr>
      <w:r w:rsidRPr="00182125">
        <w:rPr>
          <w:rFonts w:asciiTheme="minorHAnsi" w:hAnsiTheme="minorHAnsi" w:cstheme="minorHAnsi"/>
          <w:lang w:eastAsia="en-GB"/>
        </w:rPr>
        <w:t>FCH-GB-2021-05</w:t>
      </w:r>
      <w:r w:rsidRPr="00182125">
        <w:rPr>
          <w:rFonts w:asciiTheme="minorHAnsi" w:hAnsiTheme="minorHAnsi" w:cstheme="minorHAnsi"/>
          <w:lang w:eastAsia="en-GB"/>
        </w:rPr>
        <w:tab/>
        <w:t>Assessment and approval of 15 June 2021 of the FCH 2 JU AAR 2020</w:t>
      </w:r>
    </w:p>
    <w:p w14:paraId="141D13F5" w14:textId="44C455B4" w:rsidR="00A13274" w:rsidRPr="00182125" w:rsidRDefault="00A13274" w:rsidP="002672A0">
      <w:pPr>
        <w:pStyle w:val="ListParagraph"/>
        <w:numPr>
          <w:ilvl w:val="0"/>
          <w:numId w:val="4"/>
        </w:numPr>
        <w:autoSpaceDE w:val="0"/>
        <w:autoSpaceDN w:val="0"/>
        <w:adjustRightInd w:val="0"/>
        <w:spacing w:after="0" w:line="240" w:lineRule="auto"/>
        <w:rPr>
          <w:rFonts w:asciiTheme="minorHAnsi" w:hAnsiTheme="minorHAnsi" w:cstheme="minorHAnsi"/>
          <w:lang w:eastAsia="en-GB"/>
        </w:rPr>
      </w:pPr>
      <w:r w:rsidRPr="00182125">
        <w:rPr>
          <w:rFonts w:asciiTheme="minorHAnsi" w:hAnsiTheme="minorHAnsi" w:cstheme="minorHAnsi"/>
          <w:lang w:eastAsia="en-GB"/>
        </w:rPr>
        <w:t>FCH-GB-2021-06</w:t>
      </w:r>
      <w:r w:rsidRPr="00182125">
        <w:rPr>
          <w:rFonts w:asciiTheme="minorHAnsi" w:hAnsiTheme="minorHAnsi" w:cstheme="minorHAnsi"/>
          <w:lang w:eastAsia="en-GB"/>
        </w:rPr>
        <w:tab/>
        <w:t>Approval of 30 June 2021 of the FCH 2 JU final accounts for 2020</w:t>
      </w:r>
    </w:p>
    <w:p w14:paraId="3A935095" w14:textId="06B42533" w:rsidR="00A13274" w:rsidRPr="00182125" w:rsidRDefault="00A13274" w:rsidP="002672A0">
      <w:pPr>
        <w:pStyle w:val="ListParagraph"/>
        <w:numPr>
          <w:ilvl w:val="0"/>
          <w:numId w:val="4"/>
        </w:numPr>
        <w:autoSpaceDE w:val="0"/>
        <w:autoSpaceDN w:val="0"/>
        <w:adjustRightInd w:val="0"/>
        <w:spacing w:after="0" w:line="240" w:lineRule="auto"/>
        <w:rPr>
          <w:rFonts w:asciiTheme="minorHAnsi" w:hAnsiTheme="minorHAnsi" w:cstheme="minorHAnsi"/>
          <w:lang w:eastAsia="en-GB"/>
        </w:rPr>
      </w:pPr>
      <w:r w:rsidRPr="00182125">
        <w:rPr>
          <w:rFonts w:asciiTheme="minorHAnsi" w:hAnsiTheme="minorHAnsi" w:cstheme="minorHAnsi"/>
          <w:lang w:eastAsia="en-GB"/>
        </w:rPr>
        <w:t>FCH-GB-2021-07</w:t>
      </w:r>
      <w:r w:rsidRPr="00182125">
        <w:rPr>
          <w:rFonts w:asciiTheme="minorHAnsi" w:hAnsiTheme="minorHAnsi" w:cstheme="minorHAnsi"/>
          <w:lang w:eastAsia="en-GB"/>
        </w:rPr>
        <w:tab/>
        <w:t>Approval of 30 September 2021 of the minutes of GB meeting of 18 June 2021</w:t>
      </w:r>
    </w:p>
    <w:p w14:paraId="40872EE8" w14:textId="191F699E" w:rsidR="00A13274" w:rsidRPr="00182125" w:rsidRDefault="00A13274" w:rsidP="002672A0">
      <w:pPr>
        <w:pStyle w:val="ListParagraph"/>
        <w:numPr>
          <w:ilvl w:val="0"/>
          <w:numId w:val="4"/>
        </w:numPr>
        <w:autoSpaceDE w:val="0"/>
        <w:autoSpaceDN w:val="0"/>
        <w:adjustRightInd w:val="0"/>
        <w:spacing w:after="0" w:line="240" w:lineRule="auto"/>
        <w:rPr>
          <w:rFonts w:asciiTheme="minorHAnsi" w:hAnsiTheme="minorHAnsi" w:cstheme="minorHAnsi"/>
          <w:lang w:eastAsia="en-GB"/>
        </w:rPr>
      </w:pPr>
      <w:r w:rsidRPr="00182125">
        <w:rPr>
          <w:rFonts w:asciiTheme="minorHAnsi" w:hAnsiTheme="minorHAnsi" w:cstheme="minorHAnsi"/>
          <w:lang w:eastAsia="en-GB"/>
        </w:rPr>
        <w:t>FCH-GB-2021-08</w:t>
      </w:r>
      <w:r w:rsidRPr="00182125">
        <w:rPr>
          <w:rFonts w:asciiTheme="minorHAnsi" w:hAnsiTheme="minorHAnsi" w:cstheme="minorHAnsi"/>
          <w:lang w:eastAsia="en-GB"/>
        </w:rPr>
        <w:tab/>
        <w:t>Approval of 29 November 2021 of the FCH 2 JU AWP and Budget for 2022</w:t>
      </w:r>
    </w:p>
    <w:p w14:paraId="03A7EC66" w14:textId="26EF7278" w:rsidR="00A13274" w:rsidRPr="00182125" w:rsidRDefault="00A13274" w:rsidP="002672A0">
      <w:pPr>
        <w:pStyle w:val="ListParagraph"/>
        <w:numPr>
          <w:ilvl w:val="0"/>
          <w:numId w:val="4"/>
        </w:numPr>
        <w:autoSpaceDE w:val="0"/>
        <w:autoSpaceDN w:val="0"/>
        <w:adjustRightInd w:val="0"/>
        <w:spacing w:after="0" w:line="240" w:lineRule="auto"/>
        <w:rPr>
          <w:rFonts w:asciiTheme="minorHAnsi" w:hAnsiTheme="minorHAnsi" w:cstheme="minorHAnsi"/>
          <w:color w:val="393939"/>
          <w:lang w:eastAsia="en-GB"/>
        </w:rPr>
      </w:pPr>
      <w:r w:rsidRPr="00182125">
        <w:rPr>
          <w:rFonts w:asciiTheme="minorHAnsi" w:hAnsiTheme="minorHAnsi" w:cstheme="minorHAnsi"/>
          <w:lang w:eastAsia="en-GB"/>
        </w:rPr>
        <w:t>FCH-GB-2021-09</w:t>
      </w:r>
      <w:r w:rsidRPr="00182125">
        <w:rPr>
          <w:rFonts w:asciiTheme="minorHAnsi" w:hAnsiTheme="minorHAnsi" w:cstheme="minorHAnsi"/>
          <w:lang w:eastAsia="en-GB"/>
        </w:rPr>
        <w:tab/>
        <w:t xml:space="preserve">Approval of 29 November 2021 of amendment n°3 to the FCH 2 JU AWP and Budget </w:t>
      </w:r>
      <w:r w:rsidRPr="00182125">
        <w:rPr>
          <w:rFonts w:asciiTheme="minorHAnsi" w:hAnsiTheme="minorHAnsi" w:cstheme="minorHAnsi"/>
          <w:color w:val="393939"/>
          <w:lang w:eastAsia="en-GB"/>
        </w:rPr>
        <w:t>for 2021</w:t>
      </w:r>
    </w:p>
    <w:p w14:paraId="3FAB509E" w14:textId="77777777" w:rsidR="00A13274" w:rsidRPr="00182125" w:rsidRDefault="00A13274" w:rsidP="00A77F24">
      <w:pPr>
        <w:ind w:left="720"/>
        <w:jc w:val="both"/>
        <w:rPr>
          <w:rFonts w:asciiTheme="minorHAnsi" w:hAnsiTheme="minorHAnsi" w:cstheme="minorHAnsi"/>
          <w:b/>
          <w:bCs/>
          <w:color w:val="51539B"/>
          <w:lang w:eastAsia="en-GB"/>
        </w:rPr>
      </w:pPr>
    </w:p>
    <w:p w14:paraId="6D800D66" w14:textId="22217D26" w:rsidR="00A77F24" w:rsidRPr="00182125" w:rsidRDefault="00A77F24" w:rsidP="00972803">
      <w:pPr>
        <w:rPr>
          <w:rFonts w:asciiTheme="minorHAnsi" w:hAnsiTheme="minorHAnsi" w:cstheme="minorHAnsi"/>
          <w:color w:val="5690CD"/>
          <w:lang w:eastAsia="en-GB"/>
        </w:rPr>
      </w:pPr>
      <w:r w:rsidRPr="00BD55D6">
        <w:t xml:space="preserve">More information on the role and composition of the </w:t>
      </w:r>
      <w:r w:rsidR="00BD55D6">
        <w:t xml:space="preserve">FCH 2 JU </w:t>
      </w:r>
      <w:r w:rsidRPr="00BD55D6">
        <w:t>GB is available at:</w:t>
      </w:r>
      <w:r w:rsidRPr="00182125">
        <w:rPr>
          <w:rFonts w:asciiTheme="minorHAnsi" w:hAnsiTheme="minorHAnsi" w:cstheme="minorHAnsi"/>
          <w:color w:val="393939"/>
          <w:lang w:eastAsia="en-GB"/>
        </w:rPr>
        <w:t xml:space="preserve"> </w:t>
      </w:r>
      <w:hyperlink r:id="rId93" w:history="1">
        <w:r w:rsidR="0055799C" w:rsidRPr="00182125">
          <w:rPr>
            <w:rStyle w:val="Hyperlink"/>
            <w:rFonts w:asciiTheme="minorHAnsi" w:hAnsiTheme="minorHAnsi" w:cstheme="minorHAnsi"/>
            <w:lang w:eastAsia="en-GB"/>
          </w:rPr>
          <w:t>http://www.fch.europa.eu/page/governing-board</w:t>
        </w:r>
      </w:hyperlink>
    </w:p>
    <w:p w14:paraId="7CA821A5" w14:textId="77777777" w:rsidR="0055799C" w:rsidRPr="00182125" w:rsidRDefault="0055799C" w:rsidP="00A13274">
      <w:pPr>
        <w:jc w:val="both"/>
        <w:rPr>
          <w:rFonts w:asciiTheme="minorHAnsi" w:hAnsiTheme="minorHAnsi" w:cstheme="minorHAnsi"/>
          <w:lang w:eastAsia="en-GB"/>
        </w:rPr>
      </w:pPr>
    </w:p>
    <w:p w14:paraId="4DFD09F0" w14:textId="7F7312E0" w:rsidR="0055799C" w:rsidRPr="00A229DF" w:rsidRDefault="0055799C" w:rsidP="00A13274">
      <w:pPr>
        <w:jc w:val="both"/>
        <w:rPr>
          <w:rFonts w:asciiTheme="minorHAnsi" w:hAnsiTheme="minorHAnsi" w:cstheme="minorHAnsi"/>
          <w:color w:val="0070C0"/>
          <w:lang w:eastAsia="en-GB"/>
        </w:rPr>
      </w:pPr>
      <w:r w:rsidRPr="00A229DF">
        <w:rPr>
          <w:rFonts w:asciiTheme="minorHAnsi" w:hAnsiTheme="minorHAnsi" w:cstheme="minorHAnsi"/>
          <w:color w:val="0070C0"/>
          <w:lang w:eastAsia="en-GB"/>
        </w:rPr>
        <w:t>CLEAN HYDROGEN JU</w:t>
      </w:r>
    </w:p>
    <w:p w14:paraId="39A7F044" w14:textId="2E56AB79" w:rsidR="0055799C" w:rsidRPr="00182125" w:rsidRDefault="0055799C" w:rsidP="00A13274">
      <w:pPr>
        <w:jc w:val="both"/>
        <w:rPr>
          <w:rFonts w:asciiTheme="minorHAnsi" w:hAnsiTheme="minorHAnsi" w:cstheme="minorHAnsi"/>
          <w:lang w:eastAsia="en-GB"/>
        </w:rPr>
      </w:pPr>
      <w:r w:rsidRPr="00182125">
        <w:rPr>
          <w:rFonts w:asciiTheme="minorHAnsi" w:hAnsiTheme="minorHAnsi" w:cstheme="minorHAnsi"/>
          <w:lang w:eastAsia="en-GB"/>
        </w:rPr>
        <w:t>In 2021 the Clean Hydrogen JU had its first Governing Board Meeting on 17 December.</w:t>
      </w:r>
    </w:p>
    <w:p w14:paraId="40EC8C1F" w14:textId="4DC86836" w:rsidR="0055799C" w:rsidRPr="00182125" w:rsidRDefault="0055799C" w:rsidP="00A13274">
      <w:pPr>
        <w:jc w:val="both"/>
        <w:rPr>
          <w:rFonts w:asciiTheme="minorHAnsi" w:hAnsiTheme="minorHAnsi" w:cstheme="minorHAnsi"/>
          <w:lang w:eastAsia="en-GB"/>
        </w:rPr>
      </w:pPr>
      <w:r w:rsidRPr="00182125">
        <w:rPr>
          <w:rFonts w:asciiTheme="minorHAnsi" w:hAnsiTheme="minorHAnsi" w:cstheme="minorHAnsi"/>
          <w:lang w:eastAsia="en-GB"/>
        </w:rPr>
        <w:t>It was dedicated to main important decisions such as:</w:t>
      </w:r>
    </w:p>
    <w:p w14:paraId="061DBD7A" w14:textId="16D93289" w:rsidR="00E56609" w:rsidRPr="00182125" w:rsidRDefault="00E56609" w:rsidP="002672A0">
      <w:pPr>
        <w:pStyle w:val="ListParagraph"/>
        <w:numPr>
          <w:ilvl w:val="0"/>
          <w:numId w:val="6"/>
        </w:numPr>
        <w:jc w:val="both"/>
        <w:rPr>
          <w:rFonts w:asciiTheme="minorHAnsi" w:hAnsiTheme="minorHAnsi" w:cstheme="minorHAnsi"/>
          <w:lang w:eastAsia="en-GB"/>
        </w:rPr>
      </w:pPr>
      <w:r w:rsidRPr="00182125">
        <w:rPr>
          <w:rFonts w:asciiTheme="minorHAnsi" w:hAnsiTheme="minorHAnsi" w:cstheme="minorHAnsi"/>
          <w:lang w:eastAsia="en-GB"/>
        </w:rPr>
        <w:t>CleanHydrogen-GB-2021-01 Approval of 17 December 2021 of the Minutes of the FCH JU GB meeting of 10 November 2021</w:t>
      </w:r>
    </w:p>
    <w:p w14:paraId="3DFAA8D8" w14:textId="0F370BDB" w:rsidR="00E56609" w:rsidRPr="00182125" w:rsidRDefault="00E56609" w:rsidP="002672A0">
      <w:pPr>
        <w:pStyle w:val="ListParagraph"/>
        <w:numPr>
          <w:ilvl w:val="0"/>
          <w:numId w:val="6"/>
        </w:numPr>
        <w:jc w:val="both"/>
        <w:rPr>
          <w:rFonts w:asciiTheme="minorHAnsi" w:hAnsiTheme="minorHAnsi" w:cstheme="minorHAnsi"/>
          <w:lang w:eastAsia="en-GB"/>
        </w:rPr>
      </w:pPr>
      <w:r w:rsidRPr="00182125">
        <w:rPr>
          <w:rFonts w:asciiTheme="minorHAnsi" w:hAnsiTheme="minorHAnsi" w:cstheme="minorHAnsi"/>
          <w:lang w:eastAsia="en-GB"/>
        </w:rPr>
        <w:t>CleanHydrogen-GB-2021-02 Rules of procedures of the Governing Board</w:t>
      </w:r>
    </w:p>
    <w:p w14:paraId="542C30CC" w14:textId="0AEB3AFF" w:rsidR="00E56609" w:rsidRPr="00182125" w:rsidRDefault="00E56609" w:rsidP="002672A0">
      <w:pPr>
        <w:pStyle w:val="ListParagraph"/>
        <w:numPr>
          <w:ilvl w:val="0"/>
          <w:numId w:val="6"/>
        </w:numPr>
        <w:jc w:val="both"/>
        <w:rPr>
          <w:rFonts w:asciiTheme="minorHAnsi" w:hAnsiTheme="minorHAnsi" w:cstheme="minorHAnsi"/>
          <w:lang w:eastAsia="en-GB"/>
        </w:rPr>
      </w:pPr>
      <w:r w:rsidRPr="00182125">
        <w:rPr>
          <w:rFonts w:asciiTheme="minorHAnsi" w:hAnsiTheme="minorHAnsi" w:cstheme="minorHAnsi"/>
          <w:lang w:eastAsia="en-GB"/>
        </w:rPr>
        <w:t>CleanHydrogen-GB-2021-03 Omnibus</w:t>
      </w:r>
    </w:p>
    <w:p w14:paraId="03924862" w14:textId="76F6125F" w:rsidR="00E56609" w:rsidRPr="00182125" w:rsidRDefault="00E56609" w:rsidP="002672A0">
      <w:pPr>
        <w:pStyle w:val="ListParagraph"/>
        <w:numPr>
          <w:ilvl w:val="0"/>
          <w:numId w:val="6"/>
        </w:numPr>
        <w:jc w:val="both"/>
        <w:rPr>
          <w:rFonts w:asciiTheme="minorHAnsi" w:hAnsiTheme="minorHAnsi" w:cstheme="minorHAnsi"/>
          <w:lang w:eastAsia="en-GB"/>
        </w:rPr>
      </w:pPr>
      <w:r w:rsidRPr="00182125">
        <w:rPr>
          <w:rFonts w:asciiTheme="minorHAnsi" w:hAnsiTheme="minorHAnsi" w:cstheme="minorHAnsi"/>
          <w:lang w:eastAsia="en-GB"/>
        </w:rPr>
        <w:t>CleanHydrogen-GB-2021-04 Specific criteria and selection process for the composition of the Stakeholders Group</w:t>
      </w:r>
    </w:p>
    <w:p w14:paraId="61D0A824" w14:textId="112CA3E2" w:rsidR="0055799C" w:rsidRPr="00182125" w:rsidRDefault="00E56609" w:rsidP="00E56609">
      <w:pPr>
        <w:jc w:val="both"/>
        <w:rPr>
          <w:rFonts w:asciiTheme="minorHAnsi" w:hAnsiTheme="minorHAnsi" w:cstheme="minorHAnsi"/>
          <w:lang w:eastAsia="en-GB"/>
        </w:rPr>
      </w:pPr>
      <w:r w:rsidRPr="00182125">
        <w:rPr>
          <w:rFonts w:asciiTheme="minorHAnsi" w:hAnsiTheme="minorHAnsi" w:cstheme="minorHAnsi"/>
          <w:lang w:eastAsia="en-GB"/>
        </w:rPr>
        <w:t xml:space="preserve">In </w:t>
      </w:r>
      <w:r w:rsidR="006A4C1D" w:rsidRPr="00182125">
        <w:rPr>
          <w:rFonts w:asciiTheme="minorHAnsi" w:hAnsiTheme="minorHAnsi" w:cstheme="minorHAnsi"/>
          <w:lang w:eastAsia="en-GB"/>
        </w:rPr>
        <w:t>addition,</w:t>
      </w:r>
      <w:r w:rsidR="0055799C" w:rsidRPr="00182125">
        <w:rPr>
          <w:rFonts w:asciiTheme="minorHAnsi" w:hAnsiTheme="minorHAnsi" w:cstheme="minorHAnsi"/>
          <w:lang w:eastAsia="en-GB"/>
        </w:rPr>
        <w:t xml:space="preserve"> the Chair and vice-chair </w:t>
      </w:r>
      <w:r w:rsidRPr="00182125">
        <w:rPr>
          <w:rFonts w:asciiTheme="minorHAnsi" w:hAnsiTheme="minorHAnsi" w:cstheme="minorHAnsi"/>
          <w:lang w:eastAsia="en-GB"/>
        </w:rPr>
        <w:t xml:space="preserve">have been elected </w:t>
      </w:r>
      <w:r w:rsidR="0055799C" w:rsidRPr="00182125">
        <w:rPr>
          <w:rFonts w:asciiTheme="minorHAnsi" w:hAnsiTheme="minorHAnsi" w:cstheme="minorHAnsi"/>
          <w:lang w:eastAsia="en-GB"/>
        </w:rPr>
        <w:t>(respectively Mr René Schutte and Rosalinde van der Vlies)</w:t>
      </w:r>
      <w:r w:rsidRPr="00182125">
        <w:rPr>
          <w:rFonts w:asciiTheme="minorHAnsi" w:hAnsiTheme="minorHAnsi" w:cstheme="minorHAnsi"/>
          <w:lang w:eastAsia="en-GB"/>
        </w:rPr>
        <w:t>.</w:t>
      </w:r>
    </w:p>
    <w:p w14:paraId="5E88F60D" w14:textId="3D51C6BF" w:rsidR="006A4C1D" w:rsidRPr="00182125" w:rsidRDefault="006A4C1D" w:rsidP="006A4C1D">
      <w:pPr>
        <w:jc w:val="both"/>
        <w:rPr>
          <w:rFonts w:asciiTheme="minorHAnsi" w:hAnsiTheme="minorHAnsi" w:cstheme="minorHAnsi"/>
          <w:color w:val="5690CD"/>
          <w:lang w:eastAsia="en-GB"/>
        </w:rPr>
      </w:pPr>
      <w:r w:rsidRPr="00182125">
        <w:rPr>
          <w:rFonts w:asciiTheme="minorHAnsi" w:hAnsiTheme="minorHAnsi" w:cstheme="minorHAnsi"/>
          <w:color w:val="393939"/>
          <w:lang w:eastAsia="en-GB"/>
        </w:rPr>
        <w:t xml:space="preserve">More information on the role and composition of the GB is available at: </w:t>
      </w:r>
      <w:r w:rsidRPr="00182125">
        <w:rPr>
          <w:rFonts w:asciiTheme="minorHAnsi" w:hAnsiTheme="minorHAnsi" w:cstheme="minorHAnsi"/>
          <w:color w:val="5690CD"/>
          <w:lang w:eastAsia="en-GB"/>
        </w:rPr>
        <w:t xml:space="preserve"> </w:t>
      </w:r>
      <w:hyperlink r:id="rId94" w:history="1">
        <w:r w:rsidRPr="00182125">
          <w:rPr>
            <w:rStyle w:val="Hyperlink"/>
            <w:rFonts w:asciiTheme="minorHAnsi" w:hAnsiTheme="minorHAnsi" w:cstheme="minorHAnsi"/>
            <w:lang w:eastAsia="en-GB"/>
          </w:rPr>
          <w:t>https://www.clean-hydrogen.europa.eu/about-us/organisation/governing-board_en</w:t>
        </w:r>
      </w:hyperlink>
      <w:r w:rsidRPr="00182125">
        <w:rPr>
          <w:rFonts w:asciiTheme="minorHAnsi" w:hAnsiTheme="minorHAnsi" w:cstheme="minorHAnsi"/>
          <w:color w:val="5690CD"/>
          <w:lang w:eastAsia="en-GB"/>
        </w:rPr>
        <w:t xml:space="preserve"> </w:t>
      </w:r>
    </w:p>
    <w:p w14:paraId="150A8D2B" w14:textId="63325AB9" w:rsidR="00D41A02" w:rsidRDefault="009111A1" w:rsidP="00864737">
      <w:pPr>
        <w:pStyle w:val="Heading3"/>
        <w:numPr>
          <w:ilvl w:val="1"/>
          <w:numId w:val="1"/>
        </w:numPr>
        <w:jc w:val="both"/>
        <w:rPr>
          <w:rFonts w:asciiTheme="minorHAnsi" w:hAnsiTheme="minorHAnsi"/>
        </w:rPr>
      </w:pPr>
      <w:r>
        <w:rPr>
          <w:rFonts w:asciiTheme="minorHAnsi" w:hAnsiTheme="minorHAnsi"/>
        </w:rPr>
        <w:lastRenderedPageBreak/>
        <w:t xml:space="preserve"> </w:t>
      </w:r>
      <w:bookmarkStart w:id="164" w:name="_Toc98496359"/>
      <w:bookmarkStart w:id="165" w:name="_Toc101516080"/>
      <w:r w:rsidR="00D41A02" w:rsidRPr="00896AB4">
        <w:rPr>
          <w:rFonts w:asciiTheme="minorHAnsi" w:hAnsiTheme="minorHAnsi"/>
        </w:rPr>
        <w:t>Executive Director</w:t>
      </w:r>
      <w:bookmarkEnd w:id="164"/>
      <w:bookmarkEnd w:id="165"/>
      <w:r w:rsidR="00D41A02" w:rsidRPr="00896AB4">
        <w:rPr>
          <w:rFonts w:asciiTheme="minorHAnsi" w:hAnsiTheme="minorHAnsi"/>
        </w:rPr>
        <w:t xml:space="preserve"> </w:t>
      </w:r>
    </w:p>
    <w:p w14:paraId="7DCD8D4B" w14:textId="65C1E8C7" w:rsidR="00285492" w:rsidRDefault="00285492" w:rsidP="00285492">
      <w:r>
        <w:t xml:space="preserve">According to Article </w:t>
      </w:r>
      <w:r w:rsidR="00ED45D2">
        <w:t>1</w:t>
      </w:r>
      <w:r>
        <w:t xml:space="preserve">9 of the </w:t>
      </w:r>
      <w:r w:rsidR="00ED45D2">
        <w:t>Council Regulation establishing Clean Hydrogen JU</w:t>
      </w:r>
      <w:r>
        <w:t>, the ED is the legal representative and the chief executive responsible for the day-to-day</w:t>
      </w:r>
      <w:r w:rsidR="00972803">
        <w:t xml:space="preserve"> </w:t>
      </w:r>
      <w:r>
        <w:t>management of the JU, in accordance with the decisions of the GB.</w:t>
      </w:r>
    </w:p>
    <w:p w14:paraId="1DCF6797" w14:textId="2794D586" w:rsidR="00285492" w:rsidRPr="00285492" w:rsidRDefault="00285492" w:rsidP="00285492">
      <w:r>
        <w:t>Bart Biebuyck was appointed as ED by the JU GB and took up his duties on 16 May 2016. In 2019, his contract was extended until</w:t>
      </w:r>
      <w:r w:rsidR="00972803">
        <w:t xml:space="preserve"> </w:t>
      </w:r>
      <w:r>
        <w:t>May 2023.</w:t>
      </w:r>
    </w:p>
    <w:p w14:paraId="50D67A58" w14:textId="2095E429" w:rsidR="00D41A02" w:rsidRDefault="009111A1" w:rsidP="00864737">
      <w:pPr>
        <w:pStyle w:val="Heading3"/>
        <w:numPr>
          <w:ilvl w:val="1"/>
          <w:numId w:val="1"/>
        </w:numPr>
        <w:jc w:val="both"/>
        <w:rPr>
          <w:rFonts w:asciiTheme="minorHAnsi" w:hAnsiTheme="minorHAnsi"/>
        </w:rPr>
      </w:pPr>
      <w:r>
        <w:rPr>
          <w:rFonts w:asciiTheme="minorHAnsi" w:hAnsiTheme="minorHAnsi"/>
        </w:rPr>
        <w:t xml:space="preserve"> </w:t>
      </w:r>
      <w:bookmarkStart w:id="166" w:name="_Toc98496360"/>
      <w:bookmarkStart w:id="167" w:name="_Toc101516081"/>
      <w:r w:rsidR="00D41A02" w:rsidRPr="00896AB4">
        <w:rPr>
          <w:rFonts w:asciiTheme="minorHAnsi" w:hAnsiTheme="minorHAnsi"/>
        </w:rPr>
        <w:t>States Representatives Group</w:t>
      </w:r>
      <w:bookmarkEnd w:id="166"/>
      <w:bookmarkEnd w:id="167"/>
      <w:r w:rsidR="00D41A02" w:rsidRPr="00896AB4">
        <w:rPr>
          <w:rFonts w:asciiTheme="minorHAnsi" w:hAnsiTheme="minorHAnsi"/>
        </w:rPr>
        <w:t xml:space="preserve"> </w:t>
      </w:r>
    </w:p>
    <w:p w14:paraId="71D89C94" w14:textId="5B0BFA20" w:rsidR="00285492" w:rsidRDefault="00285492" w:rsidP="00285492">
      <w:r>
        <w:t>During 202</w:t>
      </w:r>
      <w:r w:rsidR="00972803">
        <w:t>1</w:t>
      </w:r>
      <w:r>
        <w:t xml:space="preserve">, the States Representatives Group (SRG) met on </w:t>
      </w:r>
      <w:r w:rsidR="00972803">
        <w:t>5 March</w:t>
      </w:r>
      <w:r>
        <w:t>, 2</w:t>
      </w:r>
      <w:r w:rsidR="00972803">
        <w:t xml:space="preserve">7 </w:t>
      </w:r>
      <w:proofErr w:type="gramStart"/>
      <w:r w:rsidR="00972803">
        <w:t>May</w:t>
      </w:r>
      <w:proofErr w:type="gramEnd"/>
      <w:r w:rsidR="00972803">
        <w:t xml:space="preserve"> </w:t>
      </w:r>
      <w:r>
        <w:t xml:space="preserve">and </w:t>
      </w:r>
      <w:r w:rsidR="00972803">
        <w:t>19 October</w:t>
      </w:r>
      <w:r>
        <w:t>. Among other things, its activities</w:t>
      </w:r>
      <w:r w:rsidR="00972803">
        <w:t xml:space="preserve"> </w:t>
      </w:r>
      <w:r>
        <w:t>focused on monitoring JU’s achievements and results as well as on preparations for a future partnership, including the following:</w:t>
      </w:r>
    </w:p>
    <w:p w14:paraId="0A06F991" w14:textId="7330B238" w:rsidR="00972803" w:rsidRDefault="00285492" w:rsidP="00972803">
      <w:r>
        <w:t>• In the June meeting, the main topics included</w:t>
      </w:r>
      <w:r w:rsidR="00972803">
        <w:t xml:space="preserve">: </w:t>
      </w:r>
      <w:r>
        <w:t xml:space="preserve">an update on </w:t>
      </w:r>
      <w:r w:rsidR="00972803">
        <w:t xml:space="preserve">the Single Basic Act establishing partnerships under </w:t>
      </w:r>
      <w:r w:rsidR="00972803" w:rsidRPr="008E2EFA">
        <w:t>Horizon Europe</w:t>
      </w:r>
      <w:r w:rsidR="00972803">
        <w:t xml:space="preserve"> and </w:t>
      </w:r>
      <w:proofErr w:type="gramStart"/>
      <w:r w:rsidR="00972803">
        <w:t>in particular the</w:t>
      </w:r>
      <w:proofErr w:type="gramEnd"/>
      <w:r w:rsidR="00972803">
        <w:t xml:space="preserve"> </w:t>
      </w:r>
      <w:r w:rsidR="00972803" w:rsidRPr="008E2EFA">
        <w:t>“Clean Hydrogen Partnership</w:t>
      </w:r>
      <w:r w:rsidR="00972803">
        <w:t xml:space="preserve">” as well as coordination mechanisms with other partnerships; an update on the status of the </w:t>
      </w:r>
      <w:r w:rsidR="00972803" w:rsidRPr="000F7CDD">
        <w:t>Multi-Annual Work</w:t>
      </w:r>
      <w:r w:rsidR="00972803">
        <w:t xml:space="preserve"> Programme (</w:t>
      </w:r>
      <w:r w:rsidR="00A64D45">
        <w:t>SRIA or ex-</w:t>
      </w:r>
      <w:r w:rsidR="00972803">
        <w:t xml:space="preserve">MAWP) 2021-2027; a presentation on the Clean Hydrogen Alliance </w:t>
      </w:r>
      <w:r w:rsidR="00A64D45">
        <w:t xml:space="preserve">status </w:t>
      </w:r>
      <w:r w:rsidR="00972803">
        <w:t xml:space="preserve">and on the </w:t>
      </w:r>
      <w:r w:rsidR="00972803" w:rsidRPr="000F7CDD">
        <w:t xml:space="preserve">results of the study </w:t>
      </w:r>
      <w:r w:rsidR="007B58D3" w:rsidRPr="000F7CDD">
        <w:t>on Fuel</w:t>
      </w:r>
      <w:r w:rsidR="00972803" w:rsidRPr="00AC4F21">
        <w:t xml:space="preserve"> Cells Hydrogen Trucks</w:t>
      </w:r>
      <w:r w:rsidR="00972803">
        <w:t>.</w:t>
      </w:r>
    </w:p>
    <w:p w14:paraId="30D2FC14" w14:textId="13D02B08" w:rsidR="00341545" w:rsidRDefault="00285492" w:rsidP="00285492">
      <w:r>
        <w:t xml:space="preserve">• During the </w:t>
      </w:r>
      <w:r w:rsidR="00D71BCA">
        <w:t>May</w:t>
      </w:r>
      <w:r>
        <w:t xml:space="preserve"> meeting, the SRG members were updated on the status of </w:t>
      </w:r>
      <w:r w:rsidR="00A64D45">
        <w:t>SRIA</w:t>
      </w:r>
      <w:r w:rsidR="00341545" w:rsidRPr="009C3B38">
        <w:t xml:space="preserve"> 2021-2027</w:t>
      </w:r>
      <w:r w:rsidR="00341545">
        <w:t xml:space="preserve"> </w:t>
      </w:r>
      <w:r w:rsidR="00341545" w:rsidRPr="009C3B38">
        <w:t>and AWP 2021-2022</w:t>
      </w:r>
      <w:r w:rsidR="00341545">
        <w:t xml:space="preserve">, as well as </w:t>
      </w:r>
      <w:r w:rsidR="00341545" w:rsidRPr="009C3B38">
        <w:t>on the Single Basic Act establishing partnerships under Horizon Europe</w:t>
      </w:r>
      <w:r w:rsidR="007B58D3">
        <w:t xml:space="preserve"> and </w:t>
      </w:r>
      <w:proofErr w:type="gramStart"/>
      <w:r w:rsidR="00341545" w:rsidRPr="009C3B38">
        <w:t>in particular the</w:t>
      </w:r>
      <w:proofErr w:type="gramEnd"/>
      <w:r w:rsidR="00341545" w:rsidRPr="009C3B38">
        <w:t xml:space="preserve"> “Clean Hydrogen Partnership’ </w:t>
      </w:r>
      <w:r w:rsidR="00341545">
        <w:t xml:space="preserve">including </w:t>
      </w:r>
      <w:r w:rsidR="00341545" w:rsidRPr="009C3B38">
        <w:t>coordination mechanisms with other partnerships and synergies</w:t>
      </w:r>
      <w:r w:rsidR="00341545">
        <w:t>; DG ENER presented HyENet.</w:t>
      </w:r>
    </w:p>
    <w:p w14:paraId="109CEE93" w14:textId="340F91F9" w:rsidR="007B58D3" w:rsidRDefault="00285492" w:rsidP="007B58D3">
      <w:r>
        <w:t xml:space="preserve">• In the November meeting, the </w:t>
      </w:r>
      <w:r w:rsidR="007B58D3">
        <w:t>Programme Office</w:t>
      </w:r>
      <w:r>
        <w:t xml:space="preserve"> presented the status of </w:t>
      </w:r>
      <w:r w:rsidR="00A64D45">
        <w:t>SRIA</w:t>
      </w:r>
      <w:r w:rsidR="007B58D3" w:rsidRPr="009C3B38">
        <w:t xml:space="preserve"> </w:t>
      </w:r>
      <w:r w:rsidR="007B58D3">
        <w:t xml:space="preserve">and Annual Work Programme 2022, as well as the status of tenders/studies in view of potential synergies/collaboration with Members States (incl. alignment of R&amp;I activities). The EC updated the SRG members on </w:t>
      </w:r>
      <w:r w:rsidR="007B58D3" w:rsidRPr="009C3B38">
        <w:t>the Single Basic Act establishing partnerships under Horizon Europe</w:t>
      </w:r>
      <w:r w:rsidR="00182125">
        <w:t xml:space="preserve"> and</w:t>
      </w:r>
      <w:r w:rsidR="007B58D3" w:rsidRPr="009C3B38">
        <w:t xml:space="preserve"> </w:t>
      </w:r>
      <w:proofErr w:type="gramStart"/>
      <w:r w:rsidR="007B58D3" w:rsidRPr="009C3B38">
        <w:t>in particular t</w:t>
      </w:r>
      <w:r w:rsidR="007B58D3">
        <w:t>he</w:t>
      </w:r>
      <w:proofErr w:type="gramEnd"/>
      <w:r w:rsidR="007B58D3">
        <w:t xml:space="preserve"> “Clean Hydrogen Partnership”, as well as the C</w:t>
      </w:r>
      <w:r w:rsidR="007B58D3" w:rsidRPr="009C3B38">
        <w:t>oordination with other partnerships</w:t>
      </w:r>
      <w:r w:rsidR="007B58D3">
        <w:t xml:space="preserve"> (incl. Clean Energy Transition)</w:t>
      </w:r>
      <w:r w:rsidR="007B58D3" w:rsidRPr="009C3B38">
        <w:t xml:space="preserve"> and synergies</w:t>
      </w:r>
      <w:r w:rsidR="007B58D3">
        <w:t xml:space="preserve"> with other initiatives such as ERA. </w:t>
      </w:r>
    </w:p>
    <w:p w14:paraId="4F2065FF" w14:textId="01FC081A" w:rsidR="00D41A02" w:rsidRDefault="00D41A02" w:rsidP="00864737">
      <w:pPr>
        <w:pStyle w:val="Heading3"/>
        <w:numPr>
          <w:ilvl w:val="1"/>
          <w:numId w:val="1"/>
        </w:numPr>
        <w:jc w:val="both"/>
        <w:rPr>
          <w:rFonts w:asciiTheme="minorHAnsi" w:hAnsiTheme="minorHAnsi"/>
        </w:rPr>
      </w:pPr>
      <w:bookmarkStart w:id="168" w:name="_Toc98496361"/>
      <w:bookmarkStart w:id="169" w:name="_Toc101516082"/>
      <w:r w:rsidRPr="00896AB4">
        <w:rPr>
          <w:rFonts w:asciiTheme="minorHAnsi" w:hAnsiTheme="minorHAnsi"/>
        </w:rPr>
        <w:t>Scientific Committee</w:t>
      </w:r>
      <w:bookmarkEnd w:id="168"/>
      <w:bookmarkEnd w:id="169"/>
    </w:p>
    <w:p w14:paraId="1B3D1558" w14:textId="4C02A08F" w:rsidR="009C70D6" w:rsidRPr="009519B8" w:rsidRDefault="009C70D6" w:rsidP="009C70D6">
      <w:pPr>
        <w:jc w:val="both"/>
      </w:pPr>
      <w:r>
        <w:t xml:space="preserve">The Scientific Committee (SC) is an advisory body to the GB and comprises a maximum of nine members reflecting a balanced representation of globally renowned expertise from academia, </w:t>
      </w:r>
      <w:proofErr w:type="gramStart"/>
      <w:r>
        <w:t>industry</w:t>
      </w:r>
      <w:proofErr w:type="gramEnd"/>
      <w:r>
        <w:t xml:space="preserve"> and regulatory bodies. The role of the SC is to provide: (a) advice on scientific priorities to be addressed in the annual work plans; and (b) advice on scientific achievements described in the annual activity reports. The SC was consulted on the latter. </w:t>
      </w:r>
    </w:p>
    <w:p w14:paraId="28F5D449" w14:textId="3D1836D2" w:rsidR="0094799D" w:rsidRDefault="006F63B0" w:rsidP="00864737">
      <w:pPr>
        <w:pStyle w:val="Heading3"/>
        <w:numPr>
          <w:ilvl w:val="1"/>
          <w:numId w:val="1"/>
        </w:numPr>
        <w:jc w:val="both"/>
        <w:rPr>
          <w:rFonts w:asciiTheme="minorHAnsi" w:hAnsiTheme="minorHAnsi"/>
        </w:rPr>
      </w:pPr>
      <w:bookmarkStart w:id="170" w:name="_Toc98496362"/>
      <w:bookmarkStart w:id="171" w:name="_Toc101516083"/>
      <w:r w:rsidRPr="00896AB4">
        <w:rPr>
          <w:rFonts w:asciiTheme="minorHAnsi" w:hAnsiTheme="minorHAnsi"/>
        </w:rPr>
        <w:t>Stakeholders Forum</w:t>
      </w:r>
      <w:bookmarkEnd w:id="170"/>
      <w:bookmarkEnd w:id="171"/>
    </w:p>
    <w:p w14:paraId="13704C9C" w14:textId="77777777" w:rsidR="00E95041" w:rsidRPr="00097204" w:rsidRDefault="00E95041" w:rsidP="000B4E3A">
      <w:pPr>
        <w:jc w:val="both"/>
      </w:pPr>
      <w:bookmarkStart w:id="172" w:name="_Toc98496363"/>
      <w:r w:rsidRPr="00097204">
        <w:t xml:space="preserve">The </w:t>
      </w:r>
      <w:proofErr w:type="gramStart"/>
      <w:r w:rsidRPr="00097204">
        <w:t>Stakeholders</w:t>
      </w:r>
      <w:proofErr w:type="gramEnd"/>
      <w:r w:rsidRPr="00097204">
        <w:t xml:space="preserve"> Forum is one of the FCH 2 JU key governance bodies, which ensures the transparency and openness of the FCH 2 JU programme for all stakeholders, including the public. It also provides opportunities to enhance FCH 2 JU communication activities as it brings together </w:t>
      </w:r>
      <w:proofErr w:type="gramStart"/>
      <w:r w:rsidRPr="00097204">
        <w:t>a large number of</w:t>
      </w:r>
      <w:proofErr w:type="gramEnd"/>
      <w:r w:rsidRPr="00097204">
        <w:t xml:space="preserve"> policymakers and EU stakeholders.</w:t>
      </w:r>
    </w:p>
    <w:p w14:paraId="5637B012" w14:textId="77777777" w:rsidR="00E95041" w:rsidRPr="00097204" w:rsidRDefault="00E95041" w:rsidP="000B4E3A">
      <w:pPr>
        <w:jc w:val="both"/>
      </w:pPr>
      <w:r w:rsidRPr="00097204">
        <w:t xml:space="preserve">The Stakeholder Forum was integrated in the European Hydrogen Week. The event was held on 29 November 2021, in a hybrid format, with the participation of high-level speakers from the European </w:t>
      </w:r>
      <w:r w:rsidRPr="00097204">
        <w:lastRenderedPageBreak/>
        <w:t>Commission as well as from the industry and research sectors. The Clean Hydrogen Partnership was launched during the forum, in the presence of the European Commission’s President, Ursula von der Leyen.</w:t>
      </w:r>
    </w:p>
    <w:p w14:paraId="316A939B" w14:textId="63504C2D" w:rsidR="00E95041" w:rsidRPr="00097204" w:rsidRDefault="000B4E3A" w:rsidP="000B4E3A">
      <w:pPr>
        <w:jc w:val="both"/>
      </w:pPr>
      <w:r w:rsidRPr="00097204">
        <w:t>Clean hydrogen power is indispensable to Europe’s competitiveness and for limiting global warming to 1.5 degrees Celsius.</w:t>
      </w:r>
      <w:r>
        <w:t xml:space="preserve"> </w:t>
      </w:r>
      <w:r w:rsidR="00E95041" w:rsidRPr="00097204">
        <w:t xml:space="preserve">Europe is leading the global hydrogen energy revolution and needs to ensure it maintains its competitive advantage by integrating systems, developing skills, scaling up projects and removing policy hurdles, </w:t>
      </w:r>
      <w:r w:rsidRPr="00097204">
        <w:t xml:space="preserve">said </w:t>
      </w:r>
      <w:r w:rsidR="00E95041" w:rsidRPr="00097204">
        <w:t>European Commission and industry</w:t>
      </w:r>
      <w:r>
        <w:t>, speaking at the event</w:t>
      </w:r>
      <w:r w:rsidR="00E95041" w:rsidRPr="00097204">
        <w:t>.</w:t>
      </w:r>
      <w:r w:rsidR="00E95041">
        <w:t xml:space="preserve"> </w:t>
      </w:r>
    </w:p>
    <w:p w14:paraId="60AD7ED1" w14:textId="1A87566F" w:rsidR="00E95041" w:rsidRDefault="00E95041" w:rsidP="000B4E3A">
      <w:pPr>
        <w:jc w:val="both"/>
      </w:pPr>
      <w:r w:rsidRPr="00097204">
        <w:t>“This is the time to invest in Europe's leadership on hydrogen, for our own sake and for the world's sake,” European Commission President Ursula von der Leyen said in her opening speech. The EU had started investing in new generation electrolysers before the rest of the world, making it the global leader in patents and publications on this technology, highlighted von der Leyen.</w:t>
      </w:r>
    </w:p>
    <w:p w14:paraId="7AE70C23" w14:textId="77777777" w:rsidR="00E95041" w:rsidRPr="00097204" w:rsidRDefault="00E95041" w:rsidP="000B4E3A">
      <w:pPr>
        <w:jc w:val="both"/>
      </w:pPr>
      <w:r w:rsidRPr="00097204">
        <w:t>The need for cooperation, for connecting the various stakeholders and sectors, was a recurring theme of the event, as was urgency of turning plans into reality. Decisions on large investments must be synchronised and multiple projects linked to create a snowball effect and build a viable market.</w:t>
      </w:r>
    </w:p>
    <w:p w14:paraId="0CC9905B" w14:textId="77777777" w:rsidR="00E95041" w:rsidRPr="00097204" w:rsidRDefault="00E95041" w:rsidP="000B4E3A">
      <w:pPr>
        <w:jc w:val="both"/>
      </w:pPr>
      <w:r w:rsidRPr="00097204">
        <w:t>“The synergies and joint agenda have been well identified politically. Now it needs to happen. You can count on Commission services to support this agenda,” said Jean-Eric Paquet, Director General of DG Research and Innovation.</w:t>
      </w:r>
    </w:p>
    <w:p w14:paraId="2BB3AD6E" w14:textId="77777777" w:rsidR="00E95041" w:rsidRDefault="00E95041" w:rsidP="000B4E3A">
      <w:r>
        <w:t>For more information on the European Hydrogen Forum (including the FCH Awards), please see section 2.1.2.</w:t>
      </w:r>
    </w:p>
    <w:p w14:paraId="60B41DD4" w14:textId="5BEAF586" w:rsidR="00EC4ED1" w:rsidRPr="00EC4ED1" w:rsidRDefault="00EC4ED1" w:rsidP="00EC4ED1">
      <w:pPr>
        <w:pStyle w:val="Heading3"/>
        <w:numPr>
          <w:ilvl w:val="1"/>
          <w:numId w:val="1"/>
        </w:numPr>
        <w:jc w:val="both"/>
        <w:rPr>
          <w:rFonts w:asciiTheme="minorHAnsi" w:hAnsiTheme="minorHAnsi"/>
        </w:rPr>
      </w:pPr>
      <w:bookmarkStart w:id="173" w:name="_Toc101516084"/>
      <w:r w:rsidRPr="00EC4ED1">
        <w:rPr>
          <w:rFonts w:asciiTheme="minorHAnsi" w:hAnsiTheme="minorHAnsi"/>
        </w:rPr>
        <w:t>Preparation of Stakeholders Group</w:t>
      </w:r>
      <w:bookmarkEnd w:id="172"/>
      <w:bookmarkEnd w:id="173"/>
    </w:p>
    <w:p w14:paraId="0997CE52" w14:textId="0E1022C3" w:rsidR="009C6592" w:rsidRPr="00430365" w:rsidRDefault="009C6592" w:rsidP="009C6592">
      <w:pPr>
        <w:jc w:val="both"/>
        <w:rPr>
          <w:rFonts w:ascii="Arial" w:hAnsi="Arial" w:cs="Arial"/>
        </w:rPr>
      </w:pPr>
      <w:r w:rsidRPr="00430365">
        <w:rPr>
          <w:rFonts w:ascii="Arial" w:hAnsi="Arial" w:cs="Arial"/>
        </w:rPr>
        <w:t xml:space="preserve">In its first meeting on </w:t>
      </w:r>
      <w:r w:rsidR="00EE6154">
        <w:rPr>
          <w:rFonts w:ascii="Arial" w:hAnsi="Arial" w:cs="Arial"/>
        </w:rPr>
        <w:t>17</w:t>
      </w:r>
      <w:r w:rsidRPr="00430365">
        <w:rPr>
          <w:rFonts w:ascii="Arial" w:hAnsi="Arial" w:cs="Arial"/>
        </w:rPr>
        <w:t xml:space="preserve">/12/2021, the Governing Board of the Clean Hydrogen JU approved the </w:t>
      </w:r>
      <w:r w:rsidR="00EE6154">
        <w:rPr>
          <w:rFonts w:ascii="Arial" w:hAnsi="Arial" w:cs="Arial"/>
        </w:rPr>
        <w:t xml:space="preserve">‘specific criteria </w:t>
      </w:r>
      <w:r w:rsidR="00302998" w:rsidRPr="00302998">
        <w:rPr>
          <w:rFonts w:ascii="Arial" w:hAnsi="Arial" w:cs="Arial"/>
        </w:rPr>
        <w:t xml:space="preserve">and selection process for the composition of the Stakeholders </w:t>
      </w:r>
      <w:proofErr w:type="gramStart"/>
      <w:r w:rsidR="00302998" w:rsidRPr="00302998">
        <w:rPr>
          <w:rFonts w:ascii="Arial" w:hAnsi="Arial" w:cs="Arial"/>
        </w:rPr>
        <w:t>Group</w:t>
      </w:r>
      <w:r w:rsidR="00EE6154">
        <w:rPr>
          <w:rFonts w:ascii="Arial" w:hAnsi="Arial" w:cs="Arial"/>
        </w:rPr>
        <w:t xml:space="preserve">.  </w:t>
      </w:r>
      <w:r w:rsidRPr="00430365">
        <w:rPr>
          <w:rFonts w:ascii="Arial" w:hAnsi="Arial" w:cs="Arial"/>
        </w:rPr>
        <w:t>.</w:t>
      </w:r>
      <w:proofErr w:type="gramEnd"/>
      <w:r w:rsidRPr="00430365">
        <w:rPr>
          <w:rFonts w:ascii="Arial" w:hAnsi="Arial" w:cs="Arial"/>
        </w:rPr>
        <w:t xml:space="preserve"> The Stakeholders Group is an official advisory body, to be consulted on various horizontal issues or specific questions. It shall provide input on the strategic and the technological priorities to be addressed by the JU as laid down in the SRIA; provide suggestions to enable concrete synergies to take place between the JU and the adjacent sectors or any sector with which synergies are deemed of added value and provide input to the European Clean Hydrogen partnership forum and to the European Hydrogen Forum of the Clean Hydrogen Alliance. The Stakeholders Group shall be regularly informed of the activities of the JU and shall be invited to provide comments on the JU’s planned initiatives. </w:t>
      </w:r>
    </w:p>
    <w:p w14:paraId="1FD2DB6F" w14:textId="55A6F05A" w:rsidR="009C6592" w:rsidRPr="00430365" w:rsidRDefault="00EE6154" w:rsidP="009C6592">
      <w:pPr>
        <w:jc w:val="both"/>
        <w:rPr>
          <w:rFonts w:ascii="Arial" w:hAnsi="Arial" w:cs="Arial"/>
        </w:rPr>
      </w:pPr>
      <w:r>
        <w:rPr>
          <w:rFonts w:ascii="Arial" w:hAnsi="Arial" w:cs="Arial"/>
        </w:rPr>
        <w:t>A</w:t>
      </w:r>
      <w:r w:rsidRPr="00430365">
        <w:rPr>
          <w:rFonts w:ascii="Arial" w:hAnsi="Arial" w:cs="Arial"/>
        </w:rPr>
        <w:t xml:space="preserve">n open Call for Expression of Interest for membership of its Stakeholders Group </w:t>
      </w:r>
      <w:r w:rsidR="009C6592" w:rsidRPr="00430365">
        <w:rPr>
          <w:rFonts w:ascii="Arial" w:hAnsi="Arial" w:cs="Arial"/>
        </w:rPr>
        <w:t xml:space="preserve">was launched on the same day and remained open for a month. Following the open call for interest more than 60 applications were received, which shows a high interest in the activities of the JU. </w:t>
      </w:r>
      <w:r w:rsidR="00B8701F">
        <w:rPr>
          <w:rFonts w:ascii="Arial" w:hAnsi="Arial" w:cs="Arial"/>
        </w:rPr>
        <w:t>On 2 February 2022, t</w:t>
      </w:r>
      <w:r w:rsidR="009C6592" w:rsidRPr="00430365">
        <w:rPr>
          <w:rFonts w:ascii="Arial" w:hAnsi="Arial" w:cs="Arial"/>
        </w:rPr>
        <w:t>he Governing Board selected and appointed the 13 members of the Stakeholders Group, consisting of representatives of most sectors along the hydrogen value chain across the Union, including the representatives of other relevant European partnerships, as well as representatives of the European Hydrogen Valleys Interregional Partnership and of the scientific community</w:t>
      </w:r>
      <w:r w:rsidR="009C6592" w:rsidRPr="00430365">
        <w:rPr>
          <w:rStyle w:val="FootnoteReference"/>
          <w:rFonts w:ascii="Arial" w:hAnsi="Arial" w:cs="Arial"/>
        </w:rPr>
        <w:footnoteReference w:id="107"/>
      </w:r>
      <w:r w:rsidR="009C6592" w:rsidRPr="00430365">
        <w:rPr>
          <w:rFonts w:ascii="Arial" w:hAnsi="Arial" w:cs="Arial"/>
        </w:rPr>
        <w:t xml:space="preserve">. The Stakeholders Group will meet at least twice a year, and the first meeting of its newly members was convened on the 9 February 2022. Considering the </w:t>
      </w:r>
      <w:r>
        <w:rPr>
          <w:rFonts w:ascii="Arial" w:hAnsi="Arial" w:cs="Arial"/>
        </w:rPr>
        <w:lastRenderedPageBreak/>
        <w:t xml:space="preserve">continuous </w:t>
      </w:r>
      <w:r w:rsidR="009C6592" w:rsidRPr="00430365">
        <w:rPr>
          <w:rFonts w:ascii="Arial" w:hAnsi="Arial" w:cs="Arial"/>
        </w:rPr>
        <w:t>need to ensure full sector coverage, as well as geographical and gender balance, the composition of the Stakeholders Group will be reassessed in 2023.</w:t>
      </w:r>
    </w:p>
    <w:p w14:paraId="7857B167" w14:textId="201B2E7D" w:rsidR="00DF1916" w:rsidRPr="00182125" w:rsidRDefault="00DF1916" w:rsidP="00182125">
      <w:pPr>
        <w:pStyle w:val="Heading1"/>
        <w:numPr>
          <w:ilvl w:val="0"/>
          <w:numId w:val="1"/>
        </w:numPr>
        <w:jc w:val="both"/>
        <w:rPr>
          <w:rFonts w:asciiTheme="minorHAnsi" w:hAnsiTheme="minorHAnsi"/>
        </w:rPr>
      </w:pPr>
      <w:bookmarkStart w:id="174" w:name="_Toc98496364"/>
      <w:bookmarkStart w:id="175" w:name="_Toc101516085"/>
      <w:r w:rsidRPr="00182125">
        <w:rPr>
          <w:rFonts w:asciiTheme="minorHAnsi" w:hAnsiTheme="minorHAnsi"/>
        </w:rPr>
        <w:t>INTERNAL CONTROL FRAMEWORK</w:t>
      </w:r>
      <w:bookmarkEnd w:id="174"/>
      <w:bookmarkEnd w:id="175"/>
    </w:p>
    <w:p w14:paraId="58E56645" w14:textId="028C4B5A" w:rsidR="004E576F" w:rsidRDefault="004E576F" w:rsidP="00864737">
      <w:pPr>
        <w:pStyle w:val="Heading3"/>
        <w:numPr>
          <w:ilvl w:val="1"/>
          <w:numId w:val="1"/>
        </w:numPr>
        <w:jc w:val="both"/>
        <w:rPr>
          <w:rFonts w:asciiTheme="minorHAnsi" w:hAnsiTheme="minorHAnsi"/>
        </w:rPr>
      </w:pPr>
      <w:bookmarkStart w:id="176" w:name="_Toc98496365"/>
      <w:bookmarkStart w:id="177" w:name="_Toc101516086"/>
      <w:r w:rsidRPr="00896AB4">
        <w:rPr>
          <w:rFonts w:asciiTheme="minorHAnsi" w:hAnsiTheme="minorHAnsi"/>
        </w:rPr>
        <w:t>Financial Procedures</w:t>
      </w:r>
      <w:bookmarkEnd w:id="176"/>
      <w:bookmarkEnd w:id="177"/>
      <w:r w:rsidRPr="00896AB4">
        <w:rPr>
          <w:rFonts w:asciiTheme="minorHAnsi" w:hAnsiTheme="minorHAnsi"/>
        </w:rPr>
        <w:t xml:space="preserve"> </w:t>
      </w:r>
    </w:p>
    <w:p w14:paraId="5BC474A2" w14:textId="2D34CC40" w:rsidR="00430365" w:rsidRPr="00430365" w:rsidRDefault="00430365" w:rsidP="00430365">
      <w:pPr>
        <w:jc w:val="both"/>
        <w:rPr>
          <w:rFonts w:ascii="Arial" w:hAnsi="Arial" w:cs="Arial"/>
        </w:rPr>
      </w:pPr>
      <w:r w:rsidRPr="00430365">
        <w:rPr>
          <w:rFonts w:ascii="Arial" w:hAnsi="Arial" w:cs="Arial"/>
        </w:rPr>
        <w:t>The financial procedures guide JU operations and set out how it uses and manages its funds and resources. Effective implementation of COMPASS workflows adds efficiency in managing grants. Publication of calls for tenders, managing the calls (</w:t>
      </w:r>
      <w:proofErr w:type="gramStart"/>
      <w:r w:rsidRPr="00430365">
        <w:rPr>
          <w:rFonts w:ascii="Arial" w:hAnsi="Arial" w:cs="Arial"/>
        </w:rPr>
        <w:t>in particular questions</w:t>
      </w:r>
      <w:proofErr w:type="gramEnd"/>
      <w:r w:rsidRPr="00430365">
        <w:rPr>
          <w:rFonts w:ascii="Arial" w:hAnsi="Arial" w:cs="Arial"/>
        </w:rPr>
        <w:t xml:space="preserve"> and publishing answers), submission of offers and opening of tenders is based on IT solutions that significantly reduce the resources expended. The financial circuits were updated in September 202</w:t>
      </w:r>
      <w:r>
        <w:rPr>
          <w:rFonts w:ascii="Arial" w:hAnsi="Arial" w:cs="Arial"/>
        </w:rPr>
        <w:t>1</w:t>
      </w:r>
      <w:r w:rsidRPr="00430365">
        <w:rPr>
          <w:rFonts w:ascii="Arial" w:hAnsi="Arial" w:cs="Arial"/>
        </w:rPr>
        <w:t xml:space="preserve"> </w:t>
      </w:r>
      <w:r>
        <w:rPr>
          <w:rFonts w:ascii="Arial" w:hAnsi="Arial" w:cs="Arial"/>
        </w:rPr>
        <w:t>following the departure of the Head of Unit for Finance and Administration, acting also as Financial Verifying Agent.</w:t>
      </w:r>
    </w:p>
    <w:p w14:paraId="5EB8B390" w14:textId="64581789" w:rsidR="005E2196" w:rsidRPr="000E0183" w:rsidRDefault="009111A1" w:rsidP="000E0183">
      <w:pPr>
        <w:pStyle w:val="Heading3"/>
        <w:numPr>
          <w:ilvl w:val="1"/>
          <w:numId w:val="1"/>
        </w:numPr>
        <w:jc w:val="both"/>
        <w:rPr>
          <w:rFonts w:asciiTheme="minorHAnsi" w:hAnsiTheme="minorHAnsi"/>
        </w:rPr>
      </w:pPr>
      <w:r>
        <w:rPr>
          <w:rFonts w:asciiTheme="minorHAnsi" w:hAnsiTheme="minorHAnsi"/>
        </w:rPr>
        <w:t xml:space="preserve"> </w:t>
      </w:r>
      <w:bookmarkStart w:id="178" w:name="_Toc98496366"/>
      <w:bookmarkStart w:id="179" w:name="_Toc101516087"/>
      <w:r w:rsidR="00D41A02" w:rsidRPr="00896AB4">
        <w:rPr>
          <w:rFonts w:asciiTheme="minorHAnsi" w:hAnsiTheme="minorHAnsi"/>
        </w:rPr>
        <w:t>Ex ante</w:t>
      </w:r>
      <w:r w:rsidR="004E576F" w:rsidRPr="00896AB4">
        <w:rPr>
          <w:rFonts w:asciiTheme="minorHAnsi" w:hAnsiTheme="minorHAnsi"/>
        </w:rPr>
        <w:t xml:space="preserve"> Controls on </w:t>
      </w:r>
      <w:r w:rsidR="001F392F" w:rsidRPr="00896AB4">
        <w:rPr>
          <w:rFonts w:asciiTheme="minorHAnsi" w:hAnsiTheme="minorHAnsi"/>
        </w:rPr>
        <w:t xml:space="preserve">Operational </w:t>
      </w:r>
      <w:r w:rsidR="004E576F" w:rsidRPr="00896AB4">
        <w:rPr>
          <w:rFonts w:asciiTheme="minorHAnsi" w:hAnsiTheme="minorHAnsi"/>
        </w:rPr>
        <w:t>Expenditure</w:t>
      </w:r>
      <w:bookmarkEnd w:id="178"/>
      <w:bookmarkEnd w:id="179"/>
      <w:r w:rsidR="004E576F" w:rsidRPr="00896AB4">
        <w:rPr>
          <w:rFonts w:asciiTheme="minorHAnsi" w:hAnsiTheme="minorHAnsi"/>
        </w:rPr>
        <w:t xml:space="preserve"> </w:t>
      </w:r>
    </w:p>
    <w:p w14:paraId="6ECD7539" w14:textId="6A7FB589" w:rsidR="005E2196" w:rsidRPr="007F0B8F" w:rsidRDefault="005E2196" w:rsidP="005E2196">
      <w:pPr>
        <w:pStyle w:val="MainText1"/>
        <w:spacing w:before="120" w:after="120"/>
        <w:ind w:right="-45"/>
        <w:rPr>
          <w:rFonts w:ascii="Arial" w:hAnsi="Arial"/>
          <w:sz w:val="22"/>
          <w:szCs w:val="22"/>
        </w:rPr>
      </w:pPr>
      <w:r w:rsidRPr="007F0B8F">
        <w:rPr>
          <w:rFonts w:ascii="Arial" w:hAnsi="Arial"/>
          <w:i/>
          <w:sz w:val="22"/>
          <w:szCs w:val="22"/>
        </w:rPr>
        <w:t>Ex-ante</w:t>
      </w:r>
      <w:r w:rsidRPr="007F0B8F">
        <w:rPr>
          <w:rFonts w:ascii="Arial" w:hAnsi="Arial"/>
          <w:sz w:val="22"/>
          <w:szCs w:val="22"/>
        </w:rPr>
        <w:t xml:space="preserve"> controls are essential to prevent errors and avoid the need for </w:t>
      </w:r>
      <w:r w:rsidRPr="007F0B8F">
        <w:rPr>
          <w:rFonts w:ascii="Arial" w:hAnsi="Arial"/>
          <w:i/>
          <w:sz w:val="22"/>
          <w:szCs w:val="22"/>
        </w:rPr>
        <w:t>ex-post</w:t>
      </w:r>
      <w:r w:rsidRPr="007F0B8F">
        <w:rPr>
          <w:rFonts w:ascii="Arial" w:hAnsi="Arial"/>
          <w:sz w:val="22"/>
          <w:szCs w:val="22"/>
        </w:rPr>
        <w:t xml:space="preserve"> corrective action. In 2021, the JU continued to apply the provisions of Article 74 of the Financial Regulation and Article</w:t>
      </w:r>
      <w:r w:rsidRPr="007F0B8F">
        <w:rPr>
          <w:rStyle w:val="FootnoteReference"/>
          <w:rFonts w:ascii="Arial" w:hAnsi="Arial"/>
          <w:sz w:val="22"/>
          <w:szCs w:val="22"/>
        </w:rPr>
        <w:footnoteReference w:id="108"/>
      </w:r>
      <w:r w:rsidRPr="007F0B8F">
        <w:rPr>
          <w:rFonts w:ascii="Arial" w:hAnsi="Arial"/>
          <w:sz w:val="22"/>
          <w:szCs w:val="22"/>
        </w:rPr>
        <w:t xml:space="preserve"> 21 of JU Financial Rules: ‘</w:t>
      </w:r>
      <w:r w:rsidRPr="007F0B8F">
        <w:rPr>
          <w:rFonts w:ascii="Arial" w:hAnsi="Arial"/>
          <w:i/>
          <w:sz w:val="22"/>
          <w:szCs w:val="22"/>
        </w:rPr>
        <w:t xml:space="preserve">each operation shall be subject at least to an ex-ante control relating to the operational and financial aspects of the operation, </w:t>
      </w:r>
      <w:proofErr w:type="gramStart"/>
      <w:r w:rsidRPr="007F0B8F">
        <w:rPr>
          <w:rFonts w:ascii="Arial" w:hAnsi="Arial"/>
          <w:i/>
          <w:sz w:val="22"/>
          <w:szCs w:val="22"/>
        </w:rPr>
        <w:t>on the basis of</w:t>
      </w:r>
      <w:proofErr w:type="gramEnd"/>
      <w:r w:rsidRPr="007F0B8F">
        <w:rPr>
          <w:rFonts w:ascii="Arial" w:hAnsi="Arial"/>
          <w:i/>
          <w:sz w:val="22"/>
          <w:szCs w:val="22"/>
        </w:rPr>
        <w:t xml:space="preserve"> a multiannual control strategy which takes risk into account</w:t>
      </w:r>
      <w:r w:rsidRPr="007F0B8F">
        <w:rPr>
          <w:rFonts w:ascii="Arial" w:hAnsi="Arial"/>
          <w:sz w:val="22"/>
          <w:szCs w:val="22"/>
        </w:rPr>
        <w:t xml:space="preserve">’. </w:t>
      </w:r>
    </w:p>
    <w:p w14:paraId="5B170AB6" w14:textId="77777777" w:rsidR="005E2196" w:rsidRPr="007F0B8F" w:rsidRDefault="005E2196" w:rsidP="005E2196">
      <w:pPr>
        <w:pStyle w:val="MainText1"/>
        <w:spacing w:before="120" w:after="120"/>
        <w:ind w:right="-45"/>
        <w:rPr>
          <w:rFonts w:ascii="Arial" w:hAnsi="Arial"/>
          <w:sz w:val="22"/>
          <w:szCs w:val="22"/>
        </w:rPr>
      </w:pPr>
      <w:r w:rsidRPr="007F0B8F">
        <w:rPr>
          <w:rFonts w:ascii="Arial" w:hAnsi="Arial"/>
          <w:sz w:val="22"/>
          <w:szCs w:val="22"/>
        </w:rPr>
        <w:t xml:space="preserve">Therefore, the main objective of </w:t>
      </w:r>
      <w:r w:rsidRPr="007F0B8F">
        <w:rPr>
          <w:rFonts w:ascii="Arial" w:hAnsi="Arial"/>
          <w:i/>
          <w:sz w:val="22"/>
          <w:szCs w:val="22"/>
        </w:rPr>
        <w:t>ex-ante</w:t>
      </w:r>
      <w:r w:rsidRPr="007F0B8F">
        <w:rPr>
          <w:rFonts w:ascii="Arial" w:hAnsi="Arial"/>
          <w:sz w:val="22"/>
          <w:szCs w:val="22"/>
        </w:rPr>
        <w:t xml:space="preserve"> controls is to ascertain that the principles of sound financial management have been applied.</w:t>
      </w:r>
    </w:p>
    <w:p w14:paraId="1E02BD77" w14:textId="40643D5C" w:rsidR="005E2196" w:rsidRPr="007F0B8F" w:rsidRDefault="005E2196" w:rsidP="005E2196">
      <w:pPr>
        <w:pStyle w:val="MainText1"/>
        <w:spacing w:before="120" w:after="120"/>
        <w:ind w:right="-45"/>
        <w:rPr>
          <w:rFonts w:ascii="Arial" w:hAnsi="Arial"/>
          <w:sz w:val="22"/>
          <w:szCs w:val="22"/>
        </w:rPr>
      </w:pPr>
      <w:r w:rsidRPr="007F0B8F">
        <w:rPr>
          <w:rFonts w:ascii="Arial" w:hAnsi="Arial"/>
          <w:sz w:val="22"/>
          <w:szCs w:val="22"/>
        </w:rPr>
        <w:t xml:space="preserve">The JU has developed and continues to apply well-developed procedures defining the controls to be performed by project and finance officers for every financial claim, invoice, commitment, </w:t>
      </w:r>
      <w:proofErr w:type="gramStart"/>
      <w:r w:rsidRPr="007F0B8F">
        <w:rPr>
          <w:rFonts w:ascii="Arial" w:hAnsi="Arial"/>
          <w:sz w:val="22"/>
          <w:szCs w:val="22"/>
        </w:rPr>
        <w:t>payment</w:t>
      </w:r>
      <w:proofErr w:type="gramEnd"/>
      <w:r w:rsidRPr="007F0B8F">
        <w:rPr>
          <w:rFonts w:ascii="Arial" w:hAnsi="Arial"/>
          <w:sz w:val="22"/>
          <w:szCs w:val="22"/>
        </w:rPr>
        <w:t xml:space="preserve"> and recovery order, taking into account risk-based and cost-effectiveness considerations. </w:t>
      </w:r>
    </w:p>
    <w:p w14:paraId="6A2B2D6F" w14:textId="77777777" w:rsidR="005E2196" w:rsidRPr="007F0B8F" w:rsidRDefault="005E2196" w:rsidP="005E2196">
      <w:pPr>
        <w:pStyle w:val="MainText1"/>
        <w:spacing w:before="120" w:after="120"/>
        <w:ind w:right="-45"/>
        <w:rPr>
          <w:rFonts w:ascii="Arial" w:hAnsi="Arial"/>
          <w:sz w:val="22"/>
          <w:szCs w:val="22"/>
        </w:rPr>
      </w:pPr>
      <w:r w:rsidRPr="007F0B8F">
        <w:rPr>
          <w:rFonts w:ascii="Arial" w:hAnsi="Arial"/>
          <w:sz w:val="22"/>
          <w:szCs w:val="22"/>
        </w:rPr>
        <w:t>For operational expenditure, the processing and recording of transactions in the IT accounting system (ABAC) are performed via the corporate Horizon 2020 IT tools (Sygma/COMPASS) for H2020 grants and experts, which ensures a high degree of automation, and the controls are embedded in each workflow.</w:t>
      </w:r>
    </w:p>
    <w:p w14:paraId="157AE5CD" w14:textId="77777777" w:rsidR="005E2196" w:rsidRPr="007F0B8F" w:rsidRDefault="005E2196" w:rsidP="005E2196">
      <w:pPr>
        <w:pStyle w:val="MainText1"/>
        <w:spacing w:before="120" w:after="120"/>
        <w:ind w:right="-45"/>
        <w:rPr>
          <w:rFonts w:ascii="Arial" w:hAnsi="Arial"/>
          <w:sz w:val="22"/>
          <w:szCs w:val="22"/>
        </w:rPr>
      </w:pPr>
      <w:r w:rsidRPr="007F0B8F">
        <w:rPr>
          <w:rFonts w:ascii="Arial" w:hAnsi="Arial"/>
          <w:i/>
          <w:iCs/>
          <w:sz w:val="22"/>
          <w:szCs w:val="22"/>
        </w:rPr>
        <w:t>Ex-ante</w:t>
      </w:r>
      <w:r w:rsidRPr="007F0B8F">
        <w:rPr>
          <w:rFonts w:ascii="Arial" w:hAnsi="Arial"/>
          <w:sz w:val="22"/>
          <w:szCs w:val="22"/>
        </w:rPr>
        <w:t xml:space="preserve"> control activities in 2021 included:</w:t>
      </w:r>
    </w:p>
    <w:p w14:paraId="26CEA139" w14:textId="7CC569F3" w:rsidR="005E2196" w:rsidRPr="007F0B8F" w:rsidRDefault="005E2196" w:rsidP="002672A0">
      <w:pPr>
        <w:numPr>
          <w:ilvl w:val="0"/>
          <w:numId w:val="28"/>
        </w:numPr>
        <w:spacing w:before="120" w:after="120"/>
        <w:ind w:left="709" w:right="-45" w:hanging="283"/>
        <w:jc w:val="both"/>
        <w:rPr>
          <w:rFonts w:ascii="Arial" w:eastAsia="Times New Roman" w:hAnsi="Arial" w:cs="Arial"/>
          <w:color w:val="000000"/>
          <w:lang w:eastAsia="en-GB"/>
        </w:rPr>
      </w:pPr>
      <w:r w:rsidRPr="007F0B8F">
        <w:rPr>
          <w:rFonts w:ascii="Arial" w:eastAsia="Times New Roman" w:hAnsi="Arial" w:cs="Arial"/>
          <w:color w:val="000000"/>
          <w:lang w:eastAsia="en-GB"/>
        </w:rPr>
        <w:t>Assessment of 6</w:t>
      </w:r>
      <w:r w:rsidR="001E144A" w:rsidRPr="007F0B8F">
        <w:rPr>
          <w:rFonts w:ascii="Arial" w:eastAsia="Times New Roman" w:hAnsi="Arial" w:cs="Arial"/>
          <w:color w:val="000000"/>
          <w:lang w:eastAsia="en-GB"/>
        </w:rPr>
        <w:t>5</w:t>
      </w:r>
      <w:r w:rsidRPr="007F0B8F">
        <w:rPr>
          <w:rFonts w:ascii="Arial" w:eastAsia="Times New Roman" w:hAnsi="Arial" w:cs="Arial"/>
          <w:color w:val="000000"/>
          <w:lang w:eastAsia="en-GB"/>
        </w:rPr>
        <w:t xml:space="preserve"> periodic </w:t>
      </w:r>
      <w:proofErr w:type="gramStart"/>
      <w:r w:rsidRPr="007F0B8F">
        <w:rPr>
          <w:rFonts w:ascii="Arial" w:eastAsia="Times New Roman" w:hAnsi="Arial" w:cs="Arial"/>
          <w:color w:val="000000"/>
          <w:lang w:eastAsia="en-GB"/>
        </w:rPr>
        <w:t>reports;</w:t>
      </w:r>
      <w:proofErr w:type="gramEnd"/>
    </w:p>
    <w:p w14:paraId="600BC093" w14:textId="77777777" w:rsidR="005E2196" w:rsidRPr="007F0B8F" w:rsidRDefault="005E2196" w:rsidP="002672A0">
      <w:pPr>
        <w:numPr>
          <w:ilvl w:val="0"/>
          <w:numId w:val="28"/>
        </w:numPr>
        <w:spacing w:before="120" w:after="120"/>
        <w:ind w:left="709" w:right="-45" w:hanging="283"/>
        <w:jc w:val="both"/>
        <w:rPr>
          <w:rFonts w:ascii="Arial" w:eastAsia="Times New Roman" w:hAnsi="Arial" w:cs="Arial"/>
          <w:color w:val="000000"/>
          <w:lang w:eastAsia="en-GB"/>
        </w:rPr>
      </w:pPr>
      <w:r w:rsidRPr="007F0B8F">
        <w:rPr>
          <w:rFonts w:ascii="Arial" w:eastAsia="Times New Roman" w:hAnsi="Arial" w:cs="Arial"/>
          <w:color w:val="000000"/>
          <w:lang w:eastAsia="en-GB"/>
        </w:rPr>
        <w:t xml:space="preserve">Participation of project and finance officers in H2020 project kick-off meetings </w:t>
      </w:r>
      <w:proofErr w:type="gramStart"/>
      <w:r w:rsidRPr="007F0B8F">
        <w:rPr>
          <w:rFonts w:ascii="Arial" w:eastAsia="Times New Roman" w:hAnsi="Arial" w:cs="Arial"/>
          <w:color w:val="000000"/>
          <w:lang w:eastAsia="en-GB"/>
        </w:rPr>
        <w:t>in order to</w:t>
      </w:r>
      <w:proofErr w:type="gramEnd"/>
      <w:r w:rsidRPr="007F0B8F">
        <w:rPr>
          <w:rFonts w:ascii="Arial" w:eastAsia="Times New Roman" w:hAnsi="Arial" w:cs="Arial"/>
          <w:color w:val="000000"/>
          <w:lang w:eastAsia="en-GB"/>
        </w:rPr>
        <w:t xml:space="preserve"> clearly communicate the financial reporting requirements</w:t>
      </w:r>
      <w:r w:rsidRPr="007F0B8F">
        <w:rPr>
          <w:rStyle w:val="FootnoteReference"/>
          <w:rFonts w:ascii="Arial" w:eastAsia="Times New Roman" w:hAnsi="Arial" w:cs="Arial"/>
          <w:color w:val="000000"/>
          <w:lang w:eastAsia="en-GB"/>
        </w:rPr>
        <w:footnoteReference w:id="109"/>
      </w:r>
      <w:r w:rsidRPr="007F0B8F">
        <w:rPr>
          <w:rFonts w:ascii="Arial" w:eastAsia="Times New Roman" w:hAnsi="Arial" w:cs="Arial"/>
          <w:color w:val="000000"/>
          <w:lang w:eastAsia="en-GB"/>
        </w:rPr>
        <w:t>;</w:t>
      </w:r>
    </w:p>
    <w:p w14:paraId="3DE7C26F" w14:textId="77777777" w:rsidR="005E2196" w:rsidRPr="007F0B8F" w:rsidRDefault="005E2196" w:rsidP="002672A0">
      <w:pPr>
        <w:numPr>
          <w:ilvl w:val="0"/>
          <w:numId w:val="28"/>
        </w:numPr>
        <w:spacing w:before="120" w:after="120"/>
        <w:ind w:left="709" w:right="-45" w:hanging="283"/>
        <w:jc w:val="both"/>
        <w:rPr>
          <w:rFonts w:ascii="Arial" w:eastAsia="Times New Roman" w:hAnsi="Arial" w:cs="Arial"/>
          <w:color w:val="000000"/>
          <w:lang w:eastAsia="en-GB"/>
        </w:rPr>
      </w:pPr>
      <w:r w:rsidRPr="007F0B8F">
        <w:rPr>
          <w:rFonts w:ascii="Arial" w:eastAsia="Times New Roman" w:hAnsi="Arial" w:cs="Arial"/>
          <w:color w:val="000000"/>
          <w:lang w:eastAsia="en-GB"/>
        </w:rPr>
        <w:t xml:space="preserve">Targeted webinars focused on the specificities of each </w:t>
      </w:r>
      <w:proofErr w:type="gramStart"/>
      <w:r w:rsidRPr="007F0B8F">
        <w:rPr>
          <w:rFonts w:ascii="Arial" w:eastAsia="Times New Roman" w:hAnsi="Arial" w:cs="Arial"/>
          <w:color w:val="000000"/>
          <w:lang w:eastAsia="en-GB"/>
        </w:rPr>
        <w:t>project;</w:t>
      </w:r>
      <w:proofErr w:type="gramEnd"/>
    </w:p>
    <w:p w14:paraId="7F1AFFE7" w14:textId="77777777" w:rsidR="005E2196" w:rsidRPr="007F0B8F" w:rsidRDefault="005E2196" w:rsidP="002672A0">
      <w:pPr>
        <w:numPr>
          <w:ilvl w:val="0"/>
          <w:numId w:val="28"/>
        </w:numPr>
        <w:spacing w:before="120" w:after="120"/>
        <w:ind w:left="709" w:right="-45" w:hanging="283"/>
        <w:jc w:val="both"/>
        <w:rPr>
          <w:rFonts w:ascii="Arial" w:eastAsia="Times New Roman" w:hAnsi="Arial" w:cs="Arial"/>
          <w:color w:val="000000"/>
          <w:lang w:eastAsia="en-GB"/>
        </w:rPr>
      </w:pPr>
      <w:r w:rsidRPr="007F0B8F">
        <w:rPr>
          <w:rFonts w:ascii="Arial" w:eastAsia="Times New Roman" w:hAnsi="Arial" w:cs="Arial"/>
          <w:color w:val="000000"/>
          <w:lang w:eastAsia="en-GB"/>
        </w:rPr>
        <w:t xml:space="preserve">Based on a detailed analysis of the most common audit findings and financial claims, a list of selected beneficiaries </w:t>
      </w:r>
      <w:bookmarkStart w:id="180" w:name="_Hlk98405666"/>
      <w:r w:rsidRPr="007F0B8F">
        <w:rPr>
          <w:rFonts w:ascii="Arial" w:eastAsia="Times New Roman" w:hAnsi="Arial" w:cs="Arial"/>
          <w:color w:val="000000"/>
          <w:lang w:eastAsia="en-GB"/>
        </w:rPr>
        <w:t xml:space="preserve">(mostly SMEs, and newcomers) </w:t>
      </w:r>
      <w:bookmarkEnd w:id="180"/>
      <w:r w:rsidRPr="007F0B8F">
        <w:rPr>
          <w:rFonts w:ascii="Arial" w:eastAsia="Times New Roman" w:hAnsi="Arial" w:cs="Arial"/>
          <w:color w:val="000000"/>
          <w:lang w:eastAsia="en-GB"/>
        </w:rPr>
        <w:t xml:space="preserve">was drawn up and a financial questionnaire was sent to them with the purpose of enhancing knowledge of FCH beneficiaries and strengthening their sound financial management and understanding of the H2020 </w:t>
      </w:r>
      <w:proofErr w:type="gramStart"/>
      <w:r w:rsidRPr="007F0B8F">
        <w:rPr>
          <w:rFonts w:ascii="Arial" w:eastAsia="Times New Roman" w:hAnsi="Arial" w:cs="Arial"/>
          <w:color w:val="000000"/>
          <w:lang w:eastAsia="en-GB"/>
        </w:rPr>
        <w:t>rules;</w:t>
      </w:r>
      <w:proofErr w:type="gramEnd"/>
      <w:r w:rsidRPr="007F0B8F">
        <w:rPr>
          <w:rFonts w:ascii="Arial" w:eastAsia="Times New Roman" w:hAnsi="Arial" w:cs="Arial"/>
          <w:color w:val="000000"/>
          <w:lang w:eastAsia="en-GB"/>
        </w:rPr>
        <w:t xml:space="preserve"> </w:t>
      </w:r>
    </w:p>
    <w:p w14:paraId="49D82A1E" w14:textId="77777777" w:rsidR="005E2196" w:rsidRPr="007F0B8F" w:rsidRDefault="005E2196" w:rsidP="002672A0">
      <w:pPr>
        <w:numPr>
          <w:ilvl w:val="0"/>
          <w:numId w:val="28"/>
        </w:numPr>
        <w:spacing w:before="120" w:after="120"/>
        <w:ind w:left="709" w:right="-45" w:hanging="283"/>
        <w:jc w:val="both"/>
        <w:rPr>
          <w:rFonts w:ascii="Arial" w:eastAsia="Times New Roman" w:hAnsi="Arial" w:cs="Arial"/>
          <w:color w:val="000000"/>
          <w:lang w:eastAsia="en-GB"/>
        </w:rPr>
      </w:pPr>
      <w:bookmarkStart w:id="181" w:name="_Hlk98405701"/>
      <w:r w:rsidRPr="007F0B8F">
        <w:rPr>
          <w:rFonts w:ascii="Arial" w:eastAsia="Times New Roman" w:hAnsi="Arial" w:cs="Arial"/>
          <w:color w:val="000000"/>
          <w:lang w:eastAsia="en-GB"/>
        </w:rPr>
        <w:lastRenderedPageBreak/>
        <w:t xml:space="preserve">As a follow up on the answers of the questionnaires (following risk-fiches of H2020 guidance), targeted bilateral financial webinars with the purpose of enhancing knowledge of FCH beneficiaries and strengthening their sound financial management and understanding of the H2020 rules and an individual follow up was </w:t>
      </w:r>
      <w:proofErr w:type="gramStart"/>
      <w:r w:rsidRPr="007F0B8F">
        <w:rPr>
          <w:rFonts w:ascii="Arial" w:eastAsia="Times New Roman" w:hAnsi="Arial" w:cs="Arial"/>
          <w:color w:val="000000"/>
          <w:lang w:eastAsia="en-GB"/>
        </w:rPr>
        <w:t>performed</w:t>
      </w:r>
      <w:bookmarkEnd w:id="181"/>
      <w:r w:rsidRPr="007F0B8F">
        <w:rPr>
          <w:rFonts w:ascii="Arial" w:eastAsia="Times New Roman" w:hAnsi="Arial" w:cs="Arial"/>
          <w:color w:val="000000"/>
          <w:lang w:eastAsia="en-GB"/>
        </w:rPr>
        <w:t>;</w:t>
      </w:r>
      <w:proofErr w:type="gramEnd"/>
    </w:p>
    <w:p w14:paraId="04D49BA4" w14:textId="5F1E13D3" w:rsidR="005E2196" w:rsidRDefault="005E2196" w:rsidP="002672A0">
      <w:pPr>
        <w:numPr>
          <w:ilvl w:val="0"/>
          <w:numId w:val="28"/>
        </w:numPr>
        <w:spacing w:before="120" w:after="120"/>
        <w:ind w:left="709" w:right="-45" w:hanging="283"/>
        <w:jc w:val="both"/>
        <w:rPr>
          <w:rFonts w:ascii="Arial" w:eastAsia="Times New Roman" w:hAnsi="Arial" w:cs="Arial"/>
          <w:color w:val="000000"/>
          <w:lang w:eastAsia="en-GB"/>
        </w:rPr>
      </w:pPr>
      <w:r w:rsidRPr="007F0B8F">
        <w:rPr>
          <w:rFonts w:ascii="Arial" w:eastAsia="Times New Roman" w:hAnsi="Arial" w:cs="Arial"/>
          <w:color w:val="000000"/>
          <w:lang w:eastAsia="en-GB"/>
        </w:rPr>
        <w:t xml:space="preserve">Reinforced monitoring and targeted checks during </w:t>
      </w:r>
      <w:r w:rsidRPr="007F0B8F">
        <w:rPr>
          <w:rFonts w:ascii="Arial" w:eastAsia="Times New Roman" w:hAnsi="Arial" w:cs="Arial"/>
          <w:i/>
          <w:color w:val="000000"/>
          <w:lang w:eastAsia="en-GB"/>
        </w:rPr>
        <w:t>ex-ante</w:t>
      </w:r>
      <w:r w:rsidRPr="007F0B8F">
        <w:rPr>
          <w:rFonts w:ascii="Arial" w:eastAsia="Times New Roman" w:hAnsi="Arial" w:cs="Arial"/>
          <w:color w:val="000000"/>
          <w:lang w:eastAsia="en-GB"/>
        </w:rPr>
        <w:t xml:space="preserve"> controls for interim and final payments in accordance with the H2020 </w:t>
      </w:r>
      <w:r w:rsidRPr="007F0B8F">
        <w:rPr>
          <w:rFonts w:ascii="Arial" w:eastAsia="Times New Roman" w:hAnsi="Arial" w:cs="Arial"/>
          <w:i/>
          <w:color w:val="000000"/>
          <w:lang w:eastAsia="en-GB"/>
        </w:rPr>
        <w:t>ex-ante</w:t>
      </w:r>
      <w:r w:rsidRPr="007F0B8F">
        <w:rPr>
          <w:rFonts w:ascii="Arial" w:eastAsia="Times New Roman" w:hAnsi="Arial" w:cs="Arial"/>
          <w:color w:val="000000"/>
          <w:lang w:eastAsia="en-GB"/>
        </w:rPr>
        <w:t xml:space="preserve"> control strategy, as published by the CSC Steering Board on 18 December 2020. </w:t>
      </w:r>
    </w:p>
    <w:p w14:paraId="6B6394C7" w14:textId="6092CC8F" w:rsidR="005E2196" w:rsidRPr="007F0B8F" w:rsidRDefault="005E2196" w:rsidP="00410071">
      <w:pPr>
        <w:jc w:val="both"/>
        <w:rPr>
          <w:rFonts w:ascii="Arial" w:hAnsi="Arial" w:cs="Arial"/>
        </w:rPr>
      </w:pPr>
      <w:r w:rsidRPr="007F0B8F">
        <w:rPr>
          <w:rFonts w:ascii="Arial" w:hAnsi="Arial" w:cs="Arial"/>
        </w:rPr>
        <w:t>In addition</w:t>
      </w:r>
      <w:r w:rsidR="007F5917">
        <w:rPr>
          <w:rFonts w:ascii="Arial" w:hAnsi="Arial" w:cs="Arial"/>
        </w:rPr>
        <w:t>,</w:t>
      </w:r>
      <w:r w:rsidRPr="007F0B8F">
        <w:rPr>
          <w:rFonts w:ascii="Arial" w:hAnsi="Arial" w:cs="Arial"/>
        </w:rPr>
        <w:t xml:space="preserve"> </w:t>
      </w:r>
      <w:r w:rsidR="007F5917">
        <w:rPr>
          <w:rFonts w:ascii="Arial" w:hAnsi="Arial" w:cs="Arial"/>
        </w:rPr>
        <w:t xml:space="preserve">the </w:t>
      </w:r>
      <w:r w:rsidR="00410071">
        <w:rPr>
          <w:rFonts w:ascii="Arial" w:hAnsi="Arial" w:cs="Arial"/>
        </w:rPr>
        <w:t>JU</w:t>
      </w:r>
      <w:r w:rsidRPr="007F0B8F">
        <w:rPr>
          <w:rFonts w:ascii="Arial" w:hAnsi="Arial" w:cs="Arial"/>
        </w:rPr>
        <w:t xml:space="preserve"> actively contribute</w:t>
      </w:r>
      <w:r w:rsidR="00410071">
        <w:rPr>
          <w:rFonts w:ascii="Arial" w:hAnsi="Arial" w:cs="Arial"/>
        </w:rPr>
        <w:t>d</w:t>
      </w:r>
      <w:r w:rsidRPr="007F0B8F">
        <w:rPr>
          <w:rFonts w:ascii="Arial" w:hAnsi="Arial" w:cs="Arial"/>
        </w:rPr>
        <w:t xml:space="preserve"> to the development of the Horizon Europe control strategy (ex-ante, </w:t>
      </w:r>
      <w:proofErr w:type="gramStart"/>
      <w:r w:rsidRPr="007F0B8F">
        <w:rPr>
          <w:rFonts w:ascii="Arial" w:hAnsi="Arial" w:cs="Arial"/>
        </w:rPr>
        <w:t>audit</w:t>
      </w:r>
      <w:proofErr w:type="gramEnd"/>
      <w:r w:rsidRPr="007F0B8F">
        <w:rPr>
          <w:rFonts w:ascii="Arial" w:hAnsi="Arial" w:cs="Arial"/>
        </w:rPr>
        <w:t xml:space="preserve"> and fraud prevention) by participating to the dedicated working groups set up by the CIC and providing input. The work started in 2020 and continued in 2021.</w:t>
      </w:r>
    </w:p>
    <w:p w14:paraId="7C3781F6" w14:textId="7ABE777E" w:rsidR="00410071" w:rsidRDefault="00410071" w:rsidP="00410071">
      <w:pPr>
        <w:jc w:val="both"/>
        <w:rPr>
          <w:rFonts w:ascii="Arial" w:hAnsi="Arial" w:cs="Arial"/>
        </w:rPr>
      </w:pPr>
      <w:r>
        <w:rPr>
          <w:rFonts w:ascii="Arial" w:hAnsi="Arial" w:cs="Arial"/>
        </w:rPr>
        <w:t xml:space="preserve">Due to </w:t>
      </w:r>
      <w:r w:rsidRPr="00410071">
        <w:rPr>
          <w:rFonts w:ascii="Arial" w:hAnsi="Arial" w:cs="Arial"/>
        </w:rPr>
        <w:t>persistent systemic errors for declared personnel costs</w:t>
      </w:r>
      <w:r>
        <w:rPr>
          <w:rFonts w:ascii="Arial" w:hAnsi="Arial" w:cs="Arial"/>
        </w:rPr>
        <w:t xml:space="preserve">, </w:t>
      </w:r>
      <w:r w:rsidRPr="00410071">
        <w:rPr>
          <w:rFonts w:ascii="Arial" w:hAnsi="Arial" w:cs="Arial"/>
        </w:rPr>
        <w:t>particular</w:t>
      </w:r>
      <w:r>
        <w:rPr>
          <w:rFonts w:ascii="Arial" w:hAnsi="Arial" w:cs="Arial"/>
        </w:rPr>
        <w:t xml:space="preserve">ly in case of </w:t>
      </w:r>
      <w:r w:rsidRPr="00410071">
        <w:rPr>
          <w:rFonts w:ascii="Arial" w:hAnsi="Arial" w:cs="Arial"/>
        </w:rPr>
        <w:t>SMEs and new beneficiaries</w:t>
      </w:r>
      <w:r>
        <w:rPr>
          <w:rFonts w:ascii="Arial" w:hAnsi="Arial" w:cs="Arial"/>
        </w:rPr>
        <w:t xml:space="preserve"> (who </w:t>
      </w:r>
      <w:r w:rsidRPr="00410071">
        <w:rPr>
          <w:rFonts w:ascii="Arial" w:hAnsi="Arial" w:cs="Arial"/>
        </w:rPr>
        <w:t>are more error-prone than other beneficiaries</w:t>
      </w:r>
      <w:r>
        <w:rPr>
          <w:rFonts w:ascii="Arial" w:hAnsi="Arial" w:cs="Arial"/>
        </w:rPr>
        <w:t xml:space="preserve">), </w:t>
      </w:r>
      <w:r w:rsidR="007F5917">
        <w:rPr>
          <w:rFonts w:ascii="Arial" w:hAnsi="Arial" w:cs="Arial"/>
        </w:rPr>
        <w:t>the</w:t>
      </w:r>
      <w:r>
        <w:rPr>
          <w:rFonts w:ascii="Arial" w:hAnsi="Arial" w:cs="Arial"/>
        </w:rPr>
        <w:t xml:space="preserve"> JU has already </w:t>
      </w:r>
      <w:r w:rsidRPr="00410071">
        <w:rPr>
          <w:rFonts w:ascii="Arial" w:hAnsi="Arial" w:cs="Arial"/>
        </w:rPr>
        <w:t>strengthen</w:t>
      </w:r>
      <w:r>
        <w:rPr>
          <w:rFonts w:ascii="Arial" w:hAnsi="Arial" w:cs="Arial"/>
        </w:rPr>
        <w:t>ed</w:t>
      </w:r>
      <w:r w:rsidRPr="00410071">
        <w:rPr>
          <w:rFonts w:ascii="Arial" w:hAnsi="Arial" w:cs="Arial"/>
        </w:rPr>
        <w:t xml:space="preserve"> its internal control</w:t>
      </w:r>
      <w:r>
        <w:rPr>
          <w:rFonts w:ascii="Arial" w:hAnsi="Arial" w:cs="Arial"/>
        </w:rPr>
        <w:t xml:space="preserve"> in 2020</w:t>
      </w:r>
      <w:r w:rsidRPr="00410071">
        <w:rPr>
          <w:rFonts w:ascii="Arial" w:hAnsi="Arial" w:cs="Arial"/>
        </w:rPr>
        <w:t xml:space="preserve"> to address the increased risk regarding SMEs and new beneficiaries</w:t>
      </w:r>
      <w:r>
        <w:rPr>
          <w:rFonts w:ascii="Arial" w:hAnsi="Arial" w:cs="Arial"/>
        </w:rPr>
        <w:t xml:space="preserve">. </w:t>
      </w:r>
    </w:p>
    <w:p w14:paraId="05616F72" w14:textId="77FB0C0A" w:rsidR="00410071" w:rsidRPr="007F0B8F" w:rsidRDefault="00410071" w:rsidP="00410071">
      <w:pPr>
        <w:spacing w:before="120" w:after="120"/>
        <w:ind w:right="-45"/>
        <w:jc w:val="both"/>
        <w:rPr>
          <w:rFonts w:ascii="Arial" w:eastAsia="Times New Roman" w:hAnsi="Arial" w:cs="Arial"/>
          <w:color w:val="000000"/>
          <w:lang w:eastAsia="en-GB"/>
        </w:rPr>
      </w:pPr>
      <w:r w:rsidRPr="007F0B8F">
        <w:rPr>
          <w:rFonts w:ascii="Arial" w:eastAsia="Times New Roman" w:hAnsi="Arial" w:cs="Arial"/>
          <w:b/>
          <w:color w:val="000000"/>
          <w:lang w:eastAsia="en-GB"/>
        </w:rPr>
        <w:t>In 2021</w:t>
      </w:r>
      <w:r w:rsidRPr="007F0B8F">
        <w:rPr>
          <w:rFonts w:ascii="Arial" w:eastAsia="Times New Roman" w:hAnsi="Arial" w:cs="Arial"/>
          <w:color w:val="000000"/>
          <w:lang w:eastAsia="en-GB"/>
        </w:rPr>
        <w:t>, first results of t</w:t>
      </w:r>
      <w:r>
        <w:rPr>
          <w:rFonts w:ascii="Arial" w:eastAsia="Times New Roman" w:hAnsi="Arial" w:cs="Arial"/>
          <w:color w:val="000000"/>
          <w:lang w:eastAsia="en-GB"/>
        </w:rPr>
        <w:t>he</w:t>
      </w:r>
      <w:r w:rsidRPr="007F0B8F">
        <w:rPr>
          <w:rFonts w:ascii="Arial" w:eastAsia="Times New Roman" w:hAnsi="Arial" w:cs="Arial"/>
          <w:color w:val="000000"/>
          <w:lang w:eastAsia="en-GB"/>
        </w:rPr>
        <w:t xml:space="preserve"> pilot project</w:t>
      </w:r>
      <w:r>
        <w:rPr>
          <w:rFonts w:ascii="Arial" w:eastAsia="Times New Roman" w:hAnsi="Arial" w:cs="Arial"/>
          <w:color w:val="000000"/>
          <w:lang w:eastAsia="en-GB"/>
        </w:rPr>
        <w:t xml:space="preserve"> (started in 2020)</w:t>
      </w:r>
      <w:r w:rsidRPr="007F0B8F">
        <w:rPr>
          <w:rFonts w:ascii="Arial" w:eastAsia="Times New Roman" w:hAnsi="Arial" w:cs="Arial"/>
          <w:color w:val="000000"/>
          <w:lang w:eastAsia="en-GB"/>
        </w:rPr>
        <w:t xml:space="preserve"> of reinforced risk-based ex-ante controls among top JU beneficiaries, specifically dedicated to newcomers and SMEs, in terms of error rates reductions</w:t>
      </w:r>
      <w:r>
        <w:rPr>
          <w:rFonts w:ascii="Arial" w:eastAsia="Times New Roman" w:hAnsi="Arial" w:cs="Arial"/>
          <w:color w:val="000000"/>
          <w:lang w:eastAsia="en-GB"/>
        </w:rPr>
        <w:t xml:space="preserve">, </w:t>
      </w:r>
      <w:r w:rsidRPr="007F0B8F">
        <w:rPr>
          <w:rFonts w:ascii="Arial" w:eastAsia="Times New Roman" w:hAnsi="Arial" w:cs="Arial"/>
          <w:color w:val="000000"/>
          <w:lang w:eastAsia="en-GB"/>
        </w:rPr>
        <w:t>were available, see a table below:</w:t>
      </w:r>
    </w:p>
    <w:p w14:paraId="05FD1826" w14:textId="77777777" w:rsidR="00410071" w:rsidRPr="007F0B8F" w:rsidRDefault="00410071" w:rsidP="002672A0">
      <w:pPr>
        <w:numPr>
          <w:ilvl w:val="0"/>
          <w:numId w:val="33"/>
        </w:numPr>
        <w:spacing w:before="120" w:after="120"/>
        <w:ind w:right="-45"/>
        <w:jc w:val="both"/>
        <w:rPr>
          <w:rFonts w:ascii="Arial" w:eastAsia="Times New Roman" w:hAnsi="Arial" w:cs="Arial"/>
          <w:b/>
          <w:color w:val="000000"/>
          <w:lang w:eastAsia="en-GB"/>
        </w:rPr>
      </w:pPr>
      <w:r w:rsidRPr="007F0B8F">
        <w:rPr>
          <w:rFonts w:ascii="Arial" w:eastAsia="Times New Roman" w:hAnsi="Arial" w:cs="Arial"/>
          <w:b/>
          <w:color w:val="000000"/>
          <w:lang w:eastAsia="en-GB"/>
        </w:rPr>
        <w:t xml:space="preserve">TABLE: </w:t>
      </w:r>
      <w:r w:rsidRPr="007F0B8F">
        <w:rPr>
          <w:rFonts w:ascii="Arial" w:eastAsia="Times New Roman" w:hAnsi="Arial" w:cs="Arial"/>
          <w:b/>
          <w:bCs/>
          <w:color w:val="000000"/>
          <w:lang w:val="en-US" w:eastAsia="en-GB"/>
        </w:rPr>
        <w:t>QUANTITATIVE impact of ex-ante webinars project in 2020 and 2021: r</w:t>
      </w:r>
      <w:r w:rsidRPr="007F0B8F">
        <w:rPr>
          <w:rFonts w:ascii="Arial" w:eastAsia="Times New Roman" w:hAnsi="Arial" w:cs="Arial"/>
          <w:b/>
          <w:color w:val="000000"/>
          <w:lang w:val="en-US" w:eastAsia="en-GB"/>
        </w:rPr>
        <w:t>educed error rates</w:t>
      </w:r>
    </w:p>
    <w:p w14:paraId="599411F7" w14:textId="77777777" w:rsidR="00410071" w:rsidRPr="007F0B8F" w:rsidRDefault="00410071" w:rsidP="00410071">
      <w:pPr>
        <w:spacing w:before="120" w:after="120"/>
        <w:ind w:left="360" w:right="-45"/>
        <w:jc w:val="both"/>
        <w:rPr>
          <w:rFonts w:ascii="Arial" w:eastAsia="Times New Roman" w:hAnsi="Arial" w:cs="Arial"/>
          <w:color w:val="000000"/>
          <w:lang w:eastAsia="en-GB"/>
        </w:rPr>
      </w:pPr>
    </w:p>
    <w:tbl>
      <w:tblPr>
        <w:tblW w:w="9020" w:type="dxa"/>
        <w:tblCellMar>
          <w:left w:w="0" w:type="dxa"/>
          <w:right w:w="0" w:type="dxa"/>
        </w:tblCellMar>
        <w:tblLook w:val="0420" w:firstRow="1" w:lastRow="0" w:firstColumn="0" w:lastColumn="0" w:noHBand="0" w:noVBand="1"/>
      </w:tblPr>
      <w:tblGrid>
        <w:gridCol w:w="3006"/>
        <w:gridCol w:w="3007"/>
        <w:gridCol w:w="3007"/>
      </w:tblGrid>
      <w:tr w:rsidR="00410071" w:rsidRPr="007F0B8F" w14:paraId="7E2925C2" w14:textId="77777777" w:rsidTr="00DF2591">
        <w:trPr>
          <w:trHeight w:val="833"/>
        </w:trPr>
        <w:tc>
          <w:tcPr>
            <w:tcW w:w="3000"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2082185C" w14:textId="77777777" w:rsidR="00410071" w:rsidRPr="007F0B8F" w:rsidRDefault="00410071" w:rsidP="00DF2591">
            <w:pPr>
              <w:spacing w:before="120" w:after="120"/>
              <w:ind w:left="360" w:right="-45"/>
              <w:jc w:val="both"/>
              <w:rPr>
                <w:rFonts w:ascii="Arial" w:eastAsia="Times New Roman" w:hAnsi="Arial" w:cs="Arial"/>
                <w:color w:val="000000"/>
                <w:lang w:eastAsia="en-GB"/>
              </w:rPr>
            </w:pPr>
          </w:p>
        </w:tc>
        <w:tc>
          <w:tcPr>
            <w:tcW w:w="3000"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39ED3CEA" w14:textId="77777777" w:rsidR="00410071" w:rsidRPr="007F0B8F" w:rsidRDefault="00410071" w:rsidP="00DF2591">
            <w:pPr>
              <w:spacing w:before="120" w:after="120"/>
              <w:ind w:left="360" w:right="-45"/>
              <w:jc w:val="both"/>
              <w:rPr>
                <w:rFonts w:ascii="Arial" w:eastAsia="Times New Roman" w:hAnsi="Arial" w:cs="Arial"/>
                <w:color w:val="000000"/>
                <w:lang w:eastAsia="en-GB"/>
              </w:rPr>
            </w:pPr>
            <w:r w:rsidRPr="007F0B8F">
              <w:rPr>
                <w:rFonts w:ascii="Arial" w:eastAsia="Times New Roman" w:hAnsi="Arial" w:cs="Arial"/>
                <w:b/>
                <w:bCs/>
                <w:color w:val="000000"/>
                <w:lang w:eastAsia="en-GB"/>
              </w:rPr>
              <w:t>Ex-post audits (year of launch of the audit)</w:t>
            </w:r>
          </w:p>
        </w:tc>
        <w:tc>
          <w:tcPr>
            <w:tcW w:w="3000"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5D46BF63" w14:textId="77777777" w:rsidR="00410071" w:rsidRPr="007F0B8F" w:rsidRDefault="00410071" w:rsidP="00DF2591">
            <w:pPr>
              <w:spacing w:before="120" w:after="120"/>
              <w:ind w:left="360" w:right="-45"/>
              <w:jc w:val="both"/>
              <w:rPr>
                <w:rFonts w:ascii="Arial" w:eastAsia="Times New Roman" w:hAnsi="Arial" w:cs="Arial"/>
                <w:color w:val="000000"/>
                <w:lang w:eastAsia="en-GB"/>
              </w:rPr>
            </w:pPr>
            <w:r w:rsidRPr="007F0B8F">
              <w:rPr>
                <w:rFonts w:ascii="Arial" w:eastAsia="Times New Roman" w:hAnsi="Arial" w:cs="Arial"/>
                <w:b/>
                <w:bCs/>
                <w:color w:val="000000"/>
                <w:lang w:eastAsia="en-GB"/>
              </w:rPr>
              <w:t xml:space="preserve">Representative error rate* SMEs + newcomers (from closed audits as </w:t>
            </w:r>
            <w:proofErr w:type="gramStart"/>
            <w:r w:rsidRPr="007F0B8F">
              <w:rPr>
                <w:rFonts w:ascii="Arial" w:eastAsia="Times New Roman" w:hAnsi="Arial" w:cs="Arial"/>
                <w:b/>
                <w:bCs/>
                <w:color w:val="000000"/>
                <w:lang w:eastAsia="en-GB"/>
              </w:rPr>
              <w:t>at</w:t>
            </w:r>
            <w:proofErr w:type="gramEnd"/>
            <w:r w:rsidRPr="007F0B8F">
              <w:rPr>
                <w:rFonts w:ascii="Arial" w:eastAsia="Times New Roman" w:hAnsi="Arial" w:cs="Arial"/>
                <w:b/>
                <w:bCs/>
                <w:color w:val="000000"/>
                <w:lang w:eastAsia="en-GB"/>
              </w:rPr>
              <w:t xml:space="preserve"> 31 December 2021)</w:t>
            </w:r>
          </w:p>
        </w:tc>
      </w:tr>
      <w:tr w:rsidR="00410071" w:rsidRPr="007F0B8F" w14:paraId="3268CD20" w14:textId="77777777" w:rsidTr="00DF2591">
        <w:trPr>
          <w:trHeight w:val="483"/>
        </w:trPr>
        <w:tc>
          <w:tcPr>
            <w:tcW w:w="3000"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0B9A79CB" w14:textId="77777777" w:rsidR="00410071" w:rsidRPr="007F0B8F" w:rsidRDefault="00410071" w:rsidP="00DF2591">
            <w:pPr>
              <w:spacing w:before="120" w:after="120"/>
              <w:ind w:left="360" w:right="-45"/>
              <w:jc w:val="both"/>
              <w:rPr>
                <w:rFonts w:ascii="Arial" w:eastAsia="Times New Roman" w:hAnsi="Arial" w:cs="Arial"/>
                <w:color w:val="000000"/>
                <w:lang w:eastAsia="en-GB"/>
              </w:rPr>
            </w:pPr>
            <w:r w:rsidRPr="007F0B8F">
              <w:rPr>
                <w:rFonts w:ascii="Arial" w:eastAsia="Times New Roman" w:hAnsi="Arial" w:cs="Arial"/>
                <w:color w:val="000000"/>
                <w:lang w:eastAsia="en-GB"/>
              </w:rPr>
              <w:t>Before ex-ante webinars</w:t>
            </w:r>
          </w:p>
        </w:tc>
        <w:tc>
          <w:tcPr>
            <w:tcW w:w="3000"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403F0D07" w14:textId="77777777" w:rsidR="00410071" w:rsidRPr="007F0B8F" w:rsidRDefault="00410071" w:rsidP="00DF2591">
            <w:pPr>
              <w:spacing w:before="120" w:after="120"/>
              <w:ind w:left="360" w:right="-45"/>
              <w:jc w:val="both"/>
              <w:rPr>
                <w:rFonts w:ascii="Arial" w:eastAsia="Times New Roman" w:hAnsi="Arial" w:cs="Arial"/>
                <w:color w:val="000000"/>
                <w:lang w:eastAsia="en-GB"/>
              </w:rPr>
            </w:pPr>
            <w:r w:rsidRPr="007F0B8F">
              <w:rPr>
                <w:rFonts w:ascii="Arial" w:eastAsia="Times New Roman" w:hAnsi="Arial" w:cs="Arial"/>
                <w:color w:val="000000"/>
                <w:lang w:eastAsia="en-GB"/>
              </w:rPr>
              <w:t>2017 - 2019</w:t>
            </w:r>
          </w:p>
        </w:tc>
        <w:tc>
          <w:tcPr>
            <w:tcW w:w="3000"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4DE3ACCB" w14:textId="77777777" w:rsidR="00410071" w:rsidRPr="007F0B8F" w:rsidRDefault="00410071" w:rsidP="00DF2591">
            <w:pPr>
              <w:spacing w:before="120" w:after="120"/>
              <w:ind w:left="360" w:right="-45"/>
              <w:jc w:val="both"/>
              <w:rPr>
                <w:rFonts w:ascii="Arial" w:eastAsia="Times New Roman" w:hAnsi="Arial" w:cs="Arial"/>
                <w:color w:val="000000"/>
                <w:lang w:eastAsia="en-GB"/>
              </w:rPr>
            </w:pPr>
            <w:r w:rsidRPr="007F0B8F">
              <w:rPr>
                <w:rFonts w:ascii="Arial" w:eastAsia="Times New Roman" w:hAnsi="Arial" w:cs="Arial"/>
                <w:color w:val="000000"/>
                <w:lang w:eastAsia="en-GB"/>
              </w:rPr>
              <w:t>-2,35%</w:t>
            </w:r>
          </w:p>
        </w:tc>
      </w:tr>
      <w:tr w:rsidR="00410071" w:rsidRPr="007F0B8F" w14:paraId="784222ED" w14:textId="77777777" w:rsidTr="00DF2591">
        <w:trPr>
          <w:trHeight w:val="833"/>
        </w:trPr>
        <w:tc>
          <w:tcPr>
            <w:tcW w:w="3000"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7992153F" w14:textId="77777777" w:rsidR="00410071" w:rsidRPr="007F0B8F" w:rsidRDefault="00410071" w:rsidP="00DF2591">
            <w:pPr>
              <w:spacing w:before="120" w:after="120"/>
              <w:ind w:left="360" w:right="-45"/>
              <w:jc w:val="both"/>
              <w:rPr>
                <w:rFonts w:ascii="Arial" w:eastAsia="Times New Roman" w:hAnsi="Arial" w:cs="Arial"/>
                <w:color w:val="000000"/>
                <w:lang w:eastAsia="en-GB"/>
              </w:rPr>
            </w:pPr>
            <w:r w:rsidRPr="007F0B8F">
              <w:rPr>
                <w:rFonts w:ascii="Arial" w:eastAsia="Times New Roman" w:hAnsi="Arial" w:cs="Arial"/>
                <w:color w:val="000000"/>
                <w:lang w:eastAsia="en-GB"/>
              </w:rPr>
              <w:t>After introduction of ex-ante webinars</w:t>
            </w:r>
          </w:p>
        </w:tc>
        <w:tc>
          <w:tcPr>
            <w:tcW w:w="3000"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7445FCCE" w14:textId="77777777" w:rsidR="00410071" w:rsidRPr="007F0B8F" w:rsidRDefault="00410071" w:rsidP="00DF2591">
            <w:pPr>
              <w:spacing w:before="120" w:after="120"/>
              <w:ind w:left="360" w:right="-45"/>
              <w:jc w:val="both"/>
              <w:rPr>
                <w:rFonts w:ascii="Arial" w:eastAsia="Times New Roman" w:hAnsi="Arial" w:cs="Arial"/>
                <w:color w:val="000000"/>
                <w:lang w:eastAsia="en-GB"/>
              </w:rPr>
            </w:pPr>
            <w:r w:rsidRPr="007F0B8F">
              <w:rPr>
                <w:rFonts w:ascii="Arial" w:eastAsia="Times New Roman" w:hAnsi="Arial" w:cs="Arial"/>
                <w:color w:val="000000"/>
                <w:lang w:eastAsia="en-GB"/>
              </w:rPr>
              <w:t>2020 - 2021</w:t>
            </w:r>
          </w:p>
        </w:tc>
        <w:tc>
          <w:tcPr>
            <w:tcW w:w="3000"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3C0072D5" w14:textId="77777777" w:rsidR="00410071" w:rsidRPr="007F0B8F" w:rsidRDefault="00410071" w:rsidP="00DF2591">
            <w:pPr>
              <w:spacing w:before="120" w:after="120"/>
              <w:ind w:left="360" w:right="-45"/>
              <w:jc w:val="both"/>
              <w:rPr>
                <w:rFonts w:ascii="Arial" w:eastAsia="Times New Roman" w:hAnsi="Arial" w:cs="Arial"/>
                <w:color w:val="000000"/>
                <w:lang w:eastAsia="en-GB"/>
              </w:rPr>
            </w:pPr>
            <w:r w:rsidRPr="007F0B8F">
              <w:rPr>
                <w:rFonts w:ascii="Arial" w:eastAsia="Times New Roman" w:hAnsi="Arial" w:cs="Arial"/>
                <w:color w:val="000000"/>
                <w:lang w:eastAsia="en-GB"/>
              </w:rPr>
              <w:t>-0,74%</w:t>
            </w:r>
          </w:p>
        </w:tc>
      </w:tr>
      <w:tr w:rsidR="00410071" w:rsidRPr="007F0B8F" w14:paraId="4FDF3EAF" w14:textId="77777777" w:rsidTr="00DF2591">
        <w:trPr>
          <w:trHeight w:val="483"/>
        </w:trPr>
        <w:tc>
          <w:tcPr>
            <w:tcW w:w="3000"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1C42DE3A" w14:textId="77777777" w:rsidR="00410071" w:rsidRPr="007F0B8F" w:rsidRDefault="00410071" w:rsidP="00DF2591">
            <w:pPr>
              <w:spacing w:before="120" w:after="120"/>
              <w:ind w:left="360" w:right="-45"/>
              <w:jc w:val="both"/>
              <w:rPr>
                <w:rFonts w:ascii="Arial" w:eastAsia="Times New Roman" w:hAnsi="Arial" w:cs="Arial"/>
                <w:color w:val="000000"/>
                <w:lang w:eastAsia="en-GB"/>
              </w:rPr>
            </w:pPr>
            <w:r w:rsidRPr="007F0B8F">
              <w:rPr>
                <w:rFonts w:ascii="Arial" w:eastAsia="Times New Roman" w:hAnsi="Arial" w:cs="Arial"/>
                <w:color w:val="000000"/>
                <w:lang w:eastAsia="en-GB"/>
              </w:rPr>
              <w:t>TOTAL</w:t>
            </w:r>
          </w:p>
        </w:tc>
        <w:tc>
          <w:tcPr>
            <w:tcW w:w="3000"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4C5421EC" w14:textId="77777777" w:rsidR="00410071" w:rsidRPr="007F0B8F" w:rsidRDefault="00410071" w:rsidP="00DF2591">
            <w:pPr>
              <w:spacing w:before="120" w:after="120"/>
              <w:ind w:left="360" w:right="-45"/>
              <w:jc w:val="both"/>
              <w:rPr>
                <w:rFonts w:ascii="Arial" w:eastAsia="Times New Roman" w:hAnsi="Arial" w:cs="Arial"/>
                <w:color w:val="000000"/>
                <w:lang w:eastAsia="en-GB"/>
              </w:rPr>
            </w:pPr>
            <w:r w:rsidRPr="007F0B8F">
              <w:rPr>
                <w:rFonts w:ascii="Arial" w:eastAsia="Times New Roman" w:hAnsi="Arial" w:cs="Arial"/>
                <w:color w:val="000000"/>
                <w:lang w:eastAsia="en-GB"/>
              </w:rPr>
              <w:t>2017 - 2021</w:t>
            </w:r>
          </w:p>
        </w:tc>
        <w:tc>
          <w:tcPr>
            <w:tcW w:w="3000"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52A6462E" w14:textId="77777777" w:rsidR="00410071" w:rsidRPr="007F0B8F" w:rsidRDefault="00410071" w:rsidP="00DF2591">
            <w:pPr>
              <w:spacing w:before="120" w:after="120"/>
              <w:ind w:left="360" w:right="-45"/>
              <w:jc w:val="both"/>
              <w:rPr>
                <w:rFonts w:ascii="Arial" w:eastAsia="Times New Roman" w:hAnsi="Arial" w:cs="Arial"/>
                <w:color w:val="000000"/>
                <w:lang w:eastAsia="en-GB"/>
              </w:rPr>
            </w:pPr>
            <w:r w:rsidRPr="007F0B8F">
              <w:rPr>
                <w:rFonts w:ascii="Arial" w:eastAsia="Times New Roman" w:hAnsi="Arial" w:cs="Arial"/>
                <w:color w:val="000000"/>
                <w:lang w:eastAsia="en-GB"/>
              </w:rPr>
              <w:t>-1,99%</w:t>
            </w:r>
          </w:p>
        </w:tc>
      </w:tr>
    </w:tbl>
    <w:p w14:paraId="42748F99" w14:textId="77777777" w:rsidR="00410071" w:rsidRPr="007F0B8F" w:rsidRDefault="00410071" w:rsidP="00410071">
      <w:pPr>
        <w:rPr>
          <w:rFonts w:ascii="Arial" w:hAnsi="Arial" w:cs="Arial"/>
        </w:rPr>
      </w:pPr>
    </w:p>
    <w:p w14:paraId="664F8AF4" w14:textId="374BDA47" w:rsidR="005E2196" w:rsidRPr="007F0B8F" w:rsidRDefault="005E2196" w:rsidP="005E2196">
      <w:pPr>
        <w:rPr>
          <w:rFonts w:ascii="Arial" w:hAnsi="Arial" w:cs="Arial"/>
        </w:rPr>
      </w:pPr>
      <w:r w:rsidRPr="007F0B8F">
        <w:rPr>
          <w:rFonts w:ascii="Arial" w:hAnsi="Arial" w:cs="Arial"/>
        </w:rPr>
        <w:t>The benefits of the reinformed ex-ante controls included, among others the following elements:</w:t>
      </w:r>
    </w:p>
    <w:p w14:paraId="1492ABCD" w14:textId="77777777" w:rsidR="00DF2591" w:rsidRPr="007F0B8F" w:rsidRDefault="002A0359" w:rsidP="002672A0">
      <w:pPr>
        <w:numPr>
          <w:ilvl w:val="0"/>
          <w:numId w:val="29"/>
        </w:numPr>
        <w:rPr>
          <w:rFonts w:ascii="Arial" w:hAnsi="Arial" w:cs="Arial"/>
          <w:lang w:val="es-ES"/>
        </w:rPr>
      </w:pPr>
      <w:r w:rsidRPr="007F0B8F">
        <w:rPr>
          <w:rFonts w:ascii="Arial" w:hAnsi="Arial" w:cs="Arial"/>
          <w:b/>
          <w:bCs/>
          <w:lang w:val="es-ES"/>
        </w:rPr>
        <w:t xml:space="preserve">QUANTITATIVE </w:t>
      </w:r>
      <w:r w:rsidR="005E2196" w:rsidRPr="007F0B8F">
        <w:rPr>
          <w:rFonts w:ascii="Arial" w:hAnsi="Arial" w:cs="Arial"/>
          <w:b/>
          <w:bCs/>
          <w:lang w:val="es-ES"/>
        </w:rPr>
        <w:t xml:space="preserve">BENEFITS reinforced ex-ante controls via ex-ante webinars </w:t>
      </w:r>
      <w:r w:rsidRPr="007F0B8F">
        <w:rPr>
          <w:rFonts w:ascii="Arial" w:hAnsi="Arial" w:cs="Arial"/>
          <w:b/>
          <w:bCs/>
          <w:lang w:val="es-ES"/>
        </w:rPr>
        <w:t xml:space="preserve">- &gt; </w:t>
      </w:r>
    </w:p>
    <w:p w14:paraId="59D5A64C" w14:textId="77777777" w:rsidR="00DF2591" w:rsidRPr="007F0B8F" w:rsidRDefault="002A0359" w:rsidP="002672A0">
      <w:pPr>
        <w:numPr>
          <w:ilvl w:val="0"/>
          <w:numId w:val="30"/>
        </w:numPr>
        <w:rPr>
          <w:rFonts w:ascii="Arial" w:hAnsi="Arial" w:cs="Arial"/>
        </w:rPr>
      </w:pPr>
      <w:r w:rsidRPr="007F0B8F">
        <w:rPr>
          <w:rFonts w:ascii="Arial" w:hAnsi="Arial" w:cs="Arial"/>
          <w:lang w:val="en-US"/>
        </w:rPr>
        <w:t xml:space="preserve">Reduced error rates </w:t>
      </w:r>
      <w:r w:rsidR="005E2196" w:rsidRPr="007F0B8F">
        <w:rPr>
          <w:rFonts w:ascii="Arial" w:hAnsi="Arial" w:cs="Arial"/>
          <w:lang w:val="en-US"/>
        </w:rPr>
        <w:t>and reduced amount of</w:t>
      </w:r>
      <w:r w:rsidRPr="007F0B8F">
        <w:rPr>
          <w:rFonts w:ascii="Arial" w:hAnsi="Arial" w:cs="Arial"/>
          <w:lang w:val="en-US"/>
        </w:rPr>
        <w:t xml:space="preserve"> ineligible </w:t>
      </w:r>
      <w:proofErr w:type="gramStart"/>
      <w:r w:rsidRPr="007F0B8F">
        <w:rPr>
          <w:rFonts w:ascii="Arial" w:hAnsi="Arial" w:cs="Arial"/>
          <w:lang w:val="en-US"/>
        </w:rPr>
        <w:t>costs</w:t>
      </w:r>
      <w:r w:rsidR="005E2196" w:rsidRPr="007F0B8F">
        <w:rPr>
          <w:rFonts w:ascii="Arial" w:hAnsi="Arial" w:cs="Arial"/>
          <w:lang w:val="en-US"/>
        </w:rPr>
        <w:t>;</w:t>
      </w:r>
      <w:proofErr w:type="gramEnd"/>
      <w:r w:rsidRPr="007F0B8F">
        <w:rPr>
          <w:rFonts w:ascii="Arial" w:hAnsi="Arial" w:cs="Arial"/>
          <w:lang w:val="en-US"/>
        </w:rPr>
        <w:t xml:space="preserve"> </w:t>
      </w:r>
    </w:p>
    <w:p w14:paraId="74598EBE" w14:textId="77777777" w:rsidR="00DF2591" w:rsidRPr="007F0B8F" w:rsidRDefault="002A0359" w:rsidP="002672A0">
      <w:pPr>
        <w:numPr>
          <w:ilvl w:val="0"/>
          <w:numId w:val="30"/>
        </w:numPr>
        <w:rPr>
          <w:rFonts w:ascii="Arial" w:hAnsi="Arial" w:cs="Arial"/>
        </w:rPr>
      </w:pPr>
      <w:r w:rsidRPr="007F0B8F">
        <w:rPr>
          <w:rFonts w:ascii="Arial" w:hAnsi="Arial" w:cs="Arial"/>
          <w:lang w:val="en-US"/>
        </w:rPr>
        <w:t>Timely corrections</w:t>
      </w:r>
      <w:r w:rsidR="005E2196" w:rsidRPr="007F0B8F">
        <w:rPr>
          <w:rFonts w:ascii="Arial" w:hAnsi="Arial" w:cs="Arial"/>
          <w:lang w:val="en-US"/>
        </w:rPr>
        <w:t xml:space="preserve"> of the potential errors at ex-ante </w:t>
      </w:r>
      <w:proofErr w:type="gramStart"/>
      <w:r w:rsidR="005E2196" w:rsidRPr="007F0B8F">
        <w:rPr>
          <w:rFonts w:ascii="Arial" w:hAnsi="Arial" w:cs="Arial"/>
          <w:lang w:val="en-US"/>
        </w:rPr>
        <w:t>level;</w:t>
      </w:r>
      <w:proofErr w:type="gramEnd"/>
      <w:r w:rsidR="005E2196" w:rsidRPr="007F0B8F">
        <w:rPr>
          <w:rFonts w:ascii="Arial" w:hAnsi="Arial" w:cs="Arial"/>
          <w:lang w:val="en-US"/>
        </w:rPr>
        <w:t xml:space="preserve"> e.g. an average duration of the entire exercise from the moment of identification of the risky beneficiary until the </w:t>
      </w:r>
      <w:r w:rsidR="005E2196" w:rsidRPr="007F0B8F">
        <w:rPr>
          <w:rFonts w:ascii="Arial" w:hAnsi="Arial" w:cs="Arial"/>
          <w:lang w:val="en-US"/>
        </w:rPr>
        <w:lastRenderedPageBreak/>
        <w:t>closure of a follow up action was 6 months as compared to an average duration of a risk-based audit (moment of identification until the Letter of Conclusion for a duration of 24-36 months).</w:t>
      </w:r>
    </w:p>
    <w:p w14:paraId="2AC606C3" w14:textId="13D86C93" w:rsidR="00DF2591" w:rsidRPr="007F0B8F" w:rsidRDefault="002A0359" w:rsidP="002672A0">
      <w:pPr>
        <w:numPr>
          <w:ilvl w:val="0"/>
          <w:numId w:val="31"/>
        </w:numPr>
        <w:rPr>
          <w:rFonts w:ascii="Arial" w:hAnsi="Arial" w:cs="Arial"/>
        </w:rPr>
      </w:pPr>
      <w:r w:rsidRPr="007F0B8F">
        <w:rPr>
          <w:rFonts w:ascii="Arial" w:hAnsi="Arial" w:cs="Arial"/>
          <w:b/>
          <w:bCs/>
          <w:lang w:val="en-US"/>
        </w:rPr>
        <w:t xml:space="preserve">QUALITATIVE </w:t>
      </w:r>
      <w:r w:rsidR="005E2196" w:rsidRPr="007F0B8F">
        <w:rPr>
          <w:rFonts w:ascii="Arial" w:hAnsi="Arial" w:cs="Arial"/>
          <w:b/>
          <w:bCs/>
          <w:lang w:val="en-US"/>
        </w:rPr>
        <w:t xml:space="preserve">BENEFITS </w:t>
      </w:r>
      <w:r w:rsidR="00B04F9C" w:rsidRPr="007F0B8F">
        <w:rPr>
          <w:rFonts w:ascii="Arial" w:hAnsi="Arial" w:cs="Arial"/>
          <w:b/>
          <w:bCs/>
          <w:lang w:val="en-US"/>
        </w:rPr>
        <w:t>of</w:t>
      </w:r>
      <w:r w:rsidR="005E2196" w:rsidRPr="007F0B8F">
        <w:rPr>
          <w:rFonts w:ascii="Arial" w:hAnsi="Arial" w:cs="Arial"/>
          <w:b/>
          <w:bCs/>
          <w:lang w:val="en-US"/>
        </w:rPr>
        <w:t xml:space="preserve"> reinforced ex-ante controls via ex-ante webinars </w:t>
      </w:r>
      <w:r w:rsidRPr="007F0B8F">
        <w:rPr>
          <w:rFonts w:ascii="Arial" w:hAnsi="Arial" w:cs="Arial"/>
          <w:b/>
          <w:bCs/>
          <w:lang w:val="en-US"/>
        </w:rPr>
        <w:t xml:space="preserve">- &gt;  </w:t>
      </w:r>
    </w:p>
    <w:p w14:paraId="09FE2482" w14:textId="77777777" w:rsidR="00DF2591" w:rsidRPr="007F0B8F" w:rsidRDefault="002A0359" w:rsidP="002672A0">
      <w:pPr>
        <w:numPr>
          <w:ilvl w:val="0"/>
          <w:numId w:val="32"/>
        </w:numPr>
        <w:rPr>
          <w:rFonts w:ascii="Arial" w:hAnsi="Arial" w:cs="Arial"/>
        </w:rPr>
      </w:pPr>
      <w:r w:rsidRPr="007F0B8F">
        <w:rPr>
          <w:rFonts w:ascii="Arial" w:hAnsi="Arial" w:cs="Arial"/>
          <w:lang w:val="en-US"/>
        </w:rPr>
        <w:t xml:space="preserve">Preventive measure with a long term </w:t>
      </w:r>
      <w:proofErr w:type="gramStart"/>
      <w:r w:rsidRPr="007F0B8F">
        <w:rPr>
          <w:rFonts w:ascii="Arial" w:hAnsi="Arial" w:cs="Arial"/>
          <w:lang w:val="en-US"/>
        </w:rPr>
        <w:t>effect</w:t>
      </w:r>
      <w:r w:rsidR="005E2196" w:rsidRPr="007F0B8F">
        <w:rPr>
          <w:rFonts w:ascii="Arial" w:hAnsi="Arial" w:cs="Arial"/>
          <w:lang w:val="en-US"/>
        </w:rPr>
        <w:t>;</w:t>
      </w:r>
      <w:proofErr w:type="gramEnd"/>
    </w:p>
    <w:p w14:paraId="75CB5582" w14:textId="77777777" w:rsidR="00DF2591" w:rsidRPr="007F0B8F" w:rsidRDefault="002A0359" w:rsidP="002672A0">
      <w:pPr>
        <w:numPr>
          <w:ilvl w:val="0"/>
          <w:numId w:val="32"/>
        </w:numPr>
        <w:rPr>
          <w:rFonts w:ascii="Arial" w:hAnsi="Arial" w:cs="Arial"/>
        </w:rPr>
      </w:pPr>
      <w:r w:rsidRPr="007F0B8F">
        <w:rPr>
          <w:rFonts w:ascii="Arial" w:hAnsi="Arial" w:cs="Arial"/>
          <w:lang w:val="en-US"/>
        </w:rPr>
        <w:t xml:space="preserve">Learning for both </w:t>
      </w:r>
      <w:r w:rsidR="005E2196" w:rsidRPr="007F0B8F">
        <w:rPr>
          <w:rFonts w:ascii="Arial" w:hAnsi="Arial" w:cs="Arial"/>
          <w:lang w:val="en-US"/>
        </w:rPr>
        <w:t>grant officers and</w:t>
      </w:r>
      <w:r w:rsidRPr="007F0B8F">
        <w:rPr>
          <w:rFonts w:ascii="Arial" w:hAnsi="Arial" w:cs="Arial"/>
          <w:lang w:val="en-US"/>
        </w:rPr>
        <w:t xml:space="preserve"> </w:t>
      </w:r>
      <w:proofErr w:type="gramStart"/>
      <w:r w:rsidRPr="007F0B8F">
        <w:rPr>
          <w:rFonts w:ascii="Arial" w:hAnsi="Arial" w:cs="Arial"/>
          <w:lang w:val="en-US"/>
        </w:rPr>
        <w:t>beneficiaries</w:t>
      </w:r>
      <w:r w:rsidR="005E2196" w:rsidRPr="007F0B8F">
        <w:rPr>
          <w:rFonts w:ascii="Arial" w:hAnsi="Arial" w:cs="Arial"/>
          <w:lang w:val="en-US"/>
        </w:rPr>
        <w:t>;</w:t>
      </w:r>
      <w:proofErr w:type="gramEnd"/>
    </w:p>
    <w:p w14:paraId="149C449B" w14:textId="3914B759" w:rsidR="005E2196" w:rsidRPr="00410071" w:rsidRDefault="002A0359" w:rsidP="002672A0">
      <w:pPr>
        <w:numPr>
          <w:ilvl w:val="0"/>
          <w:numId w:val="32"/>
        </w:numPr>
        <w:rPr>
          <w:rFonts w:ascii="Arial" w:hAnsi="Arial" w:cs="Arial"/>
        </w:rPr>
      </w:pPr>
      <w:r w:rsidRPr="007F0B8F">
        <w:rPr>
          <w:rFonts w:ascii="Arial" w:hAnsi="Arial" w:cs="Arial"/>
          <w:lang w:val="en-US"/>
        </w:rPr>
        <w:t xml:space="preserve">Reinforced teamwork </w:t>
      </w:r>
      <w:r w:rsidR="005E2196" w:rsidRPr="007F0B8F">
        <w:rPr>
          <w:rFonts w:ascii="Arial" w:hAnsi="Arial" w:cs="Arial"/>
          <w:lang w:val="en-US"/>
        </w:rPr>
        <w:t>and cooperation among officers with technical and financial knowledge.</w:t>
      </w:r>
    </w:p>
    <w:p w14:paraId="6ACAA6BF" w14:textId="7509D1CB" w:rsidR="00410071" w:rsidRPr="007F0B8F" w:rsidRDefault="00410071" w:rsidP="00410071">
      <w:pPr>
        <w:jc w:val="both"/>
        <w:rPr>
          <w:rFonts w:ascii="Arial" w:hAnsi="Arial" w:cs="Arial"/>
        </w:rPr>
      </w:pPr>
      <w:r>
        <w:rPr>
          <w:rFonts w:ascii="Arial" w:hAnsi="Arial" w:cs="Arial"/>
          <w:lang w:val="en-US"/>
        </w:rPr>
        <w:t xml:space="preserve">Thanks to positive results in terms or error rates reductions and encouraging feedback received from the beneficiaries on this initiative, </w:t>
      </w:r>
      <w:r w:rsidR="007F5917">
        <w:rPr>
          <w:rFonts w:ascii="Arial" w:hAnsi="Arial" w:cs="Arial"/>
          <w:lang w:val="en-US"/>
        </w:rPr>
        <w:t xml:space="preserve">the </w:t>
      </w:r>
      <w:r>
        <w:rPr>
          <w:rFonts w:ascii="Arial" w:hAnsi="Arial" w:cs="Arial"/>
          <w:lang w:val="en-US"/>
        </w:rPr>
        <w:t xml:space="preserve">JU will continue with the reinforced risk-based controls in 2022, </w:t>
      </w:r>
      <w:r w:rsidR="004A6A3A">
        <w:rPr>
          <w:rFonts w:ascii="Arial" w:hAnsi="Arial" w:cs="Arial"/>
          <w:lang w:val="en-US"/>
        </w:rPr>
        <w:t>with aid of reinforced monitoring tool available in the corporate COMPASS / SYGMA system for H2020 grants management.</w:t>
      </w:r>
    </w:p>
    <w:p w14:paraId="65331108" w14:textId="77777777" w:rsidR="00755F48" w:rsidRPr="007F0B8F" w:rsidRDefault="00755F48" w:rsidP="00755F48">
      <w:pPr>
        <w:spacing w:after="215" w:line="259" w:lineRule="auto"/>
        <w:ind w:left="2" w:hanging="10"/>
        <w:jc w:val="both"/>
        <w:rPr>
          <w:rFonts w:ascii="Arial" w:hAnsi="Arial" w:cs="Arial"/>
          <w:i/>
          <w:color w:val="3A5FAC"/>
        </w:rPr>
      </w:pPr>
      <w:r w:rsidRPr="007F0B8F">
        <w:rPr>
          <w:rFonts w:ascii="Arial" w:hAnsi="Arial" w:cs="Arial"/>
          <w:i/>
          <w:color w:val="3A5FAC"/>
        </w:rPr>
        <w:t>COST OF CONTROLS</w:t>
      </w:r>
    </w:p>
    <w:p w14:paraId="732159A9" w14:textId="5AC7C43B" w:rsidR="00755F48" w:rsidRPr="007F0B8F" w:rsidRDefault="00755F48" w:rsidP="00B04F9C">
      <w:pPr>
        <w:jc w:val="both"/>
        <w:rPr>
          <w:rFonts w:ascii="Arial" w:hAnsi="Arial" w:cs="Arial"/>
          <w:lang w:val="en-IE"/>
        </w:rPr>
      </w:pPr>
      <w:r w:rsidRPr="007F0B8F">
        <w:rPr>
          <w:rFonts w:ascii="Arial" w:hAnsi="Arial" w:cs="Arial"/>
          <w:lang w:val="en-IE"/>
        </w:rPr>
        <w:t>Recently re-adopted</w:t>
      </w:r>
      <w:r w:rsidRPr="007F0B8F">
        <w:rPr>
          <w:rStyle w:val="FootnoteReference"/>
          <w:rFonts w:ascii="Arial" w:hAnsi="Arial" w:cs="Arial"/>
          <w:lang w:val="en-IE"/>
        </w:rPr>
        <w:footnoteReference w:id="110"/>
      </w:r>
      <w:r w:rsidRPr="007F0B8F">
        <w:rPr>
          <w:rFonts w:ascii="Arial" w:hAnsi="Arial" w:cs="Arial"/>
          <w:lang w:val="en-IE"/>
        </w:rPr>
        <w:t xml:space="preserve"> Financial Rules of the JU envisaged that the annual activity report shall indicate the results of efficiency and effectiveness of the internal control systems, including an </w:t>
      </w:r>
      <w:r w:rsidRPr="007F0B8F">
        <w:rPr>
          <w:rFonts w:ascii="Arial" w:hAnsi="Arial" w:cs="Arial"/>
          <w:b/>
          <w:bCs/>
          <w:lang w:val="en-IE"/>
        </w:rPr>
        <w:t>overall assessment of the costs and benefits of controls</w:t>
      </w:r>
      <w:r w:rsidRPr="007F0B8F">
        <w:rPr>
          <w:rFonts w:ascii="Arial" w:hAnsi="Arial" w:cs="Arial"/>
          <w:lang w:val="en-IE"/>
        </w:rPr>
        <w:t>.</w:t>
      </w:r>
    </w:p>
    <w:p w14:paraId="6179AEF7" w14:textId="77777777" w:rsidR="00755F48" w:rsidRPr="007F0B8F" w:rsidRDefault="00755F48" w:rsidP="00B04F9C">
      <w:pPr>
        <w:jc w:val="both"/>
        <w:rPr>
          <w:rFonts w:ascii="Arial" w:hAnsi="Arial" w:cs="Arial"/>
          <w:lang w:val="en-IE"/>
        </w:rPr>
      </w:pPr>
      <w:r w:rsidRPr="007F0B8F">
        <w:rPr>
          <w:rFonts w:ascii="Arial" w:hAnsi="Arial" w:cs="Arial"/>
          <w:lang w:val="en-IE"/>
        </w:rPr>
        <w:t xml:space="preserve">The </w:t>
      </w:r>
      <w:r w:rsidRPr="007F0B8F">
        <w:rPr>
          <w:rFonts w:ascii="Arial" w:hAnsi="Arial" w:cs="Arial"/>
          <w:b/>
          <w:bCs/>
          <w:lang w:val="en-IE"/>
        </w:rPr>
        <w:t>principle of efficiency</w:t>
      </w:r>
      <w:r w:rsidRPr="007F0B8F">
        <w:rPr>
          <w:rFonts w:ascii="Arial" w:hAnsi="Arial" w:cs="Arial"/>
          <w:lang w:val="en-IE"/>
        </w:rPr>
        <w:t xml:space="preserve"> concerns the best relationship between resources employed and results achieved. The </w:t>
      </w:r>
      <w:r w:rsidRPr="007F0B8F">
        <w:rPr>
          <w:rFonts w:ascii="Arial" w:hAnsi="Arial" w:cs="Arial"/>
          <w:b/>
          <w:bCs/>
          <w:lang w:val="en-IE"/>
        </w:rPr>
        <w:t>principle of effectiveness</w:t>
      </w:r>
      <w:r w:rsidRPr="007F0B8F">
        <w:rPr>
          <w:rFonts w:ascii="Arial" w:hAnsi="Arial" w:cs="Arial"/>
          <w:lang w:val="en-IE"/>
        </w:rPr>
        <w:t xml:space="preserve"> concerns the attainment of the specific objectives set and the achievement of the intended results.</w:t>
      </w:r>
    </w:p>
    <w:p w14:paraId="143A1C44" w14:textId="77777777" w:rsidR="00755F48" w:rsidRPr="007F0B8F" w:rsidRDefault="00755F48" w:rsidP="00755F48">
      <w:pPr>
        <w:rPr>
          <w:rFonts w:ascii="Arial" w:hAnsi="Arial" w:cs="Arial"/>
          <w:b/>
          <w:bCs/>
          <w:lang w:val="en-IE"/>
        </w:rPr>
      </w:pPr>
      <w:r w:rsidRPr="007F0B8F">
        <w:rPr>
          <w:rFonts w:ascii="Arial" w:hAnsi="Arial" w:cs="Arial"/>
          <w:b/>
          <w:bCs/>
          <w:lang w:val="en-IE"/>
        </w:rPr>
        <w:t>EFFICIENCY &amp; EFFECTIVENESS</w:t>
      </w:r>
    </w:p>
    <w:p w14:paraId="145B0AB6" w14:textId="77777777" w:rsidR="00755F48" w:rsidRPr="007F0B8F" w:rsidRDefault="00755F48" w:rsidP="00B04F9C">
      <w:pPr>
        <w:jc w:val="both"/>
        <w:rPr>
          <w:rFonts w:ascii="Arial" w:hAnsi="Arial" w:cs="Arial"/>
          <w:lang w:val="en-IE"/>
        </w:rPr>
      </w:pPr>
      <w:r w:rsidRPr="007F0B8F">
        <w:rPr>
          <w:rFonts w:ascii="Arial" w:hAnsi="Arial" w:cs="Arial"/>
          <w:lang w:val="en-IE"/>
        </w:rPr>
        <w:t xml:space="preserve">In order to demonstrate effective &amp; efficient use of resources in order to achieve application of sound financial management in all ongoing projects as </w:t>
      </w:r>
      <w:proofErr w:type="gramStart"/>
      <w:r w:rsidRPr="007F0B8F">
        <w:rPr>
          <w:rFonts w:ascii="Arial" w:hAnsi="Arial" w:cs="Arial"/>
          <w:lang w:val="en-IE"/>
        </w:rPr>
        <w:t>at</w:t>
      </w:r>
      <w:proofErr w:type="gramEnd"/>
      <w:r w:rsidRPr="007F0B8F">
        <w:rPr>
          <w:rFonts w:ascii="Arial" w:hAnsi="Arial" w:cs="Arial"/>
          <w:lang w:val="en-IE"/>
        </w:rPr>
        <w:t xml:space="preserve"> 31 December 2021, the following relationship between cost of ex-ante controls (FTE estimate) over the operational expenditure in 2021 was considered:</w:t>
      </w:r>
    </w:p>
    <w:tbl>
      <w:tblPr>
        <w:tblW w:w="10160" w:type="dxa"/>
        <w:tblCellMar>
          <w:left w:w="0" w:type="dxa"/>
          <w:right w:w="0" w:type="dxa"/>
        </w:tblCellMar>
        <w:tblLook w:val="0420" w:firstRow="1" w:lastRow="0" w:firstColumn="0" w:lastColumn="0" w:noHBand="0" w:noVBand="1"/>
      </w:tblPr>
      <w:tblGrid>
        <w:gridCol w:w="2665"/>
        <w:gridCol w:w="2224"/>
        <w:gridCol w:w="3467"/>
        <w:gridCol w:w="1804"/>
      </w:tblGrid>
      <w:tr w:rsidR="00755F48" w:rsidRPr="007F0B8F" w14:paraId="1CDDF148" w14:textId="77777777" w:rsidTr="00DF2591">
        <w:trPr>
          <w:trHeight w:val="584"/>
        </w:trPr>
        <w:tc>
          <w:tcPr>
            <w:tcW w:w="2660"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03B6AFD4" w14:textId="77777777" w:rsidR="00755F48" w:rsidRPr="007F0B8F" w:rsidRDefault="00755F48" w:rsidP="00DF2591">
            <w:pPr>
              <w:rPr>
                <w:rFonts w:ascii="Arial" w:hAnsi="Arial" w:cs="Arial"/>
              </w:rPr>
            </w:pPr>
            <w:bookmarkStart w:id="182" w:name="_Hlk98347608"/>
            <w:r w:rsidRPr="007F0B8F">
              <w:rPr>
                <w:rFonts w:ascii="Arial" w:hAnsi="Arial" w:cs="Arial"/>
                <w:b/>
                <w:bCs/>
              </w:rPr>
              <w:t>EFFICIENCY and EFFECTIVENESS OF CONTROLS as at December 2021</w:t>
            </w:r>
          </w:p>
        </w:tc>
        <w:tc>
          <w:tcPr>
            <w:tcW w:w="2220"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128404FA" w14:textId="77777777" w:rsidR="00755F48" w:rsidRPr="007F0B8F" w:rsidRDefault="00755F48" w:rsidP="00DF2591">
            <w:pPr>
              <w:rPr>
                <w:rFonts w:ascii="Arial" w:hAnsi="Arial" w:cs="Arial"/>
              </w:rPr>
            </w:pPr>
            <w:r w:rsidRPr="007F0B8F">
              <w:rPr>
                <w:rFonts w:ascii="Arial" w:hAnsi="Arial" w:cs="Arial"/>
                <w:b/>
                <w:bCs/>
              </w:rPr>
              <w:t>Operational expenditure / running grants</w:t>
            </w:r>
          </w:p>
        </w:tc>
        <w:tc>
          <w:tcPr>
            <w:tcW w:w="3460"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6DBF9DB2" w14:textId="77777777" w:rsidR="00755F48" w:rsidRPr="007F0B8F" w:rsidRDefault="00755F48" w:rsidP="00DF2591">
            <w:pPr>
              <w:rPr>
                <w:rFonts w:ascii="Arial" w:hAnsi="Arial" w:cs="Arial"/>
              </w:rPr>
            </w:pPr>
            <w:r w:rsidRPr="007F0B8F">
              <w:rPr>
                <w:rFonts w:ascii="Arial" w:hAnsi="Arial" w:cs="Arial"/>
                <w:b/>
                <w:bCs/>
              </w:rPr>
              <w:t>Cost of FTEs in EUR</w:t>
            </w:r>
          </w:p>
          <w:p w14:paraId="6B119C50" w14:textId="77777777" w:rsidR="00755F48" w:rsidRPr="00792B39" w:rsidRDefault="00755F48" w:rsidP="00DF2591">
            <w:pPr>
              <w:rPr>
                <w:rFonts w:ascii="Arial" w:hAnsi="Arial" w:cs="Arial"/>
                <w:lang w:val="fr-BE"/>
              </w:rPr>
            </w:pPr>
            <w:r w:rsidRPr="007F0B8F">
              <w:rPr>
                <w:rFonts w:ascii="Arial" w:hAnsi="Arial" w:cs="Arial"/>
                <w:b/>
                <w:bCs/>
              </w:rPr>
              <w:t xml:space="preserve"> </w:t>
            </w:r>
            <w:r w:rsidRPr="00792B39">
              <w:rPr>
                <w:rFonts w:ascii="Arial" w:hAnsi="Arial" w:cs="Arial"/>
                <w:b/>
                <w:bCs/>
                <w:lang w:val="fr-BE"/>
              </w:rPr>
              <w:t>/ FTEs in ex-ante &amp; ex-</w:t>
            </w:r>
            <w:proofErr w:type="gramStart"/>
            <w:r w:rsidRPr="00792B39">
              <w:rPr>
                <w:rFonts w:ascii="Arial" w:hAnsi="Arial" w:cs="Arial"/>
                <w:b/>
                <w:bCs/>
                <w:lang w:val="fr-BE"/>
              </w:rPr>
              <w:t>post  controls</w:t>
            </w:r>
            <w:proofErr w:type="gramEnd"/>
            <w:r w:rsidRPr="00792B39">
              <w:rPr>
                <w:rFonts w:ascii="Arial" w:hAnsi="Arial" w:cs="Arial"/>
                <w:b/>
                <w:bCs/>
                <w:lang w:val="fr-BE"/>
              </w:rPr>
              <w:t xml:space="preserve"> – estimated</w:t>
            </w:r>
          </w:p>
        </w:tc>
        <w:tc>
          <w:tcPr>
            <w:tcW w:w="1800"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1DA6A393" w14:textId="77777777" w:rsidR="00755F48" w:rsidRPr="007F0B8F" w:rsidRDefault="00755F48" w:rsidP="00DF2591">
            <w:pPr>
              <w:rPr>
                <w:rFonts w:ascii="Arial" w:hAnsi="Arial" w:cs="Arial"/>
              </w:rPr>
            </w:pPr>
            <w:r w:rsidRPr="007F0B8F">
              <w:rPr>
                <w:rFonts w:ascii="Arial" w:hAnsi="Arial" w:cs="Arial"/>
                <w:b/>
                <w:bCs/>
              </w:rPr>
              <w:t>In % on average</w:t>
            </w:r>
          </w:p>
        </w:tc>
      </w:tr>
      <w:tr w:rsidR="00755F48" w:rsidRPr="007F0B8F" w14:paraId="5932070D" w14:textId="77777777" w:rsidTr="00DF2591">
        <w:trPr>
          <w:trHeight w:val="584"/>
        </w:trPr>
        <w:tc>
          <w:tcPr>
            <w:tcW w:w="2660"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097E1773" w14:textId="77777777" w:rsidR="00755F48" w:rsidRPr="007F0B8F" w:rsidRDefault="00755F48" w:rsidP="00DF2591">
            <w:pPr>
              <w:rPr>
                <w:rFonts w:ascii="Arial" w:hAnsi="Arial" w:cs="Arial"/>
              </w:rPr>
            </w:pPr>
            <w:r w:rsidRPr="007F0B8F">
              <w:rPr>
                <w:rFonts w:ascii="Arial" w:hAnsi="Arial" w:cs="Arial"/>
              </w:rPr>
              <w:t>Operational expenditure for 2021 in EUR</w:t>
            </w:r>
          </w:p>
        </w:tc>
        <w:tc>
          <w:tcPr>
            <w:tcW w:w="2220"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45564469" w14:textId="4E28180F" w:rsidR="007E1E15" w:rsidRPr="007F0B8F" w:rsidRDefault="007E1E15" w:rsidP="00DF2591">
            <w:pPr>
              <w:rPr>
                <w:rFonts w:ascii="Arial" w:hAnsi="Arial" w:cs="Arial"/>
              </w:rPr>
            </w:pPr>
            <w:r w:rsidRPr="007E1E15">
              <w:rPr>
                <w:rFonts w:ascii="Arial" w:hAnsi="Arial" w:cs="Arial"/>
              </w:rPr>
              <w:t>95,868</w:t>
            </w:r>
            <w:r>
              <w:rPr>
                <w:rFonts w:ascii="Arial" w:hAnsi="Arial" w:cs="Arial"/>
              </w:rPr>
              <w:t>.</w:t>
            </w:r>
            <w:r w:rsidRPr="007E1E15">
              <w:rPr>
                <w:rFonts w:ascii="Arial" w:hAnsi="Arial" w:cs="Arial"/>
              </w:rPr>
              <w:t>82</w:t>
            </w:r>
            <w:r>
              <w:rPr>
                <w:rFonts w:ascii="Arial" w:hAnsi="Arial" w:cs="Arial"/>
              </w:rPr>
              <w:t>5</w:t>
            </w:r>
          </w:p>
        </w:tc>
        <w:tc>
          <w:tcPr>
            <w:tcW w:w="3460"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198B3B60" w14:textId="218FAABC" w:rsidR="00755F48" w:rsidRPr="007F0B8F" w:rsidRDefault="007E1E15" w:rsidP="00DF2591">
            <w:pPr>
              <w:rPr>
                <w:rFonts w:ascii="Arial" w:hAnsi="Arial" w:cs="Arial"/>
              </w:rPr>
            </w:pPr>
            <w:r>
              <w:rPr>
                <w:rFonts w:ascii="Arial" w:hAnsi="Arial" w:cs="Arial"/>
              </w:rPr>
              <w:t>1,020.500</w:t>
            </w:r>
            <w:r w:rsidR="009E2934" w:rsidRPr="007F0B8F">
              <w:rPr>
                <w:rStyle w:val="FootnoteReference"/>
                <w:rFonts w:ascii="Arial" w:hAnsi="Arial" w:cs="Arial"/>
              </w:rPr>
              <w:footnoteReference w:id="111"/>
            </w:r>
          </w:p>
        </w:tc>
        <w:tc>
          <w:tcPr>
            <w:tcW w:w="1800"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1D1EAB29" w14:textId="1F95C178" w:rsidR="007E1E15" w:rsidRDefault="007E1E15" w:rsidP="00DF2591">
            <w:pPr>
              <w:rPr>
                <w:rFonts w:ascii="Arial" w:hAnsi="Arial" w:cs="Arial"/>
              </w:rPr>
            </w:pPr>
          </w:p>
          <w:p w14:paraId="0D719371" w14:textId="34695F45" w:rsidR="00755F48" w:rsidRPr="007F0B8F" w:rsidRDefault="007E1E15" w:rsidP="00DF2591">
            <w:pPr>
              <w:rPr>
                <w:rFonts w:ascii="Arial" w:hAnsi="Arial" w:cs="Arial"/>
              </w:rPr>
            </w:pPr>
            <w:r>
              <w:rPr>
                <w:rFonts w:ascii="Arial" w:hAnsi="Arial" w:cs="Arial"/>
              </w:rPr>
              <w:t>1.06</w:t>
            </w:r>
            <w:r w:rsidR="00755F48" w:rsidRPr="007F0B8F">
              <w:rPr>
                <w:rFonts w:ascii="Arial" w:hAnsi="Arial" w:cs="Arial"/>
              </w:rPr>
              <w:t>%</w:t>
            </w:r>
          </w:p>
        </w:tc>
      </w:tr>
      <w:tr w:rsidR="00755F48" w:rsidRPr="007F0B8F" w14:paraId="1B414B3A" w14:textId="77777777" w:rsidTr="00DF2591">
        <w:trPr>
          <w:trHeight w:val="584"/>
        </w:trPr>
        <w:tc>
          <w:tcPr>
            <w:tcW w:w="2660"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6F4575FB" w14:textId="77777777" w:rsidR="00755F48" w:rsidRPr="007F0B8F" w:rsidRDefault="00755F48" w:rsidP="00DF2591">
            <w:pPr>
              <w:rPr>
                <w:rFonts w:ascii="Arial" w:hAnsi="Arial" w:cs="Arial"/>
              </w:rPr>
            </w:pPr>
            <w:r w:rsidRPr="007F0B8F">
              <w:rPr>
                <w:rFonts w:ascii="Arial" w:hAnsi="Arial" w:cs="Arial"/>
              </w:rPr>
              <w:lastRenderedPageBreak/>
              <w:t xml:space="preserve">Number of running grants as </w:t>
            </w:r>
            <w:proofErr w:type="gramStart"/>
            <w:r w:rsidRPr="007F0B8F">
              <w:rPr>
                <w:rFonts w:ascii="Arial" w:hAnsi="Arial" w:cs="Arial"/>
              </w:rPr>
              <w:t>at</w:t>
            </w:r>
            <w:proofErr w:type="gramEnd"/>
            <w:r w:rsidRPr="007F0B8F">
              <w:rPr>
                <w:rFonts w:ascii="Arial" w:hAnsi="Arial" w:cs="Arial"/>
              </w:rPr>
              <w:t xml:space="preserve"> 31 December 2021</w:t>
            </w:r>
          </w:p>
        </w:tc>
        <w:tc>
          <w:tcPr>
            <w:tcW w:w="2220"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56CC0C7A" w14:textId="77777777" w:rsidR="00755F48" w:rsidRPr="007F0B8F" w:rsidRDefault="00755F48" w:rsidP="00DF2591">
            <w:pPr>
              <w:rPr>
                <w:rFonts w:ascii="Arial" w:hAnsi="Arial" w:cs="Arial"/>
              </w:rPr>
            </w:pPr>
            <w:r w:rsidRPr="007F0B8F">
              <w:rPr>
                <w:rFonts w:ascii="Arial" w:hAnsi="Arial" w:cs="Arial"/>
              </w:rPr>
              <w:t>82</w:t>
            </w:r>
          </w:p>
        </w:tc>
        <w:tc>
          <w:tcPr>
            <w:tcW w:w="3460"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6D078C8B" w14:textId="4F2BE3E5" w:rsidR="00755F48" w:rsidRPr="007F0B8F" w:rsidRDefault="007E1E15" w:rsidP="00DF2591">
            <w:pPr>
              <w:rPr>
                <w:rFonts w:ascii="Arial" w:hAnsi="Arial" w:cs="Arial"/>
              </w:rPr>
            </w:pPr>
            <w:r>
              <w:rPr>
                <w:rFonts w:ascii="Arial" w:hAnsi="Arial" w:cs="Arial"/>
              </w:rPr>
              <w:t>6</w:t>
            </w:r>
            <w:r w:rsidR="00755F48" w:rsidRPr="007F0B8F">
              <w:rPr>
                <w:rFonts w:ascii="Arial" w:hAnsi="Arial" w:cs="Arial"/>
              </w:rPr>
              <w:t>.5</w:t>
            </w:r>
          </w:p>
        </w:tc>
        <w:tc>
          <w:tcPr>
            <w:tcW w:w="1800"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55A7A3BC" w14:textId="61D2B715" w:rsidR="00755F48" w:rsidRPr="007F0B8F" w:rsidRDefault="00755F48" w:rsidP="00DF2591">
            <w:pPr>
              <w:rPr>
                <w:rFonts w:ascii="Arial" w:hAnsi="Arial" w:cs="Arial"/>
              </w:rPr>
            </w:pPr>
            <w:r w:rsidRPr="007F0B8F">
              <w:rPr>
                <w:rFonts w:ascii="Arial" w:hAnsi="Arial" w:cs="Arial"/>
              </w:rPr>
              <w:t xml:space="preserve">1 FTE / </w:t>
            </w:r>
            <w:r w:rsidR="007E1E15">
              <w:rPr>
                <w:rFonts w:ascii="Arial" w:hAnsi="Arial" w:cs="Arial"/>
              </w:rPr>
              <w:t>12.5</w:t>
            </w:r>
            <w:r w:rsidR="007E1E15" w:rsidRPr="007F0B8F">
              <w:rPr>
                <w:rFonts w:ascii="Arial" w:hAnsi="Arial" w:cs="Arial"/>
              </w:rPr>
              <w:t xml:space="preserve"> </w:t>
            </w:r>
            <w:r w:rsidRPr="007F0B8F">
              <w:rPr>
                <w:rFonts w:ascii="Arial" w:hAnsi="Arial" w:cs="Arial"/>
              </w:rPr>
              <w:t>grant agreements</w:t>
            </w:r>
          </w:p>
        </w:tc>
      </w:tr>
      <w:bookmarkEnd w:id="182"/>
    </w:tbl>
    <w:p w14:paraId="32EFA113" w14:textId="77777777" w:rsidR="00755F48" w:rsidRPr="007F0B8F" w:rsidRDefault="00755F48" w:rsidP="00755F48">
      <w:pPr>
        <w:rPr>
          <w:rFonts w:ascii="Arial" w:hAnsi="Arial" w:cs="Arial"/>
          <w:lang w:val="en-IE"/>
        </w:rPr>
      </w:pPr>
    </w:p>
    <w:p w14:paraId="2E0327CD" w14:textId="71506D79" w:rsidR="00755F48" w:rsidRPr="007F0B8F" w:rsidRDefault="00755F48" w:rsidP="00B04F9C">
      <w:pPr>
        <w:jc w:val="both"/>
        <w:rPr>
          <w:rFonts w:ascii="Arial" w:hAnsi="Arial" w:cs="Arial"/>
          <w:lang w:val="en-IE"/>
        </w:rPr>
      </w:pPr>
      <w:r w:rsidRPr="007F0B8F">
        <w:rPr>
          <w:rFonts w:ascii="Arial" w:hAnsi="Arial" w:cs="Arial"/>
          <w:b/>
          <w:bCs/>
          <w:lang w:val="en-IE"/>
        </w:rPr>
        <w:t>The cost for controls represents 1.</w:t>
      </w:r>
      <w:r w:rsidR="007E1E15">
        <w:rPr>
          <w:rFonts w:ascii="Arial" w:hAnsi="Arial" w:cs="Arial"/>
          <w:b/>
          <w:bCs/>
          <w:lang w:val="en-IE"/>
        </w:rPr>
        <w:t>06</w:t>
      </w:r>
      <w:r w:rsidRPr="007F0B8F">
        <w:rPr>
          <w:rFonts w:ascii="Arial" w:hAnsi="Arial" w:cs="Arial"/>
          <w:b/>
          <w:bCs/>
          <w:lang w:val="en-IE"/>
        </w:rPr>
        <w:t>% of the JU operational expenditure in 2021</w:t>
      </w:r>
      <w:r w:rsidRPr="007F0B8F">
        <w:rPr>
          <w:rFonts w:ascii="Arial" w:hAnsi="Arial" w:cs="Arial"/>
          <w:lang w:val="en-IE"/>
        </w:rPr>
        <w:t xml:space="preserve"> and can be quantified as EUR </w:t>
      </w:r>
      <w:r w:rsidR="007E1E15">
        <w:rPr>
          <w:rFonts w:ascii="Arial" w:hAnsi="Arial" w:cs="Arial"/>
          <w:lang w:val="en-IE"/>
        </w:rPr>
        <w:t>12.445</w:t>
      </w:r>
      <w:r w:rsidRPr="007F0B8F">
        <w:rPr>
          <w:rFonts w:ascii="Arial" w:hAnsi="Arial" w:cs="Arial"/>
          <w:lang w:val="en-IE"/>
        </w:rPr>
        <w:t xml:space="preserve"> per a running Grant Agreement</w:t>
      </w:r>
      <w:r w:rsidR="007E1E15">
        <w:rPr>
          <w:rStyle w:val="FootnoteReference"/>
          <w:rFonts w:ascii="Arial" w:hAnsi="Arial" w:cs="Arial"/>
          <w:lang w:val="en-IE"/>
        </w:rPr>
        <w:footnoteReference w:id="112"/>
      </w:r>
      <w:r w:rsidRPr="007F0B8F">
        <w:rPr>
          <w:rFonts w:ascii="Arial" w:hAnsi="Arial" w:cs="Arial"/>
          <w:lang w:val="en-IE"/>
        </w:rPr>
        <w:t>.</w:t>
      </w:r>
    </w:p>
    <w:p w14:paraId="4A1AAB67" w14:textId="50D068C0" w:rsidR="00755F48" w:rsidRPr="007F0B8F" w:rsidRDefault="00755F48" w:rsidP="00B04F9C">
      <w:pPr>
        <w:jc w:val="both"/>
        <w:rPr>
          <w:rFonts w:ascii="Arial" w:hAnsi="Arial" w:cs="Arial"/>
          <w:lang w:val="en-IE"/>
        </w:rPr>
      </w:pPr>
      <w:r w:rsidRPr="007F0B8F">
        <w:rPr>
          <w:rFonts w:ascii="Arial" w:hAnsi="Arial" w:cs="Arial"/>
          <w:lang w:val="en-IE"/>
        </w:rPr>
        <w:t>As additional measure of effectiveness, we consider that the residual error rate shows a stable trend over the years, well below 2%</w:t>
      </w:r>
      <w:r w:rsidR="00A93385">
        <w:rPr>
          <w:rFonts w:ascii="Arial" w:hAnsi="Arial" w:cs="Arial"/>
          <w:lang w:val="en-IE"/>
        </w:rPr>
        <w:t xml:space="preserve">. In 2021 we were also able to </w:t>
      </w:r>
      <w:r w:rsidR="00101730" w:rsidRPr="007F0B8F">
        <w:rPr>
          <w:rFonts w:ascii="Arial" w:hAnsi="Arial" w:cs="Arial"/>
          <w:lang w:val="en-IE"/>
        </w:rPr>
        <w:t>demonstrate</w:t>
      </w:r>
      <w:r w:rsidR="00A93385">
        <w:rPr>
          <w:rFonts w:ascii="Arial" w:hAnsi="Arial" w:cs="Arial"/>
          <w:lang w:val="en-IE"/>
        </w:rPr>
        <w:t xml:space="preserve"> a </w:t>
      </w:r>
      <w:proofErr w:type="gramStart"/>
      <w:r w:rsidR="00A93385">
        <w:rPr>
          <w:rFonts w:ascii="Arial" w:hAnsi="Arial" w:cs="Arial"/>
          <w:lang w:val="en-IE"/>
        </w:rPr>
        <w:t xml:space="preserve">significant </w:t>
      </w:r>
      <w:r w:rsidR="00101730" w:rsidRPr="007F0B8F">
        <w:rPr>
          <w:rFonts w:ascii="Arial" w:hAnsi="Arial" w:cs="Arial"/>
          <w:lang w:val="en-IE"/>
        </w:rPr>
        <w:t xml:space="preserve"> decrease</w:t>
      </w:r>
      <w:proofErr w:type="gramEnd"/>
      <w:r w:rsidR="00101730" w:rsidRPr="007F0B8F">
        <w:rPr>
          <w:rFonts w:ascii="Arial" w:hAnsi="Arial" w:cs="Arial"/>
          <w:lang w:val="en-IE"/>
        </w:rPr>
        <w:t xml:space="preserve"> of the error rate with SMEs and newcomers after introduction of the</w:t>
      </w:r>
      <w:r w:rsidR="001122E3">
        <w:rPr>
          <w:rFonts w:ascii="Arial" w:hAnsi="Arial" w:cs="Arial"/>
          <w:lang w:val="en-IE"/>
        </w:rPr>
        <w:t xml:space="preserve"> </w:t>
      </w:r>
      <w:r w:rsidR="00101730" w:rsidRPr="007F0B8F">
        <w:rPr>
          <w:rFonts w:ascii="Arial" w:hAnsi="Arial" w:cs="Arial"/>
          <w:lang w:val="en-IE"/>
        </w:rPr>
        <w:t>targeted risk-based ex-ante webinars</w:t>
      </w:r>
      <w:r w:rsidR="00A93385">
        <w:rPr>
          <w:rFonts w:ascii="Arial" w:hAnsi="Arial" w:cs="Arial"/>
          <w:lang w:val="en-IE"/>
        </w:rPr>
        <w:t xml:space="preserve"> in 2020</w:t>
      </w:r>
      <w:r w:rsidR="00101730" w:rsidRPr="007F0B8F">
        <w:rPr>
          <w:rFonts w:ascii="Arial" w:hAnsi="Arial" w:cs="Arial"/>
          <w:lang w:val="en-IE"/>
        </w:rPr>
        <w:t>.</w:t>
      </w:r>
    </w:p>
    <w:p w14:paraId="7C2E76A4" w14:textId="77777777" w:rsidR="00755F48" w:rsidRPr="007F0B8F" w:rsidRDefault="00755F48" w:rsidP="00755F48">
      <w:pPr>
        <w:rPr>
          <w:rFonts w:ascii="Arial" w:hAnsi="Arial" w:cs="Arial"/>
          <w:b/>
          <w:bCs/>
          <w:lang w:val="en-IE"/>
        </w:rPr>
      </w:pPr>
      <w:r w:rsidRPr="007F0B8F">
        <w:rPr>
          <w:rFonts w:ascii="Arial" w:hAnsi="Arial" w:cs="Arial"/>
          <w:b/>
          <w:bCs/>
          <w:lang w:val="en-IE"/>
        </w:rPr>
        <w:t>COST AND BENEFITS</w:t>
      </w:r>
    </w:p>
    <w:p w14:paraId="1D8A64D2" w14:textId="3584ADF9" w:rsidR="00755F48" w:rsidRPr="007F0B8F" w:rsidRDefault="00755F48" w:rsidP="00755F48">
      <w:pPr>
        <w:rPr>
          <w:rFonts w:ascii="Arial" w:hAnsi="Arial" w:cs="Arial"/>
          <w:lang w:val="en-US"/>
        </w:rPr>
      </w:pPr>
      <w:r w:rsidRPr="007F0B8F">
        <w:rPr>
          <w:rFonts w:ascii="Arial" w:hAnsi="Arial" w:cs="Arial"/>
          <w:lang w:val="en-US"/>
        </w:rPr>
        <w:t>In the cost-benefit analysis, JU considered cost of controls employed at ex-ante and ex-post level vs. amount of recoveries and ineligible costs detected either during ex-ante or at ex-post level.</w:t>
      </w:r>
    </w:p>
    <w:p w14:paraId="614A8DDA" w14:textId="0B92E6D7" w:rsidR="00755F48" w:rsidRPr="007F0B8F" w:rsidRDefault="00755F48" w:rsidP="00755F48">
      <w:pPr>
        <w:rPr>
          <w:rFonts w:ascii="Arial" w:hAnsi="Arial" w:cs="Arial"/>
          <w:lang w:val="en-US"/>
        </w:rPr>
      </w:pPr>
      <w:r w:rsidRPr="007F0B8F">
        <w:rPr>
          <w:rFonts w:ascii="Arial" w:hAnsi="Arial" w:cs="Arial"/>
          <w:b/>
          <w:bCs/>
          <w:lang w:val="en-US"/>
        </w:rPr>
        <w:t>The ratio average cost/average benefit for one running project in 2021 is 1:1</w:t>
      </w:r>
      <w:r w:rsidR="00F6052E">
        <w:rPr>
          <w:rFonts w:ascii="Arial" w:hAnsi="Arial" w:cs="Arial"/>
          <w:b/>
          <w:bCs/>
          <w:lang w:val="en-US"/>
        </w:rPr>
        <w:t>3</w:t>
      </w:r>
      <w:r w:rsidRPr="007F0B8F">
        <w:rPr>
          <w:rFonts w:ascii="Arial" w:hAnsi="Arial" w:cs="Arial"/>
          <w:lang w:val="en-US"/>
        </w:rPr>
        <w:t xml:space="preserve"> and this is mainly due to the relatively high level of rejected costs.</w:t>
      </w:r>
    </w:p>
    <w:tbl>
      <w:tblPr>
        <w:tblW w:w="10180" w:type="dxa"/>
        <w:tblCellMar>
          <w:left w:w="0" w:type="dxa"/>
          <w:right w:w="0" w:type="dxa"/>
        </w:tblCellMar>
        <w:tblLook w:val="0420" w:firstRow="1" w:lastRow="0" w:firstColumn="0" w:lastColumn="0" w:noHBand="0" w:noVBand="1"/>
      </w:tblPr>
      <w:tblGrid>
        <w:gridCol w:w="3970"/>
        <w:gridCol w:w="1838"/>
        <w:gridCol w:w="1439"/>
        <w:gridCol w:w="2933"/>
      </w:tblGrid>
      <w:tr w:rsidR="00755F48" w:rsidRPr="007F0B8F" w14:paraId="37FD221A" w14:textId="77777777" w:rsidTr="00DF2591">
        <w:tc>
          <w:tcPr>
            <w:tcW w:w="3970"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0430BB91" w14:textId="77777777" w:rsidR="00755F48" w:rsidRPr="007F0B8F" w:rsidRDefault="00755F48" w:rsidP="00DF2591">
            <w:pPr>
              <w:rPr>
                <w:rFonts w:ascii="Arial" w:hAnsi="Arial" w:cs="Arial"/>
              </w:rPr>
            </w:pPr>
            <w:r w:rsidRPr="007F0B8F">
              <w:rPr>
                <w:rFonts w:ascii="Arial" w:hAnsi="Arial" w:cs="Arial"/>
                <w:b/>
                <w:bCs/>
              </w:rPr>
              <w:t>BENEFITS and COSTS of CONTROLS</w:t>
            </w:r>
          </w:p>
          <w:p w14:paraId="5C985535" w14:textId="77777777" w:rsidR="00755F48" w:rsidRPr="007F0B8F" w:rsidRDefault="00755F48" w:rsidP="00DF2591">
            <w:pPr>
              <w:rPr>
                <w:rFonts w:ascii="Arial" w:hAnsi="Arial" w:cs="Arial"/>
              </w:rPr>
            </w:pPr>
            <w:r w:rsidRPr="007F0B8F">
              <w:rPr>
                <w:rFonts w:ascii="Arial" w:hAnsi="Arial" w:cs="Arial"/>
                <w:b/>
                <w:bCs/>
              </w:rPr>
              <w:t xml:space="preserve">as </w:t>
            </w:r>
            <w:proofErr w:type="gramStart"/>
            <w:r w:rsidRPr="007F0B8F">
              <w:rPr>
                <w:rFonts w:ascii="Arial" w:hAnsi="Arial" w:cs="Arial"/>
                <w:b/>
                <w:bCs/>
              </w:rPr>
              <w:t>at</w:t>
            </w:r>
            <w:proofErr w:type="gramEnd"/>
            <w:r w:rsidRPr="007F0B8F">
              <w:rPr>
                <w:rFonts w:ascii="Arial" w:hAnsi="Arial" w:cs="Arial"/>
                <w:b/>
                <w:bCs/>
              </w:rPr>
              <w:t xml:space="preserve"> 31 December 2021</w:t>
            </w:r>
          </w:p>
        </w:tc>
        <w:tc>
          <w:tcPr>
            <w:tcW w:w="1838"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5B09C08C" w14:textId="77777777" w:rsidR="00755F48" w:rsidRPr="007F0B8F" w:rsidRDefault="00755F48" w:rsidP="00DF2591">
            <w:pPr>
              <w:rPr>
                <w:rFonts w:ascii="Arial" w:hAnsi="Arial" w:cs="Arial"/>
              </w:rPr>
            </w:pPr>
            <w:r w:rsidRPr="007F0B8F">
              <w:rPr>
                <w:rFonts w:ascii="Arial" w:hAnsi="Arial" w:cs="Arial"/>
                <w:b/>
                <w:bCs/>
              </w:rPr>
              <w:t>in EUR</w:t>
            </w:r>
          </w:p>
        </w:tc>
        <w:tc>
          <w:tcPr>
            <w:tcW w:w="1439"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202CA316" w14:textId="77777777" w:rsidR="00755F48" w:rsidRPr="007F0B8F" w:rsidRDefault="00755F48" w:rsidP="00DF2591">
            <w:pPr>
              <w:rPr>
                <w:rFonts w:ascii="Arial" w:hAnsi="Arial" w:cs="Arial"/>
              </w:rPr>
            </w:pPr>
            <w:r w:rsidRPr="007F0B8F">
              <w:rPr>
                <w:rFonts w:ascii="Arial" w:hAnsi="Arial" w:cs="Arial"/>
                <w:b/>
                <w:bCs/>
              </w:rPr>
              <w:t xml:space="preserve">Number of running grants </w:t>
            </w:r>
          </w:p>
        </w:tc>
        <w:tc>
          <w:tcPr>
            <w:tcW w:w="2933"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6B794FDE" w14:textId="77777777" w:rsidR="00755F48" w:rsidRPr="007F0B8F" w:rsidRDefault="00755F48" w:rsidP="00DF2591">
            <w:pPr>
              <w:rPr>
                <w:rFonts w:ascii="Arial" w:hAnsi="Arial" w:cs="Arial"/>
              </w:rPr>
            </w:pPr>
            <w:r w:rsidRPr="007F0B8F">
              <w:rPr>
                <w:rFonts w:ascii="Arial" w:hAnsi="Arial" w:cs="Arial"/>
                <w:b/>
                <w:bCs/>
              </w:rPr>
              <w:t xml:space="preserve">Average cost of control / average benefit of control per one running grant </w:t>
            </w:r>
          </w:p>
          <w:p w14:paraId="27F9DF6D" w14:textId="77777777" w:rsidR="00755F48" w:rsidRPr="007F0B8F" w:rsidRDefault="00755F48" w:rsidP="00DF2591">
            <w:pPr>
              <w:rPr>
                <w:rFonts w:ascii="Arial" w:hAnsi="Arial" w:cs="Arial"/>
              </w:rPr>
            </w:pPr>
            <w:r w:rsidRPr="007F0B8F">
              <w:rPr>
                <w:rFonts w:ascii="Arial" w:hAnsi="Arial" w:cs="Arial"/>
                <w:b/>
                <w:bCs/>
              </w:rPr>
              <w:t>in EUR</w:t>
            </w:r>
          </w:p>
        </w:tc>
      </w:tr>
      <w:tr w:rsidR="00755F48" w:rsidRPr="007F0B8F" w14:paraId="34D8ED17" w14:textId="77777777" w:rsidTr="00DF2591">
        <w:trPr>
          <w:trHeight w:val="584"/>
        </w:trPr>
        <w:tc>
          <w:tcPr>
            <w:tcW w:w="3970"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0512208E" w14:textId="77777777" w:rsidR="00755F48" w:rsidRPr="007F0B8F" w:rsidRDefault="00755F48" w:rsidP="00DF2591">
            <w:pPr>
              <w:rPr>
                <w:rFonts w:ascii="Arial" w:hAnsi="Arial" w:cs="Arial"/>
              </w:rPr>
            </w:pPr>
            <w:r w:rsidRPr="007F0B8F">
              <w:rPr>
                <w:rFonts w:ascii="Arial" w:hAnsi="Arial" w:cs="Arial"/>
              </w:rPr>
              <w:t>Costs of ex-ante &amp; ex-</w:t>
            </w:r>
            <w:proofErr w:type="gramStart"/>
            <w:r w:rsidRPr="007F0B8F">
              <w:rPr>
                <w:rFonts w:ascii="Arial" w:hAnsi="Arial" w:cs="Arial"/>
              </w:rPr>
              <w:t>post  controls</w:t>
            </w:r>
            <w:proofErr w:type="gramEnd"/>
            <w:r w:rsidRPr="007F0B8F">
              <w:rPr>
                <w:rFonts w:ascii="Arial" w:hAnsi="Arial" w:cs="Arial"/>
              </w:rPr>
              <w:t xml:space="preserve"> in 2021 – estimated</w:t>
            </w:r>
          </w:p>
        </w:tc>
        <w:tc>
          <w:tcPr>
            <w:tcW w:w="1838"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2377AAA6" w14:textId="1DAE6E32" w:rsidR="00755F48" w:rsidRPr="007F0B8F" w:rsidRDefault="00F6052E" w:rsidP="00DF2591">
            <w:pPr>
              <w:rPr>
                <w:rFonts w:ascii="Arial" w:hAnsi="Arial" w:cs="Arial"/>
              </w:rPr>
            </w:pPr>
            <w:r>
              <w:rPr>
                <w:rFonts w:ascii="Arial" w:hAnsi="Arial" w:cs="Arial"/>
              </w:rPr>
              <w:t>1,020.500</w:t>
            </w:r>
          </w:p>
        </w:tc>
        <w:tc>
          <w:tcPr>
            <w:tcW w:w="1439" w:type="dxa"/>
            <w:vMerge w:val="restart"/>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40DA6B96" w14:textId="77777777" w:rsidR="00755F48" w:rsidRPr="007F0B8F" w:rsidRDefault="00755F48" w:rsidP="00DF2591">
            <w:pPr>
              <w:rPr>
                <w:rFonts w:ascii="Arial" w:hAnsi="Arial" w:cs="Arial"/>
              </w:rPr>
            </w:pPr>
            <w:r w:rsidRPr="007F0B8F">
              <w:rPr>
                <w:rFonts w:ascii="Arial" w:hAnsi="Arial" w:cs="Arial"/>
              </w:rPr>
              <w:t>82</w:t>
            </w:r>
          </w:p>
        </w:tc>
        <w:tc>
          <w:tcPr>
            <w:tcW w:w="2933"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165E25B2" w14:textId="47C62E75" w:rsidR="00755F48" w:rsidRPr="007F0B8F" w:rsidRDefault="00F6052E" w:rsidP="00DF2591">
            <w:pPr>
              <w:rPr>
                <w:rFonts w:ascii="Arial" w:hAnsi="Arial" w:cs="Arial"/>
              </w:rPr>
            </w:pPr>
            <w:r>
              <w:rPr>
                <w:rFonts w:ascii="Arial" w:hAnsi="Arial" w:cs="Arial"/>
              </w:rPr>
              <w:t>12.445</w:t>
            </w:r>
          </w:p>
        </w:tc>
      </w:tr>
      <w:tr w:rsidR="00755F48" w:rsidRPr="007F0B8F" w14:paraId="4CDB4BA6" w14:textId="77777777" w:rsidTr="00DF2591">
        <w:trPr>
          <w:trHeight w:val="584"/>
        </w:trPr>
        <w:tc>
          <w:tcPr>
            <w:tcW w:w="3970"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010C5384" w14:textId="77777777" w:rsidR="00755F48" w:rsidRPr="007F0B8F" w:rsidRDefault="00755F48" w:rsidP="00DF2591">
            <w:pPr>
              <w:rPr>
                <w:rFonts w:ascii="Arial" w:hAnsi="Arial" w:cs="Arial"/>
              </w:rPr>
            </w:pPr>
            <w:r w:rsidRPr="007F0B8F">
              <w:rPr>
                <w:rFonts w:ascii="Arial" w:hAnsi="Arial" w:cs="Arial"/>
              </w:rPr>
              <w:t>Ex-ante rejections</w:t>
            </w:r>
          </w:p>
        </w:tc>
        <w:tc>
          <w:tcPr>
            <w:tcW w:w="1838"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50EC9F5B" w14:textId="77777777" w:rsidR="00755F48" w:rsidRPr="007F0B8F" w:rsidRDefault="00755F48" w:rsidP="00DF2591">
            <w:pPr>
              <w:rPr>
                <w:rFonts w:ascii="Arial" w:hAnsi="Arial" w:cs="Arial"/>
              </w:rPr>
            </w:pPr>
            <w:r w:rsidRPr="007F0B8F">
              <w:rPr>
                <w:rFonts w:ascii="Arial" w:hAnsi="Arial" w:cs="Arial"/>
              </w:rPr>
              <w:t xml:space="preserve">12,087.692 </w:t>
            </w:r>
          </w:p>
        </w:tc>
        <w:tc>
          <w:tcPr>
            <w:tcW w:w="0" w:type="auto"/>
            <w:vMerge/>
            <w:tcBorders>
              <w:top w:val="single" w:sz="24" w:space="0" w:color="FFFFFF"/>
              <w:left w:val="single" w:sz="8" w:space="0" w:color="FFFFFF"/>
              <w:bottom w:val="single" w:sz="8" w:space="0" w:color="FFFFFF"/>
              <w:right w:val="single" w:sz="8" w:space="0" w:color="FFFFFF"/>
            </w:tcBorders>
            <w:vAlign w:val="center"/>
            <w:hideMark/>
          </w:tcPr>
          <w:p w14:paraId="20AA4CF0" w14:textId="77777777" w:rsidR="00755F48" w:rsidRPr="007F0B8F" w:rsidRDefault="00755F48" w:rsidP="00DF2591">
            <w:pPr>
              <w:rPr>
                <w:rFonts w:ascii="Arial" w:hAnsi="Arial" w:cs="Arial"/>
              </w:rPr>
            </w:pPr>
          </w:p>
        </w:tc>
        <w:tc>
          <w:tcPr>
            <w:tcW w:w="2933" w:type="dxa"/>
            <w:vMerge w:val="restart"/>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40566130" w14:textId="77777777" w:rsidR="00755F48" w:rsidRPr="007F0B8F" w:rsidRDefault="00755F48" w:rsidP="00DF2591">
            <w:pPr>
              <w:rPr>
                <w:rFonts w:ascii="Arial" w:hAnsi="Arial" w:cs="Arial"/>
              </w:rPr>
            </w:pPr>
            <w:r w:rsidRPr="007F0B8F">
              <w:rPr>
                <w:rFonts w:ascii="Arial" w:hAnsi="Arial" w:cs="Arial"/>
              </w:rPr>
              <w:t>159.971</w:t>
            </w:r>
          </w:p>
        </w:tc>
      </w:tr>
      <w:tr w:rsidR="00755F48" w:rsidRPr="007F0B8F" w14:paraId="6EADC586" w14:textId="77777777" w:rsidTr="00DF2591">
        <w:trPr>
          <w:trHeight w:val="584"/>
        </w:trPr>
        <w:tc>
          <w:tcPr>
            <w:tcW w:w="3970"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13F1F7A6" w14:textId="77777777" w:rsidR="00755F48" w:rsidRPr="007F0B8F" w:rsidRDefault="00755F48" w:rsidP="00DF2591">
            <w:pPr>
              <w:rPr>
                <w:rFonts w:ascii="Arial" w:hAnsi="Arial" w:cs="Arial"/>
              </w:rPr>
            </w:pPr>
            <w:r w:rsidRPr="007F0B8F">
              <w:rPr>
                <w:rFonts w:ascii="Arial" w:hAnsi="Arial" w:cs="Arial"/>
              </w:rPr>
              <w:t>Recoveries and ex-post audits adjustments in 2021</w:t>
            </w:r>
          </w:p>
        </w:tc>
        <w:tc>
          <w:tcPr>
            <w:tcW w:w="1838"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44B654B3" w14:textId="77777777" w:rsidR="00755F48" w:rsidRPr="007F0B8F" w:rsidRDefault="00755F48" w:rsidP="00DF2591">
            <w:pPr>
              <w:rPr>
                <w:rFonts w:ascii="Arial" w:hAnsi="Arial" w:cs="Arial"/>
              </w:rPr>
            </w:pPr>
            <w:r w:rsidRPr="007F0B8F">
              <w:rPr>
                <w:rFonts w:ascii="Arial" w:hAnsi="Arial" w:cs="Arial"/>
              </w:rPr>
              <w:t>1,029.921</w:t>
            </w:r>
          </w:p>
        </w:tc>
        <w:tc>
          <w:tcPr>
            <w:tcW w:w="0" w:type="auto"/>
            <w:vMerge/>
            <w:tcBorders>
              <w:top w:val="single" w:sz="24" w:space="0" w:color="FFFFFF"/>
              <w:left w:val="single" w:sz="8" w:space="0" w:color="FFFFFF"/>
              <w:bottom w:val="single" w:sz="8" w:space="0" w:color="FFFFFF"/>
              <w:right w:val="single" w:sz="8" w:space="0" w:color="FFFFFF"/>
            </w:tcBorders>
            <w:vAlign w:val="center"/>
            <w:hideMark/>
          </w:tcPr>
          <w:p w14:paraId="21DC361D" w14:textId="77777777" w:rsidR="00755F48" w:rsidRPr="007F0B8F" w:rsidRDefault="00755F48" w:rsidP="00DF2591">
            <w:pPr>
              <w:rPr>
                <w:rFonts w:ascii="Arial" w:hAnsi="Arial" w:cs="Arial"/>
              </w:rPr>
            </w:pPr>
          </w:p>
        </w:tc>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1814BD45" w14:textId="77777777" w:rsidR="00755F48" w:rsidRPr="007F0B8F" w:rsidRDefault="00755F48" w:rsidP="00DF2591">
            <w:pPr>
              <w:rPr>
                <w:rFonts w:ascii="Arial" w:hAnsi="Arial" w:cs="Arial"/>
              </w:rPr>
            </w:pPr>
          </w:p>
        </w:tc>
      </w:tr>
    </w:tbl>
    <w:p w14:paraId="1B7F8E22" w14:textId="22D9BC11" w:rsidR="00755F48" w:rsidRPr="007F0B8F" w:rsidRDefault="00755F48" w:rsidP="00755F48">
      <w:pPr>
        <w:rPr>
          <w:rFonts w:ascii="Arial" w:hAnsi="Arial" w:cs="Arial"/>
        </w:rPr>
      </w:pPr>
    </w:p>
    <w:p w14:paraId="161095FF" w14:textId="7969D82D" w:rsidR="00606FC5" w:rsidRPr="007F0B8F" w:rsidRDefault="00606FC5" w:rsidP="00606FC5">
      <w:pPr>
        <w:jc w:val="both"/>
        <w:rPr>
          <w:rFonts w:ascii="Arial" w:hAnsi="Arial" w:cs="Arial"/>
        </w:rPr>
      </w:pPr>
      <w:r w:rsidRPr="007F0B8F">
        <w:rPr>
          <w:rFonts w:ascii="Arial" w:hAnsi="Arial" w:cs="Arial"/>
        </w:rPr>
        <w:t xml:space="preserve">The tables above demonstrate measurable benefits of the efficient and effective use of resources in the JU in terms of error rates reduction and efforts to ensure that principles of sound financial management are well understood and followed by the JU beneficiaries. In the </w:t>
      </w:r>
      <w:proofErr w:type="gramStart"/>
      <w:r w:rsidRPr="007F0B8F">
        <w:rPr>
          <w:rFonts w:ascii="Arial" w:hAnsi="Arial" w:cs="Arial"/>
        </w:rPr>
        <w:t>long term</w:t>
      </w:r>
      <w:proofErr w:type="gramEnd"/>
      <w:r w:rsidRPr="007F0B8F">
        <w:rPr>
          <w:rFonts w:ascii="Arial" w:hAnsi="Arial" w:cs="Arial"/>
        </w:rPr>
        <w:t xml:space="preserve"> perspective, we believe that there are other not directly measurable benefits of a preventive nature </w:t>
      </w:r>
      <w:r w:rsidR="00F6052E">
        <w:rPr>
          <w:rFonts w:ascii="Arial" w:hAnsi="Arial" w:cs="Arial"/>
        </w:rPr>
        <w:t>which</w:t>
      </w:r>
      <w:r w:rsidR="00F6052E" w:rsidRPr="007F0B8F">
        <w:rPr>
          <w:rFonts w:ascii="Arial" w:hAnsi="Arial" w:cs="Arial"/>
        </w:rPr>
        <w:t xml:space="preserve"> </w:t>
      </w:r>
      <w:r w:rsidRPr="007F0B8F">
        <w:rPr>
          <w:rFonts w:ascii="Arial" w:hAnsi="Arial" w:cs="Arial"/>
        </w:rPr>
        <w:t>will materialize in future.</w:t>
      </w:r>
    </w:p>
    <w:p w14:paraId="55EFA252" w14:textId="77777777" w:rsidR="00755F48" w:rsidRPr="005E2196" w:rsidRDefault="00755F48" w:rsidP="005E2196"/>
    <w:p w14:paraId="26A59644" w14:textId="69EDCEB5" w:rsidR="004D6B9A" w:rsidRDefault="009111A1" w:rsidP="00864737">
      <w:pPr>
        <w:pStyle w:val="Heading3"/>
        <w:numPr>
          <w:ilvl w:val="1"/>
          <w:numId w:val="1"/>
        </w:numPr>
        <w:jc w:val="both"/>
        <w:rPr>
          <w:rFonts w:asciiTheme="minorHAnsi" w:hAnsiTheme="minorHAnsi"/>
        </w:rPr>
      </w:pPr>
      <w:r>
        <w:rPr>
          <w:rFonts w:asciiTheme="minorHAnsi" w:hAnsiTheme="minorHAnsi"/>
        </w:rPr>
        <w:t xml:space="preserve"> </w:t>
      </w:r>
      <w:bookmarkStart w:id="183" w:name="_Toc98496368"/>
      <w:bookmarkStart w:id="184" w:name="_Toc101516088"/>
      <w:r w:rsidR="004E576F" w:rsidRPr="00896AB4">
        <w:rPr>
          <w:rFonts w:asciiTheme="minorHAnsi" w:hAnsiTheme="minorHAnsi"/>
        </w:rPr>
        <w:t>Ex-post Control of Operational Expenditure</w:t>
      </w:r>
      <w:r w:rsidR="00161116">
        <w:rPr>
          <w:rFonts w:asciiTheme="minorHAnsi" w:hAnsiTheme="minorHAnsi"/>
        </w:rPr>
        <w:t xml:space="preserve"> and Error Rates i</w:t>
      </w:r>
      <w:r w:rsidR="004D6B9A" w:rsidRPr="00896AB4">
        <w:rPr>
          <w:rFonts w:asciiTheme="minorHAnsi" w:hAnsiTheme="minorHAnsi"/>
        </w:rPr>
        <w:t>dentified</w:t>
      </w:r>
      <w:bookmarkEnd w:id="183"/>
      <w:bookmarkEnd w:id="184"/>
      <w:r w:rsidR="004D6B9A" w:rsidRPr="00896AB4">
        <w:rPr>
          <w:rFonts w:asciiTheme="minorHAnsi" w:hAnsiTheme="minorHAnsi"/>
        </w:rPr>
        <w:t xml:space="preserve"> </w:t>
      </w:r>
    </w:p>
    <w:p w14:paraId="631FE911" w14:textId="3D776F36" w:rsidR="00843A1D" w:rsidRDefault="00843A1D" w:rsidP="00843A1D"/>
    <w:p w14:paraId="016FFD6A" w14:textId="77777777" w:rsidR="00843A1D" w:rsidRDefault="00843A1D" w:rsidP="00843A1D">
      <w:pPr>
        <w:ind w:left="10" w:right="18"/>
        <w:jc w:val="both"/>
      </w:pPr>
      <w:bookmarkStart w:id="185" w:name="_Hlk98765202"/>
      <w:r>
        <w:t xml:space="preserve">The main objectives of the </w:t>
      </w:r>
      <w:r w:rsidRPr="00FA1BDF">
        <w:rPr>
          <w:i/>
        </w:rPr>
        <w:t>ex</w:t>
      </w:r>
      <w:r>
        <w:rPr>
          <w:i/>
        </w:rPr>
        <w:t>-</w:t>
      </w:r>
      <w:r w:rsidRPr="00FA1BDF">
        <w:rPr>
          <w:i/>
        </w:rPr>
        <w:t>post</w:t>
      </w:r>
      <w:r>
        <w:t xml:space="preserve"> controls are to ensure that legality, </w:t>
      </w:r>
      <w:proofErr w:type="gramStart"/>
      <w:r>
        <w:t>regularity</w:t>
      </w:r>
      <w:proofErr w:type="gramEnd"/>
      <w:r>
        <w:t xml:space="preserve"> and sound financial management (economy, efficiency and effectiveness) have been respected and to provide the basis for corrective and recovery activities, if necessary.</w:t>
      </w:r>
    </w:p>
    <w:p w14:paraId="40597FE2" w14:textId="77777777" w:rsidR="00843A1D" w:rsidRDefault="00843A1D" w:rsidP="00843A1D">
      <w:pPr>
        <w:spacing w:after="215" w:line="259" w:lineRule="auto"/>
        <w:ind w:left="2" w:hanging="10"/>
        <w:jc w:val="both"/>
      </w:pPr>
      <w:r>
        <w:rPr>
          <w:color w:val="3A5FAC"/>
        </w:rPr>
        <w:t xml:space="preserve">H2020 programme – </w:t>
      </w:r>
      <w:r w:rsidRPr="00763EE5">
        <w:rPr>
          <w:i/>
          <w:color w:val="3A5FAC"/>
        </w:rPr>
        <w:t>ex</w:t>
      </w:r>
      <w:r>
        <w:rPr>
          <w:i/>
          <w:color w:val="3A5FAC"/>
        </w:rPr>
        <w:t>-</w:t>
      </w:r>
      <w:r w:rsidRPr="00763EE5">
        <w:rPr>
          <w:i/>
          <w:color w:val="3A5FAC"/>
        </w:rPr>
        <w:t>post</w:t>
      </w:r>
      <w:r>
        <w:rPr>
          <w:color w:val="3A5FAC"/>
        </w:rPr>
        <w:t xml:space="preserve"> controls, H2020 audit strategy and cooperation with the Common Implementation Centre (CIC)</w:t>
      </w:r>
    </w:p>
    <w:p w14:paraId="448BD9AB" w14:textId="77777777" w:rsidR="00843A1D" w:rsidRDefault="00843A1D" w:rsidP="00843A1D">
      <w:pPr>
        <w:spacing w:after="479" w:line="237" w:lineRule="auto"/>
        <w:ind w:left="2" w:hanging="10"/>
        <w:jc w:val="both"/>
      </w:pPr>
      <w:r w:rsidRPr="00763EE5">
        <w:rPr>
          <w:i/>
        </w:rPr>
        <w:t>Ex-post</w:t>
      </w:r>
      <w:r>
        <w:t xml:space="preserve"> controls of operational expenditure for H2020 are designed and implemented in line with the Horizon 2020 </w:t>
      </w:r>
      <w:r w:rsidRPr="00763EE5">
        <w:rPr>
          <w:i/>
        </w:rPr>
        <w:t>Ex-Post</w:t>
      </w:r>
      <w:r>
        <w:t xml:space="preserve"> Audit Strategy</w:t>
      </w:r>
      <w:r>
        <w:rPr>
          <w:rStyle w:val="FootnoteReference"/>
        </w:rPr>
        <w:footnoteReference w:id="113"/>
      </w:r>
      <w:r>
        <w:t>. For the Horizon 2020, CIC (formerly known as Common Support Centre) developed this audit strategy in cooperation with all of its clients (</w:t>
      </w:r>
      <w:proofErr w:type="gramStart"/>
      <w:r>
        <w:t>i.e.</w:t>
      </w:r>
      <w:proofErr w:type="gramEnd"/>
      <w:r>
        <w:t xml:space="preserve"> the entities that implement the Horizon 2020 budget: EC services, executive agencies and joint undertakings).</w:t>
      </w:r>
      <w:r w:rsidRPr="002D7B49">
        <w:t xml:space="preserve"> </w:t>
      </w:r>
    </w:p>
    <w:p w14:paraId="442A4EE3" w14:textId="77777777" w:rsidR="00843A1D" w:rsidRDefault="00843A1D" w:rsidP="00843A1D">
      <w:pPr>
        <w:spacing w:after="479" w:line="237" w:lineRule="auto"/>
        <w:ind w:left="2" w:hanging="10"/>
        <w:jc w:val="both"/>
      </w:pPr>
      <w:r w:rsidRPr="00766976">
        <w:t>RTD.H.2 unit</w:t>
      </w:r>
      <w:r>
        <w:t xml:space="preserve"> of the CIC, Common Audit Service (CAS) </w:t>
      </w:r>
      <w:r w:rsidRPr="00D74DB7">
        <w:t>ensures harmonised implementation of</w:t>
      </w:r>
      <w:r>
        <w:t xml:space="preserve"> the</w:t>
      </w:r>
      <w:r w:rsidRPr="00D74DB7">
        <w:t xml:space="preserve"> H2020 </w:t>
      </w:r>
      <w:r w:rsidRPr="00763EE5">
        <w:rPr>
          <w:i/>
        </w:rPr>
        <w:t>Ex-Post</w:t>
      </w:r>
      <w:r>
        <w:t xml:space="preserve"> Audit S</w:t>
      </w:r>
      <w:r w:rsidRPr="00D74DB7">
        <w:t>trategy</w:t>
      </w:r>
      <w:r>
        <w:t xml:space="preserve"> </w:t>
      </w:r>
      <w:r w:rsidRPr="00D74DB7">
        <w:t>for the EU</w:t>
      </w:r>
      <w:r>
        <w:t>’s</w:t>
      </w:r>
      <w:r w:rsidRPr="00D74DB7">
        <w:t xml:space="preserve"> </w:t>
      </w:r>
      <w:r>
        <w:t xml:space="preserve">research and innovation </w:t>
      </w:r>
      <w:r w:rsidRPr="00D74DB7">
        <w:t>expenditure</w:t>
      </w:r>
      <w:r>
        <w:t>, serving all 20 H2020 stakeholders.</w:t>
      </w:r>
      <w:r w:rsidRPr="002D7B49">
        <w:t xml:space="preserve"> </w:t>
      </w:r>
      <w:r>
        <w:t>The CAS uses the IT tool AUDEX for audit process management. Its mission is to deliver a corporate approach for the audit cycle: audit selection, planning, application of rules, relations with beneficiaries, and management information on the audit process.</w:t>
      </w:r>
    </w:p>
    <w:p w14:paraId="2621252C" w14:textId="77777777" w:rsidR="00843A1D" w:rsidRDefault="00843A1D" w:rsidP="00843A1D">
      <w:pPr>
        <w:spacing w:after="479" w:line="237" w:lineRule="auto"/>
        <w:ind w:left="2" w:hanging="10"/>
        <w:jc w:val="both"/>
      </w:pPr>
      <w:r>
        <w:t xml:space="preserve">The main objective of the audit strategy is to provide the individual authorising officers with the necessary elements of assurance in a timely manner, thereby allowing them to report on the budget expenditure for which they are responsible. </w:t>
      </w:r>
      <w:r w:rsidRPr="00763EE5">
        <w:rPr>
          <w:i/>
        </w:rPr>
        <w:t>Ex</w:t>
      </w:r>
      <w:r>
        <w:rPr>
          <w:i/>
        </w:rPr>
        <w:t>-</w:t>
      </w:r>
      <w:r w:rsidRPr="00763EE5">
        <w:rPr>
          <w:i/>
        </w:rPr>
        <w:t>post</w:t>
      </w:r>
      <w:r>
        <w:t xml:space="preserve"> controls on operational expenditure contribute </w:t>
      </w:r>
      <w:proofErr w:type="gramStart"/>
      <w:r>
        <w:t>in particular to</w:t>
      </w:r>
      <w:proofErr w:type="gramEnd"/>
      <w:r>
        <w:t>:</w:t>
      </w:r>
    </w:p>
    <w:p w14:paraId="609BC021" w14:textId="77777777" w:rsidR="00843A1D" w:rsidRDefault="00843A1D" w:rsidP="00843A1D">
      <w:pPr>
        <w:spacing w:after="479" w:line="237" w:lineRule="auto"/>
        <w:ind w:left="2" w:hanging="10"/>
        <w:jc w:val="both"/>
      </w:pPr>
      <w:r>
        <w:t>•</w:t>
      </w:r>
      <w:r>
        <w:tab/>
        <w:t xml:space="preserve">Assessing the legality and regularity of expenditure on a multi-annual </w:t>
      </w:r>
      <w:proofErr w:type="gramStart"/>
      <w:r>
        <w:t>basis;</w:t>
      </w:r>
      <w:proofErr w:type="gramEnd"/>
      <w:r>
        <w:t xml:space="preserve"> </w:t>
      </w:r>
    </w:p>
    <w:p w14:paraId="5226A634" w14:textId="77777777" w:rsidR="00843A1D" w:rsidRDefault="00843A1D" w:rsidP="00843A1D">
      <w:pPr>
        <w:spacing w:after="479" w:line="237" w:lineRule="auto"/>
        <w:ind w:left="2" w:hanging="10"/>
        <w:jc w:val="both"/>
      </w:pPr>
      <w:r>
        <w:t>•</w:t>
      </w:r>
      <w:r>
        <w:tab/>
        <w:t xml:space="preserve">Providing an indication of the effectiveness of the related </w:t>
      </w:r>
      <w:r w:rsidRPr="00763EE5">
        <w:rPr>
          <w:i/>
        </w:rPr>
        <w:t>ex</w:t>
      </w:r>
      <w:r>
        <w:rPr>
          <w:i/>
        </w:rPr>
        <w:t>-</w:t>
      </w:r>
      <w:r w:rsidRPr="00763EE5">
        <w:rPr>
          <w:i/>
        </w:rPr>
        <w:t>ante</w:t>
      </w:r>
      <w:r>
        <w:t xml:space="preserve"> </w:t>
      </w:r>
      <w:proofErr w:type="gramStart"/>
      <w:r>
        <w:t>controls;</w:t>
      </w:r>
      <w:proofErr w:type="gramEnd"/>
    </w:p>
    <w:p w14:paraId="2FC2E82B" w14:textId="77777777" w:rsidR="00843A1D" w:rsidRDefault="00843A1D" w:rsidP="00843A1D">
      <w:pPr>
        <w:spacing w:after="479" w:line="237" w:lineRule="auto"/>
        <w:ind w:left="2" w:hanging="10"/>
        <w:jc w:val="both"/>
      </w:pPr>
      <w:r>
        <w:t>•</w:t>
      </w:r>
      <w:r>
        <w:tab/>
        <w:t>Providing the basis for corrective and recovery mechanisms, if necessary.</w:t>
      </w:r>
    </w:p>
    <w:p w14:paraId="635173D7" w14:textId="6C97319A" w:rsidR="00843A1D" w:rsidRDefault="00843A1D" w:rsidP="00843A1D">
      <w:pPr>
        <w:spacing w:after="479" w:line="237" w:lineRule="auto"/>
        <w:ind w:left="2" w:hanging="10"/>
        <w:jc w:val="both"/>
      </w:pPr>
      <w:r>
        <w:t xml:space="preserve">The JU is effectively integrated in this control chain: it participates in the audit process definition and in the monitoring of its implementation in close cooperation with the CAS and its clients. The main objectives of this cooperation are to align operations and exploit synergies on the common audit effort. The efficiency gains will reduce audit costs and the administrative burden on auditees, always in line with the specific objectives explained above for </w:t>
      </w:r>
      <w:r w:rsidRPr="00763EE5">
        <w:rPr>
          <w:i/>
        </w:rPr>
        <w:t>ex</w:t>
      </w:r>
      <w:r>
        <w:rPr>
          <w:i/>
        </w:rPr>
        <w:t>-</w:t>
      </w:r>
      <w:r w:rsidRPr="00763EE5">
        <w:rPr>
          <w:i/>
        </w:rPr>
        <w:t>post</w:t>
      </w:r>
      <w:r>
        <w:t xml:space="preserve"> controls.</w:t>
      </w:r>
    </w:p>
    <w:p w14:paraId="46D5DE1D" w14:textId="41E30DBE" w:rsidR="00843A1D" w:rsidRDefault="00843A1D" w:rsidP="00843A1D">
      <w:pPr>
        <w:spacing w:after="479" w:line="237" w:lineRule="auto"/>
        <w:ind w:left="2" w:hanging="10"/>
        <w:jc w:val="both"/>
      </w:pPr>
      <w:r w:rsidRPr="00D74DB7">
        <w:t xml:space="preserve">The implementation of all </w:t>
      </w:r>
      <w:r w:rsidRPr="00763EE5">
        <w:rPr>
          <w:i/>
        </w:rPr>
        <w:t>ex</w:t>
      </w:r>
      <w:r>
        <w:rPr>
          <w:i/>
        </w:rPr>
        <w:t>-</w:t>
      </w:r>
      <w:r w:rsidRPr="00763EE5">
        <w:rPr>
          <w:i/>
        </w:rPr>
        <w:t>post</w:t>
      </w:r>
      <w:r w:rsidRPr="00D74DB7">
        <w:t xml:space="preserve"> audit results remains the responsibility of </w:t>
      </w:r>
      <w:r>
        <w:t xml:space="preserve">the </w:t>
      </w:r>
      <w:r w:rsidRPr="00D74DB7">
        <w:t>JU</w:t>
      </w:r>
      <w:r>
        <w:t>.</w:t>
      </w:r>
    </w:p>
    <w:p w14:paraId="15B6E4AA" w14:textId="3E9310CF" w:rsidR="00843A1D" w:rsidRDefault="00843A1D" w:rsidP="00843A1D">
      <w:pPr>
        <w:spacing w:after="479" w:line="237" w:lineRule="auto"/>
        <w:ind w:left="2" w:hanging="10"/>
        <w:jc w:val="both"/>
      </w:pPr>
      <w:r w:rsidRPr="00C41D94">
        <w:lastRenderedPageBreak/>
        <w:t xml:space="preserve">The </w:t>
      </w:r>
      <w:r>
        <w:t>JU also ensures</w:t>
      </w:r>
      <w:r w:rsidRPr="00C41D94">
        <w:t xml:space="preserve"> the implementation of the research community’s common anti-fraud strategy. The main actions derived from the strategy include the organisation of awareness</w:t>
      </w:r>
      <w:r>
        <w:t>-</w:t>
      </w:r>
      <w:r w:rsidRPr="00C41D94">
        <w:t xml:space="preserve">raising sessions within the JU and cooperation with </w:t>
      </w:r>
      <w:r>
        <w:t>the European Anti-Fraud Office (</w:t>
      </w:r>
      <w:r w:rsidRPr="00C41D94">
        <w:t>OLAF</w:t>
      </w:r>
      <w:r>
        <w:t>)</w:t>
      </w:r>
      <w:r w:rsidRPr="00C41D94">
        <w:t xml:space="preserve"> (in the case of risk-based audits conducted by the CAS or outsourced contractors). </w:t>
      </w:r>
      <w:r>
        <w:t>I</w:t>
      </w:r>
      <w:r w:rsidRPr="00C41D94">
        <w:t xml:space="preserve">mplementation of the action plan derived from the strategy is monitored by the </w:t>
      </w:r>
      <w:r>
        <w:t>Fraud and Irregularity Committee (</w:t>
      </w:r>
      <w:r w:rsidRPr="00C41D94">
        <w:t>FAIR</w:t>
      </w:r>
      <w:r>
        <w:t>) – see also section 4.6</w:t>
      </w:r>
      <w:r w:rsidRPr="00C41D94">
        <w:t>.</w:t>
      </w:r>
    </w:p>
    <w:bookmarkEnd w:id="185"/>
    <w:p w14:paraId="37279FA4" w14:textId="77777777" w:rsidR="00F70F4F" w:rsidRPr="00F05AE5" w:rsidRDefault="00F70F4F" w:rsidP="00F70F4F">
      <w:pPr>
        <w:spacing w:after="479" w:line="237" w:lineRule="auto"/>
        <w:ind w:left="2" w:hanging="10"/>
      </w:pPr>
      <w:r w:rsidRPr="00F05AE5">
        <w:t>In 202</w:t>
      </w:r>
      <w:r>
        <w:t>1</w:t>
      </w:r>
      <w:r w:rsidRPr="00F05AE5">
        <w:t>, the following main achievements were reached:</w:t>
      </w:r>
    </w:p>
    <w:p w14:paraId="06242C3A" w14:textId="003D309A" w:rsidR="00F70F4F" w:rsidRPr="00A42DE7" w:rsidRDefault="00F70F4F" w:rsidP="002672A0">
      <w:pPr>
        <w:pStyle w:val="ListParagraph"/>
        <w:numPr>
          <w:ilvl w:val="0"/>
          <w:numId w:val="40"/>
        </w:numPr>
        <w:spacing w:after="479" w:line="237" w:lineRule="auto"/>
        <w:jc w:val="both"/>
      </w:pPr>
      <w:r w:rsidRPr="00F05AE5">
        <w:t xml:space="preserve">Selection of </w:t>
      </w:r>
      <w:r w:rsidRPr="000D6F69">
        <w:rPr>
          <w:b/>
          <w:bCs/>
        </w:rPr>
        <w:t xml:space="preserve">28 new corrective and representative H2020 </w:t>
      </w:r>
      <w:r w:rsidRPr="000D6F69">
        <w:rPr>
          <w:b/>
          <w:bCs/>
          <w:i/>
        </w:rPr>
        <w:t>ex-post</w:t>
      </w:r>
      <w:r w:rsidRPr="000D6F69">
        <w:rPr>
          <w:b/>
          <w:bCs/>
        </w:rPr>
        <w:t xml:space="preserve"> audits</w:t>
      </w:r>
      <w:r w:rsidRPr="00F05AE5">
        <w:t xml:space="preserve"> in cooperation between JU and CAS (</w:t>
      </w:r>
      <w:r w:rsidRPr="00766976">
        <w:t>RTD.H.2 unit</w:t>
      </w:r>
      <w:r>
        <w:t xml:space="preserve"> of the CIC</w:t>
      </w:r>
      <w:r w:rsidRPr="00F05AE5">
        <w:t xml:space="preserve">) for execution of the audits in </w:t>
      </w:r>
      <w:r w:rsidRPr="00A42DE7">
        <w:t>2022 with expected results (Letter of Conclusion sent) by 31 December 2022</w:t>
      </w:r>
      <w:r w:rsidR="00F44489">
        <w:t xml:space="preserve">, focusing primarily on top 100 </w:t>
      </w:r>
      <w:proofErr w:type="gramStart"/>
      <w:r w:rsidR="00F44489">
        <w:t>beneficiaries</w:t>
      </w:r>
      <w:r w:rsidRPr="00A42DE7">
        <w:t>;</w:t>
      </w:r>
      <w:proofErr w:type="gramEnd"/>
    </w:p>
    <w:p w14:paraId="34C151C9" w14:textId="467E46B5" w:rsidR="00F70F4F" w:rsidRPr="00A42DE7" w:rsidRDefault="00F70F4F" w:rsidP="002672A0">
      <w:pPr>
        <w:pStyle w:val="ListParagraph"/>
        <w:numPr>
          <w:ilvl w:val="0"/>
          <w:numId w:val="40"/>
        </w:numPr>
        <w:spacing w:after="479" w:line="237" w:lineRule="auto"/>
        <w:jc w:val="both"/>
      </w:pPr>
      <w:r w:rsidRPr="00F05AE5">
        <w:t xml:space="preserve">By continuous application of the JUs’ sampling methodology (endorsed by the CIC Executive Committee on 19 July 2019), </w:t>
      </w:r>
      <w:r w:rsidR="001731C4">
        <w:t xml:space="preserve">the </w:t>
      </w:r>
      <w:r w:rsidRPr="00F05AE5">
        <w:t xml:space="preserve">JU reached </w:t>
      </w:r>
      <w:r w:rsidRPr="001107B0">
        <w:rPr>
          <w:b/>
        </w:rPr>
        <w:t xml:space="preserve">a significant </w:t>
      </w:r>
      <w:r>
        <w:rPr>
          <w:b/>
        </w:rPr>
        <w:t>cumulative</w:t>
      </w:r>
      <w:r w:rsidRPr="001107B0">
        <w:rPr>
          <w:b/>
        </w:rPr>
        <w:t xml:space="preserve"> audit </w:t>
      </w:r>
      <w:r w:rsidRPr="00A42DE7">
        <w:rPr>
          <w:b/>
        </w:rPr>
        <w:t>coverage (</w:t>
      </w:r>
      <w:r w:rsidR="00F44489">
        <w:rPr>
          <w:b/>
        </w:rPr>
        <w:t>see graph below</w:t>
      </w:r>
      <w:r w:rsidRPr="00A42DE7">
        <w:rPr>
          <w:b/>
        </w:rPr>
        <w:t>)</w:t>
      </w:r>
      <w:r w:rsidRPr="00A42DE7">
        <w:t xml:space="preserve"> of the overall H2020 expenditures</w:t>
      </w:r>
      <w:r>
        <w:t xml:space="preserve"> </w:t>
      </w:r>
      <w:r w:rsidRPr="00A42DE7">
        <w:t xml:space="preserve">forming a strong pillar for the declaration of assurance in </w:t>
      </w:r>
      <w:proofErr w:type="gramStart"/>
      <w:r w:rsidRPr="00A42DE7">
        <w:t>2021</w:t>
      </w:r>
      <w:r>
        <w:t>;</w:t>
      </w:r>
      <w:proofErr w:type="gramEnd"/>
      <w:r>
        <w:t xml:space="preserve"> </w:t>
      </w:r>
    </w:p>
    <w:p w14:paraId="776B6601" w14:textId="77777777" w:rsidR="00F70F4F" w:rsidRPr="000037AA" w:rsidRDefault="00F70F4F" w:rsidP="002672A0">
      <w:pPr>
        <w:pStyle w:val="ListParagraph"/>
        <w:numPr>
          <w:ilvl w:val="0"/>
          <w:numId w:val="40"/>
        </w:numPr>
        <w:spacing w:after="479" w:line="237" w:lineRule="auto"/>
        <w:jc w:val="both"/>
      </w:pPr>
      <w:r w:rsidRPr="001107B0">
        <w:t xml:space="preserve">Closure of </w:t>
      </w:r>
      <w:r w:rsidRPr="000037AA">
        <w:t>the 43 representative audits by 31 December 2021</w:t>
      </w:r>
      <w:r>
        <w:t xml:space="preserve"> (</w:t>
      </w:r>
      <w:r w:rsidRPr="000D6F69">
        <w:rPr>
          <w:b/>
          <w:bCs/>
        </w:rPr>
        <w:t>reaching approximately one half of the overall H2020 targets for representative ex-post audits</w:t>
      </w:r>
      <w:proofErr w:type="gramStart"/>
      <w:r>
        <w:t>)</w:t>
      </w:r>
      <w:r w:rsidRPr="000037AA">
        <w:t>;</w:t>
      </w:r>
      <w:proofErr w:type="gramEnd"/>
      <w:r w:rsidRPr="000037AA">
        <w:t xml:space="preserve">  </w:t>
      </w:r>
    </w:p>
    <w:p w14:paraId="6E353A55" w14:textId="756B6186" w:rsidR="00F70F4F" w:rsidRDefault="00F70F4F" w:rsidP="002672A0">
      <w:pPr>
        <w:pStyle w:val="ListParagraph"/>
        <w:numPr>
          <w:ilvl w:val="0"/>
          <w:numId w:val="40"/>
        </w:numPr>
        <w:spacing w:after="479" w:line="237" w:lineRule="auto"/>
        <w:jc w:val="both"/>
      </w:pPr>
      <w:r w:rsidRPr="00D3220B">
        <w:t xml:space="preserve">Participation of the JU in the extension of the audit findings exercise, common for all H2020 stakeholders, enabling further cleaning of the representative error rate down </w:t>
      </w:r>
      <w:r w:rsidRPr="00D3220B">
        <w:rPr>
          <w:b/>
        </w:rPr>
        <w:t xml:space="preserve">to </w:t>
      </w:r>
      <w:r w:rsidRPr="00F44489">
        <w:rPr>
          <w:b/>
        </w:rPr>
        <w:t>-1,</w:t>
      </w:r>
      <w:r w:rsidR="004C53FC" w:rsidRPr="00F44489">
        <w:rPr>
          <w:b/>
        </w:rPr>
        <w:t>73</w:t>
      </w:r>
      <w:r w:rsidRPr="00F44489">
        <w:rPr>
          <w:b/>
        </w:rPr>
        <w:t>%</w:t>
      </w:r>
      <w:r w:rsidRPr="00D3220B">
        <w:rPr>
          <w:b/>
        </w:rPr>
        <w:t xml:space="preserve"> of the residual error rate</w:t>
      </w:r>
      <w:r w:rsidRPr="00D3220B">
        <w:t>.</w:t>
      </w:r>
    </w:p>
    <w:p w14:paraId="41ED5261" w14:textId="77777777" w:rsidR="00BB4A45" w:rsidRDefault="00BB4A45" w:rsidP="00D472C1">
      <w:pPr>
        <w:pStyle w:val="ListParagraph"/>
        <w:spacing w:after="479" w:line="237" w:lineRule="auto"/>
        <w:ind w:left="712"/>
        <w:jc w:val="both"/>
        <w:rPr>
          <w:b/>
          <w:bCs/>
        </w:rPr>
      </w:pPr>
    </w:p>
    <w:p w14:paraId="75705146" w14:textId="6FB305AB" w:rsidR="00D472C1" w:rsidRPr="00D472C1" w:rsidRDefault="00D472C1" w:rsidP="00D472C1">
      <w:pPr>
        <w:pStyle w:val="ListParagraph"/>
        <w:spacing w:after="479" w:line="237" w:lineRule="auto"/>
        <w:ind w:left="712"/>
        <w:jc w:val="both"/>
        <w:rPr>
          <w:b/>
          <w:bCs/>
        </w:rPr>
      </w:pPr>
      <w:r w:rsidRPr="00D472C1">
        <w:rPr>
          <w:b/>
          <w:bCs/>
        </w:rPr>
        <w:t>Figure 4.3.</w:t>
      </w:r>
      <w:r>
        <w:rPr>
          <w:b/>
          <w:bCs/>
        </w:rPr>
        <w:t>1</w:t>
      </w:r>
    </w:p>
    <w:p w14:paraId="77BF0002" w14:textId="77777777" w:rsidR="00D472C1" w:rsidRDefault="00D472C1" w:rsidP="00D472C1">
      <w:pPr>
        <w:pStyle w:val="ListParagraph"/>
        <w:spacing w:after="479" w:line="237" w:lineRule="auto"/>
        <w:ind w:left="712"/>
        <w:jc w:val="both"/>
      </w:pPr>
    </w:p>
    <w:p w14:paraId="11D248E2" w14:textId="3B70157D" w:rsidR="00F44489" w:rsidRPr="00D3220B" w:rsidRDefault="00F44489" w:rsidP="00F44489">
      <w:pPr>
        <w:spacing w:after="479" w:line="237" w:lineRule="auto"/>
        <w:jc w:val="both"/>
      </w:pPr>
      <w:r>
        <w:rPr>
          <w:noProof/>
          <w:lang w:eastAsia="en-GB"/>
        </w:rPr>
        <w:drawing>
          <wp:inline distT="0" distB="0" distL="0" distR="0" wp14:anchorId="55F52D55" wp14:editId="40B75378">
            <wp:extent cx="5760720" cy="3415030"/>
            <wp:effectExtent l="0" t="0" r="11430" b="13970"/>
            <wp:docPr id="58" name="Chart 58">
              <a:extLst xmlns:a="http://schemas.openxmlformats.org/drawingml/2006/main">
                <a:ext uri="{FF2B5EF4-FFF2-40B4-BE49-F238E27FC236}">
                  <a16:creationId xmlns:a16="http://schemas.microsoft.com/office/drawing/2014/main" id="{8199692D-AC00-4B31-842D-20C11EE80B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4CD31E60" w14:textId="77777777" w:rsidR="00547D0B" w:rsidRDefault="00547D0B" w:rsidP="00547D0B">
      <w:pPr>
        <w:spacing w:after="215" w:line="259" w:lineRule="auto"/>
        <w:ind w:left="2" w:hanging="10"/>
        <w:rPr>
          <w:color w:val="3A5FAC"/>
        </w:rPr>
      </w:pPr>
      <w:r w:rsidRPr="00D416C0">
        <w:rPr>
          <w:color w:val="3A5FAC"/>
        </w:rPr>
        <w:t xml:space="preserve">H2020 </w:t>
      </w:r>
      <w:r w:rsidRPr="00763EE5">
        <w:rPr>
          <w:i/>
          <w:color w:val="3A5FAC"/>
        </w:rPr>
        <w:t>ex</w:t>
      </w:r>
      <w:r>
        <w:rPr>
          <w:i/>
          <w:color w:val="3A5FAC"/>
        </w:rPr>
        <w:t>-</w:t>
      </w:r>
      <w:r w:rsidRPr="00763EE5">
        <w:rPr>
          <w:i/>
          <w:color w:val="3A5FAC"/>
        </w:rPr>
        <w:t>post</w:t>
      </w:r>
      <w:r w:rsidRPr="00D416C0">
        <w:rPr>
          <w:color w:val="3A5FAC"/>
        </w:rPr>
        <w:t xml:space="preserve"> audit methodology and error rates</w:t>
      </w:r>
      <w:r>
        <w:rPr>
          <w:color w:val="3A5FAC"/>
        </w:rPr>
        <w:t xml:space="preserve"> – corporate approach</w:t>
      </w:r>
    </w:p>
    <w:p w14:paraId="5A4115D3" w14:textId="77777777" w:rsidR="00547D0B" w:rsidRDefault="00547D0B" w:rsidP="00547D0B">
      <w:pPr>
        <w:rPr>
          <w:szCs w:val="24"/>
        </w:rPr>
      </w:pPr>
      <w:r w:rsidRPr="00D25878">
        <w:rPr>
          <w:szCs w:val="24"/>
        </w:rPr>
        <w:lastRenderedPageBreak/>
        <w:t xml:space="preserve">The </w:t>
      </w:r>
      <w:r>
        <w:rPr>
          <w:szCs w:val="24"/>
        </w:rPr>
        <w:t>C</w:t>
      </w:r>
      <w:r w:rsidRPr="00D25878">
        <w:rPr>
          <w:szCs w:val="24"/>
        </w:rPr>
        <w:t xml:space="preserve">ommon </w:t>
      </w:r>
      <w:r>
        <w:rPr>
          <w:szCs w:val="24"/>
        </w:rPr>
        <w:t>R</w:t>
      </w:r>
      <w:r w:rsidRPr="00D25878">
        <w:rPr>
          <w:szCs w:val="24"/>
        </w:rPr>
        <w:t xml:space="preserve">epresentative </w:t>
      </w:r>
      <w:r>
        <w:rPr>
          <w:szCs w:val="24"/>
        </w:rPr>
        <w:t>S</w:t>
      </w:r>
      <w:r w:rsidRPr="00D25878">
        <w:rPr>
          <w:szCs w:val="24"/>
        </w:rPr>
        <w:t>ample (CR</w:t>
      </w:r>
      <w:r>
        <w:rPr>
          <w:szCs w:val="24"/>
        </w:rPr>
        <w:t>a</w:t>
      </w:r>
      <w:r w:rsidRPr="00D25878">
        <w:rPr>
          <w:szCs w:val="24"/>
        </w:rPr>
        <w:t xml:space="preserve">S) provides an estimate, via a representative sample of cost claims across the </w:t>
      </w:r>
      <w:r>
        <w:rPr>
          <w:szCs w:val="24"/>
        </w:rPr>
        <w:t>research and innovation f</w:t>
      </w:r>
      <w:r w:rsidRPr="00D25878">
        <w:rPr>
          <w:szCs w:val="24"/>
        </w:rPr>
        <w:t xml:space="preserve">amily, of the </w:t>
      </w:r>
      <w:r w:rsidRPr="00D25878">
        <w:rPr>
          <w:b/>
        </w:rPr>
        <w:t>overall level of error</w:t>
      </w:r>
      <w:r w:rsidRPr="00D25878">
        <w:rPr>
          <w:szCs w:val="24"/>
        </w:rPr>
        <w:t xml:space="preserve"> in the </w:t>
      </w:r>
      <w:r>
        <w:rPr>
          <w:szCs w:val="24"/>
        </w:rPr>
        <w:t>r</w:t>
      </w:r>
      <w:r w:rsidRPr="00D25878">
        <w:rPr>
          <w:szCs w:val="24"/>
        </w:rPr>
        <w:t xml:space="preserve">esearch </w:t>
      </w:r>
      <w:r>
        <w:rPr>
          <w:szCs w:val="24"/>
        </w:rPr>
        <w:t>FPs</w:t>
      </w:r>
      <w:r w:rsidRPr="00D25878">
        <w:rPr>
          <w:szCs w:val="24"/>
        </w:rPr>
        <w:t xml:space="preserve">, across all services involved in its management. </w:t>
      </w:r>
      <w:proofErr w:type="gramStart"/>
      <w:r w:rsidRPr="00D25878">
        <w:rPr>
          <w:szCs w:val="24"/>
        </w:rPr>
        <w:t>All of</w:t>
      </w:r>
      <w:proofErr w:type="gramEnd"/>
      <w:r w:rsidRPr="00D25878">
        <w:rPr>
          <w:szCs w:val="24"/>
        </w:rPr>
        <w:t xml:space="preserve"> these grants follow the same homogeneous </w:t>
      </w:r>
      <w:r>
        <w:rPr>
          <w:szCs w:val="24"/>
        </w:rPr>
        <w:t xml:space="preserve">overall </w:t>
      </w:r>
      <w:r w:rsidRPr="00D25878">
        <w:rPr>
          <w:szCs w:val="24"/>
        </w:rPr>
        <w:t xml:space="preserve">control system set out in this report. </w:t>
      </w:r>
    </w:p>
    <w:p w14:paraId="0DEF2E66" w14:textId="77777777" w:rsidR="00547D0B" w:rsidRDefault="00547D0B" w:rsidP="00547D0B">
      <w:pPr>
        <w:spacing w:after="479" w:line="237" w:lineRule="auto"/>
        <w:ind w:left="2" w:hanging="10"/>
        <w:jc w:val="both"/>
      </w:pPr>
      <w:r>
        <w:t xml:space="preserve">The H2020 </w:t>
      </w:r>
      <w:r w:rsidRPr="00083DB1">
        <w:rPr>
          <w:i/>
        </w:rPr>
        <w:t>ex-post</w:t>
      </w:r>
      <w:r>
        <w:t xml:space="preserve"> audit strategy builds upon different layers of audits: </w:t>
      </w:r>
    </w:p>
    <w:p w14:paraId="2BD3C45D" w14:textId="77777777" w:rsidR="00547D0B" w:rsidRDefault="00547D0B" w:rsidP="002672A0">
      <w:pPr>
        <w:pStyle w:val="ListParagraph"/>
        <w:numPr>
          <w:ilvl w:val="0"/>
          <w:numId w:val="41"/>
        </w:numPr>
        <w:spacing w:after="479" w:line="237" w:lineRule="auto"/>
        <w:jc w:val="both"/>
      </w:pPr>
      <w:r>
        <w:t>A corporate layer consisting of a CRaS</w:t>
      </w:r>
      <w:r>
        <w:rPr>
          <w:rStyle w:val="FootnoteReference"/>
        </w:rPr>
        <w:footnoteReference w:id="114"/>
      </w:r>
      <w:r>
        <w:t xml:space="preserve"> complemented by risk-based </w:t>
      </w:r>
      <w:proofErr w:type="gramStart"/>
      <w:r>
        <w:t>samples;</w:t>
      </w:r>
      <w:proofErr w:type="gramEnd"/>
    </w:p>
    <w:p w14:paraId="7620FE4C" w14:textId="77777777" w:rsidR="00547D0B" w:rsidRDefault="00547D0B" w:rsidP="002672A0">
      <w:pPr>
        <w:pStyle w:val="ListParagraph"/>
        <w:numPr>
          <w:ilvl w:val="0"/>
          <w:numId w:val="41"/>
        </w:numPr>
        <w:spacing w:after="479" w:line="237" w:lineRule="auto"/>
        <w:jc w:val="both"/>
      </w:pPr>
      <w:r>
        <w:t>An additional sample for entities with specific GAs or a separate discharge procedure and Article 10 audits on the demand of the JUs.</w:t>
      </w:r>
    </w:p>
    <w:p w14:paraId="6AC893A1" w14:textId="77777777" w:rsidR="00547D0B" w:rsidRDefault="00547D0B" w:rsidP="00547D0B">
      <w:pPr>
        <w:spacing w:after="479" w:line="237" w:lineRule="auto"/>
        <w:ind w:left="2" w:hanging="10"/>
        <w:jc w:val="both"/>
      </w:pPr>
      <w:r>
        <w:t xml:space="preserve">In H2020, </w:t>
      </w:r>
      <w:r w:rsidRPr="00CF4131">
        <w:t>all 22 implementing</w:t>
      </w:r>
      <w:r>
        <w:t xml:space="preserve"> entities are expected to follow</w:t>
      </w:r>
      <w:r w:rsidRPr="003B7FE5">
        <w:t xml:space="preserve"> the same homogeneous overall </w:t>
      </w:r>
      <w:r w:rsidRPr="00763EE5">
        <w:rPr>
          <w:i/>
        </w:rPr>
        <w:t>ex</w:t>
      </w:r>
      <w:r>
        <w:rPr>
          <w:i/>
        </w:rPr>
        <w:t>-</w:t>
      </w:r>
      <w:r w:rsidRPr="00763EE5">
        <w:rPr>
          <w:i/>
        </w:rPr>
        <w:t>ante</w:t>
      </w:r>
      <w:r>
        <w:t xml:space="preserve"> </w:t>
      </w:r>
      <w:r w:rsidRPr="003B7FE5">
        <w:t>control system</w:t>
      </w:r>
      <w:r>
        <w:rPr>
          <w:rStyle w:val="FootnoteReference"/>
        </w:rPr>
        <w:footnoteReference w:id="115"/>
      </w:r>
      <w:r w:rsidRPr="003B7FE5">
        <w:t>.</w:t>
      </w:r>
    </w:p>
    <w:p w14:paraId="2BD48897" w14:textId="77777777" w:rsidR="00547D0B" w:rsidRDefault="00547D0B" w:rsidP="00547D0B">
      <w:pPr>
        <w:spacing w:after="479" w:line="237" w:lineRule="auto"/>
        <w:ind w:left="2" w:hanging="10"/>
        <w:jc w:val="both"/>
      </w:pPr>
      <w:r w:rsidRPr="00D3220B">
        <w:t xml:space="preserve">The </w:t>
      </w:r>
      <w:r w:rsidRPr="008F0A34">
        <w:t>Horizon 2020 audit campaign started in 2016. At this stage, four Common Representative Samples with a total of 629 expected</w:t>
      </w:r>
      <w:r w:rsidRPr="00D3220B">
        <w:t xml:space="preserve"> results have been selected. By the end of 202</w:t>
      </w:r>
      <w:r>
        <w:t>1</w:t>
      </w:r>
      <w:r w:rsidRPr="00D3220B">
        <w:t xml:space="preserve">, cost claims amounting to </w:t>
      </w:r>
      <w:r w:rsidRPr="008F0A34">
        <w:t>EUR 31.8 billion have been</w:t>
      </w:r>
      <w:r w:rsidRPr="00D3220B">
        <w:t xml:space="preserve"> submitted by the beneficiaries to the services. </w:t>
      </w:r>
    </w:p>
    <w:p w14:paraId="1388E180" w14:textId="77777777" w:rsidR="00547D0B" w:rsidRDefault="00547D0B" w:rsidP="00547D0B">
      <w:pPr>
        <w:spacing w:after="479" w:line="237" w:lineRule="auto"/>
        <w:ind w:left="2" w:hanging="10"/>
        <w:jc w:val="both"/>
      </w:pPr>
      <w:r>
        <w:t xml:space="preserve">The error rates </w:t>
      </w:r>
      <w:proofErr w:type="gramStart"/>
      <w:r>
        <w:t>at</w:t>
      </w:r>
      <w:proofErr w:type="gramEnd"/>
      <w:r>
        <w:t xml:space="preserve"> 31 December 2021 were: </w:t>
      </w:r>
    </w:p>
    <w:p w14:paraId="053F9A69" w14:textId="77777777" w:rsidR="00547D0B" w:rsidRDefault="00547D0B" w:rsidP="00547D0B">
      <w:pPr>
        <w:spacing w:after="479" w:line="237" w:lineRule="auto"/>
        <w:ind w:left="2" w:hanging="10"/>
        <w:jc w:val="both"/>
      </w:pPr>
      <w:r>
        <w:t>-</w:t>
      </w:r>
      <w:r>
        <w:tab/>
        <w:t xml:space="preserve">Representative detected error rate: </w:t>
      </w:r>
      <w:r w:rsidRPr="00ED0482">
        <w:t>2,29%</w:t>
      </w:r>
      <w:r w:rsidRPr="00ED0482">
        <w:rPr>
          <w:rStyle w:val="FootnoteReference"/>
        </w:rPr>
        <w:footnoteReference w:id="116"/>
      </w:r>
      <w:r w:rsidRPr="00ED0482">
        <w:t>,</w:t>
      </w:r>
      <w:r>
        <w:t xml:space="preserve"> </w:t>
      </w:r>
    </w:p>
    <w:p w14:paraId="74135661" w14:textId="77777777" w:rsidR="00547D0B" w:rsidRDefault="00547D0B" w:rsidP="00547D0B">
      <w:pPr>
        <w:spacing w:after="479" w:line="237" w:lineRule="auto"/>
        <w:ind w:left="720" w:hanging="728"/>
        <w:jc w:val="both"/>
      </w:pPr>
      <w:r>
        <w:t>-</w:t>
      </w:r>
      <w:r>
        <w:tab/>
        <w:t xml:space="preserve">Cumulative residual error rate for the Research and Innovation Family DGs: </w:t>
      </w:r>
      <w:r w:rsidRPr="00B92329">
        <w:t>1,60 % (1,67 % for DG Research and Innovation</w:t>
      </w:r>
      <w:r w:rsidRPr="00B92329">
        <w:rPr>
          <w:rStyle w:val="FootnoteReference"/>
        </w:rPr>
        <w:footnoteReference w:id="117"/>
      </w:r>
      <w:r w:rsidRPr="00B92329">
        <w:t>).</w:t>
      </w:r>
    </w:p>
    <w:p w14:paraId="29F23F70" w14:textId="322EACAC" w:rsidR="00843A1D" w:rsidRDefault="00843A1D" w:rsidP="00843A1D"/>
    <w:p w14:paraId="74A9D019" w14:textId="33893CC1" w:rsidR="002021EB" w:rsidRDefault="002021EB" w:rsidP="002021EB">
      <w:pPr>
        <w:spacing w:after="215" w:line="259" w:lineRule="auto"/>
        <w:ind w:left="2" w:hanging="10"/>
        <w:rPr>
          <w:color w:val="3A5FAC"/>
        </w:rPr>
      </w:pPr>
      <w:r w:rsidRPr="00D416C0">
        <w:rPr>
          <w:color w:val="3A5FAC"/>
        </w:rPr>
        <w:t xml:space="preserve">H2020 </w:t>
      </w:r>
      <w:r w:rsidRPr="00763EE5">
        <w:rPr>
          <w:i/>
          <w:color w:val="3A5FAC"/>
        </w:rPr>
        <w:t>ex</w:t>
      </w:r>
      <w:r>
        <w:rPr>
          <w:i/>
          <w:color w:val="3A5FAC"/>
        </w:rPr>
        <w:t>-</w:t>
      </w:r>
      <w:r w:rsidRPr="00763EE5">
        <w:rPr>
          <w:i/>
          <w:color w:val="3A5FAC"/>
        </w:rPr>
        <w:t>post</w:t>
      </w:r>
      <w:r w:rsidRPr="00D416C0">
        <w:rPr>
          <w:color w:val="3A5FAC"/>
        </w:rPr>
        <w:t xml:space="preserve"> audit methodology and error rates</w:t>
      </w:r>
      <w:r>
        <w:rPr>
          <w:color w:val="3A5FAC"/>
        </w:rPr>
        <w:t xml:space="preserve"> – JU approach</w:t>
      </w:r>
    </w:p>
    <w:p w14:paraId="31A15129" w14:textId="32EC8152" w:rsidR="002021EB" w:rsidRDefault="002021EB" w:rsidP="002021EB">
      <w:pPr>
        <w:spacing w:after="479" w:line="237" w:lineRule="auto"/>
        <w:jc w:val="both"/>
      </w:pPr>
      <w:r>
        <w:t xml:space="preserve">For classification, reporting and error-rate calculation purposes, </w:t>
      </w:r>
      <w:r w:rsidR="007F5917">
        <w:t xml:space="preserve">the </w:t>
      </w:r>
      <w:r>
        <w:t xml:space="preserve">JU distinguishes between representative and corrective audits. </w:t>
      </w:r>
      <w:r w:rsidRPr="00777EA2">
        <w:t>Corrective audits are defined as all audits which were not selected by statistically representative sampling.</w:t>
      </w:r>
    </w:p>
    <w:p w14:paraId="14B351F6" w14:textId="015075BB" w:rsidR="002021EB" w:rsidRDefault="002021EB" w:rsidP="002021EB">
      <w:pPr>
        <w:spacing w:after="479" w:line="237" w:lineRule="auto"/>
        <w:ind w:left="2" w:hanging="10"/>
      </w:pPr>
      <w:r w:rsidRPr="00E22F58">
        <w:t xml:space="preserve">Chart: </w:t>
      </w:r>
      <w:r w:rsidRPr="00E22F58">
        <w:rPr>
          <w:b/>
          <w:bCs/>
        </w:rPr>
        <w:t>H2020</w:t>
      </w:r>
      <w:r w:rsidRPr="00D80FEB">
        <w:rPr>
          <w:b/>
          <w:bCs/>
        </w:rPr>
        <w:t xml:space="preserve"> </w:t>
      </w:r>
      <w:r w:rsidRPr="00D80FEB">
        <w:rPr>
          <w:b/>
          <w:bCs/>
          <w:i/>
          <w:iCs/>
        </w:rPr>
        <w:t>ex-post</w:t>
      </w:r>
      <w:r w:rsidRPr="00D80FEB">
        <w:rPr>
          <w:b/>
          <w:bCs/>
        </w:rPr>
        <w:t xml:space="preserve"> audit strategy at </w:t>
      </w:r>
      <w:r w:rsidR="007F5917">
        <w:rPr>
          <w:b/>
          <w:bCs/>
        </w:rPr>
        <w:t>the</w:t>
      </w:r>
      <w:r w:rsidRPr="00D80FEB">
        <w:rPr>
          <w:b/>
          <w:bCs/>
        </w:rPr>
        <w:t xml:space="preserve"> JU – classification of the </w:t>
      </w:r>
      <w:r w:rsidRPr="00D80FEB">
        <w:rPr>
          <w:b/>
          <w:bCs/>
          <w:i/>
        </w:rPr>
        <w:t>ex-post</w:t>
      </w:r>
      <w:r w:rsidRPr="00D80FEB">
        <w:rPr>
          <w:b/>
          <w:bCs/>
        </w:rPr>
        <w:t xml:space="preserve"> audits</w:t>
      </w:r>
      <w:r>
        <w:t xml:space="preserve"> </w:t>
      </w:r>
    </w:p>
    <w:p w14:paraId="3E5C0975" w14:textId="77777777" w:rsidR="002021EB" w:rsidRDefault="002021EB" w:rsidP="002021EB">
      <w:pPr>
        <w:spacing w:after="479" w:line="237" w:lineRule="auto"/>
        <w:ind w:left="2" w:hanging="10"/>
      </w:pPr>
      <w:r w:rsidRPr="00AE310E">
        <w:rPr>
          <w:noProof/>
          <w:lang w:eastAsia="en-GB"/>
        </w:rPr>
        <w:lastRenderedPageBreak/>
        <w:drawing>
          <wp:inline distT="0" distB="0" distL="0" distR="0" wp14:anchorId="18E51890" wp14:editId="27EC1CA3">
            <wp:extent cx="5760720" cy="27641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60720" cy="2764155"/>
                    </a:xfrm>
                    <a:prstGeom prst="rect">
                      <a:avLst/>
                    </a:prstGeom>
                    <a:noFill/>
                    <a:ln>
                      <a:noFill/>
                    </a:ln>
                  </pic:spPr>
                </pic:pic>
              </a:graphicData>
            </a:graphic>
          </wp:inline>
        </w:drawing>
      </w:r>
    </w:p>
    <w:p w14:paraId="6BE3A518" w14:textId="77777777" w:rsidR="002021EB" w:rsidRDefault="002021EB" w:rsidP="002021EB">
      <w:pPr>
        <w:spacing w:after="215" w:line="259" w:lineRule="auto"/>
        <w:ind w:left="2" w:hanging="10"/>
        <w:rPr>
          <w:color w:val="3A5FAC"/>
        </w:rPr>
      </w:pPr>
    </w:p>
    <w:p w14:paraId="17417086" w14:textId="77777777" w:rsidR="002021EB" w:rsidRDefault="002021EB" w:rsidP="002021EB">
      <w:pPr>
        <w:spacing w:after="479" w:line="237" w:lineRule="auto"/>
        <w:ind w:left="2" w:hanging="10"/>
        <w:jc w:val="both"/>
        <w:rPr>
          <w:rFonts w:eastAsia="Times New Roman" w:cs="Calibri"/>
        </w:rPr>
      </w:pPr>
      <w:r>
        <w:rPr>
          <w:rFonts w:eastAsia="Times New Roman" w:cs="Calibri"/>
        </w:rPr>
        <w:t>Given the</w:t>
      </w:r>
      <w:r w:rsidRPr="00D74DB7">
        <w:rPr>
          <w:rFonts w:eastAsia="Times New Roman" w:cs="Calibri"/>
        </w:rPr>
        <w:t xml:space="preserve"> relatively small share of </w:t>
      </w:r>
      <w:r>
        <w:rPr>
          <w:rFonts w:eastAsia="Times New Roman" w:cs="Calibri"/>
        </w:rPr>
        <w:t>the Clean Hydrogen’</w:t>
      </w:r>
      <w:r w:rsidRPr="00D74DB7">
        <w:rPr>
          <w:rFonts w:eastAsia="Times New Roman" w:cs="Calibri"/>
        </w:rPr>
        <w:t>s budget</w:t>
      </w:r>
      <w:r>
        <w:rPr>
          <w:rFonts w:eastAsia="Times New Roman" w:cs="Calibri"/>
        </w:rPr>
        <w:t xml:space="preserve"> (target for H2020 overall EC contribution of EUR 665 million: 1</w:t>
      </w:r>
      <w:r>
        <w:t xml:space="preserve"> </w:t>
      </w:r>
      <w:r>
        <w:rPr>
          <w:rFonts w:eastAsia="Times New Roman" w:cs="Calibri"/>
        </w:rPr>
        <w:t>%)</w:t>
      </w:r>
      <w:r w:rsidRPr="00D74DB7">
        <w:rPr>
          <w:rFonts w:eastAsia="Times New Roman" w:cs="Calibri"/>
        </w:rPr>
        <w:t xml:space="preserve"> compared to the overall H2020 </w:t>
      </w:r>
      <w:r>
        <w:rPr>
          <w:rFonts w:eastAsia="Times New Roman" w:cs="Calibri"/>
        </w:rPr>
        <w:t xml:space="preserve">target </w:t>
      </w:r>
      <w:r w:rsidRPr="00D74DB7">
        <w:rPr>
          <w:rFonts w:eastAsia="Times New Roman" w:cs="Calibri"/>
        </w:rPr>
        <w:t>budget</w:t>
      </w:r>
      <w:r>
        <w:rPr>
          <w:rFonts w:eastAsia="Times New Roman" w:cs="Calibri"/>
        </w:rPr>
        <w:t xml:space="preserve"> (EUR</w:t>
      </w:r>
      <w:r>
        <w:t xml:space="preserve"> 63 584 million</w:t>
      </w:r>
      <w:r>
        <w:rPr>
          <w:rStyle w:val="FootnoteReference"/>
        </w:rPr>
        <w:footnoteReference w:id="118"/>
      </w:r>
      <w:r>
        <w:t xml:space="preserve">: </w:t>
      </w:r>
      <w:r>
        <w:rPr>
          <w:rFonts w:eastAsia="Times New Roman" w:cs="Calibri"/>
        </w:rPr>
        <w:t>100</w:t>
      </w:r>
      <w:r>
        <w:t xml:space="preserve"> </w:t>
      </w:r>
      <w:r>
        <w:rPr>
          <w:rFonts w:eastAsia="Times New Roman" w:cs="Calibri"/>
        </w:rPr>
        <w:t>%)</w:t>
      </w:r>
      <w:r w:rsidRPr="00D74DB7">
        <w:rPr>
          <w:rFonts w:eastAsia="Times New Roman" w:cs="Calibri"/>
        </w:rPr>
        <w:t xml:space="preserve">, the number of </w:t>
      </w:r>
      <w:r>
        <w:rPr>
          <w:rFonts w:eastAsia="Times New Roman" w:cs="Calibri"/>
        </w:rPr>
        <w:t>participations</w:t>
      </w:r>
      <w:r w:rsidRPr="00D74DB7">
        <w:rPr>
          <w:rFonts w:eastAsia="Times New Roman" w:cs="Calibri"/>
        </w:rPr>
        <w:t xml:space="preserve"> selected for </w:t>
      </w:r>
      <w:r w:rsidRPr="00763EE5">
        <w:rPr>
          <w:rFonts w:eastAsia="Times New Roman" w:cs="Calibri"/>
          <w:i/>
        </w:rPr>
        <w:t>ex</w:t>
      </w:r>
      <w:r>
        <w:rPr>
          <w:rFonts w:eastAsia="Times New Roman" w:cs="Calibri"/>
          <w:i/>
        </w:rPr>
        <w:t>-</w:t>
      </w:r>
      <w:r w:rsidRPr="00763EE5">
        <w:rPr>
          <w:rFonts w:eastAsia="Times New Roman" w:cs="Calibri"/>
          <w:i/>
        </w:rPr>
        <w:t>post</w:t>
      </w:r>
      <w:r w:rsidRPr="00D74DB7">
        <w:rPr>
          <w:rFonts w:eastAsia="Times New Roman" w:cs="Calibri"/>
        </w:rPr>
        <w:t xml:space="preserve"> audit by the CAS via the </w:t>
      </w:r>
      <w:r>
        <w:rPr>
          <w:rFonts w:eastAsia="Times New Roman" w:cs="Calibri"/>
        </w:rPr>
        <w:t>CRaS is very limited.</w:t>
      </w:r>
    </w:p>
    <w:p w14:paraId="4486803F" w14:textId="3B35DEFC" w:rsidR="002021EB" w:rsidRDefault="002021EB" w:rsidP="002021EB">
      <w:pPr>
        <w:spacing w:after="479" w:line="237" w:lineRule="auto"/>
        <w:ind w:left="2" w:hanging="10"/>
        <w:jc w:val="both"/>
        <w:rPr>
          <w:rFonts w:eastAsia="Times New Roman" w:cs="Calibri"/>
        </w:rPr>
      </w:pPr>
      <w:r>
        <w:rPr>
          <w:rFonts w:eastAsia="Times New Roman" w:cs="Calibri"/>
        </w:rPr>
        <w:t xml:space="preserve">This observation was further confirmed by the fact that in the four rounds of CRaS (629 participations), there were only three JU participations directly hit by the monetary unit sampling. The items hit by CRaS are considered as representative for calculation of the JU specific error rates. </w:t>
      </w:r>
    </w:p>
    <w:p w14:paraId="76F2DA3C" w14:textId="1CB84A2B" w:rsidR="002021EB" w:rsidRDefault="002021EB" w:rsidP="002021EB">
      <w:pPr>
        <w:spacing w:after="479" w:line="237" w:lineRule="auto"/>
        <w:ind w:left="2" w:hanging="10"/>
        <w:jc w:val="both"/>
        <w:rPr>
          <w:rFonts w:eastAsia="Times New Roman" w:cs="Calibri"/>
        </w:rPr>
      </w:pPr>
      <w:r>
        <w:rPr>
          <w:rFonts w:eastAsia="Times New Roman" w:cs="Calibri"/>
        </w:rPr>
        <w:t xml:space="preserve">By 31 </w:t>
      </w:r>
      <w:r w:rsidRPr="00AE310E">
        <w:rPr>
          <w:rFonts w:eastAsia="Times New Roman" w:cs="Calibri"/>
        </w:rPr>
        <w:t>December 2021 there were</w:t>
      </w:r>
      <w:r>
        <w:rPr>
          <w:rFonts w:eastAsia="Times New Roman" w:cs="Calibri"/>
        </w:rPr>
        <w:t xml:space="preserve"> two results available and incorporated into the JU specific error rate calculation.</w:t>
      </w:r>
    </w:p>
    <w:p w14:paraId="5DAB1878" w14:textId="1E018BC7" w:rsidR="002021EB" w:rsidRDefault="002021EB" w:rsidP="002021EB">
      <w:pPr>
        <w:spacing w:after="479" w:line="237" w:lineRule="auto"/>
        <w:jc w:val="both"/>
        <w:rPr>
          <w:rFonts w:eastAsia="Times New Roman" w:cs="Calibri"/>
        </w:rPr>
      </w:pPr>
      <w:r>
        <w:rPr>
          <w:rFonts w:eastAsia="Times New Roman" w:cs="Calibri"/>
        </w:rPr>
        <w:t xml:space="preserve">In addition to CRaS samples and in line with Annex 1 to the H2020 </w:t>
      </w:r>
      <w:r w:rsidRPr="00D80FEB">
        <w:rPr>
          <w:rFonts w:eastAsia="Times New Roman" w:cs="Calibri"/>
          <w:i/>
        </w:rPr>
        <w:t>ex-post</w:t>
      </w:r>
      <w:r>
        <w:rPr>
          <w:rFonts w:eastAsia="Times New Roman" w:cs="Calibri"/>
        </w:rPr>
        <w:t xml:space="preserve"> audit strategy, the JU planned for additional</w:t>
      </w:r>
      <w:r w:rsidRPr="00D74DB7">
        <w:rPr>
          <w:rFonts w:eastAsia="Times New Roman" w:cs="Calibri"/>
        </w:rPr>
        <w:t xml:space="preserve"> audit sampling</w:t>
      </w:r>
      <w:r>
        <w:rPr>
          <w:rFonts w:eastAsia="Times New Roman" w:cs="Calibri"/>
        </w:rPr>
        <w:t xml:space="preserve"> (</w:t>
      </w:r>
      <w:proofErr w:type="gramStart"/>
      <w:r>
        <w:rPr>
          <w:rFonts w:eastAsia="Times New Roman" w:cs="Calibri"/>
        </w:rPr>
        <w:t>i.e.</w:t>
      </w:r>
      <w:proofErr w:type="gramEnd"/>
      <w:r>
        <w:rPr>
          <w:rFonts w:eastAsia="Times New Roman" w:cs="Calibri"/>
        </w:rPr>
        <w:t xml:space="preserve"> JUs’ specific sample)</w:t>
      </w:r>
      <w:r w:rsidRPr="00D74DB7">
        <w:rPr>
          <w:rFonts w:eastAsia="Times New Roman" w:cs="Calibri"/>
        </w:rPr>
        <w:t xml:space="preserve"> </w:t>
      </w:r>
      <w:r>
        <w:rPr>
          <w:rFonts w:eastAsia="Times New Roman" w:cs="Calibri"/>
        </w:rPr>
        <w:t>in order</w:t>
      </w:r>
      <w:r w:rsidRPr="00D74DB7">
        <w:rPr>
          <w:rFonts w:eastAsia="Times New Roman" w:cs="Calibri"/>
        </w:rPr>
        <w:t xml:space="preserve"> </w:t>
      </w:r>
      <w:r>
        <w:rPr>
          <w:rFonts w:eastAsia="Times New Roman" w:cs="Calibri"/>
        </w:rPr>
        <w:t xml:space="preserve">to </w:t>
      </w:r>
      <w:r w:rsidRPr="00D74DB7">
        <w:rPr>
          <w:rFonts w:eastAsia="Times New Roman" w:cs="Calibri"/>
        </w:rPr>
        <w:t xml:space="preserve">ensure sufficient </w:t>
      </w:r>
      <w:r w:rsidRPr="00763EE5">
        <w:rPr>
          <w:rFonts w:eastAsia="Times New Roman" w:cs="Calibri"/>
          <w:i/>
        </w:rPr>
        <w:t>ex</w:t>
      </w:r>
      <w:r>
        <w:rPr>
          <w:rFonts w:eastAsia="Times New Roman" w:cs="Calibri"/>
          <w:i/>
        </w:rPr>
        <w:t>-</w:t>
      </w:r>
      <w:r w:rsidRPr="00763EE5">
        <w:rPr>
          <w:rFonts w:eastAsia="Times New Roman" w:cs="Calibri"/>
          <w:i/>
        </w:rPr>
        <w:t>post</w:t>
      </w:r>
      <w:r w:rsidRPr="00D74DB7">
        <w:rPr>
          <w:rFonts w:eastAsia="Times New Roman" w:cs="Calibri"/>
        </w:rPr>
        <w:t xml:space="preserve"> audit coverage and </w:t>
      </w:r>
      <w:r>
        <w:rPr>
          <w:rFonts w:eastAsia="Times New Roman" w:cs="Calibri"/>
        </w:rPr>
        <w:t>enable</w:t>
      </w:r>
      <w:r w:rsidRPr="00D74DB7">
        <w:rPr>
          <w:rFonts w:eastAsia="Times New Roman" w:cs="Calibri"/>
        </w:rPr>
        <w:t xml:space="preserve"> a representative error rate </w:t>
      </w:r>
      <w:r>
        <w:rPr>
          <w:rFonts w:eastAsia="Times New Roman" w:cs="Calibri"/>
        </w:rPr>
        <w:t>on JU expenditure to be calculated over time. This</w:t>
      </w:r>
      <w:r w:rsidRPr="00D74DB7">
        <w:rPr>
          <w:rFonts w:eastAsia="Times New Roman" w:cs="Calibri"/>
        </w:rPr>
        <w:t xml:space="preserve"> is necessary to provide reasonable assurance to the JU </w:t>
      </w:r>
      <w:r>
        <w:rPr>
          <w:rFonts w:eastAsia="Times New Roman" w:cs="Calibri"/>
        </w:rPr>
        <w:t>E</w:t>
      </w:r>
      <w:r w:rsidRPr="00D74DB7">
        <w:rPr>
          <w:rFonts w:eastAsia="Times New Roman" w:cs="Calibri"/>
        </w:rPr>
        <w:t xml:space="preserve">xecutive </w:t>
      </w:r>
      <w:r>
        <w:rPr>
          <w:rFonts w:eastAsia="Times New Roman" w:cs="Calibri"/>
        </w:rPr>
        <w:t>D</w:t>
      </w:r>
      <w:r w:rsidRPr="00D74DB7">
        <w:rPr>
          <w:rFonts w:eastAsia="Times New Roman" w:cs="Calibri"/>
        </w:rPr>
        <w:t>irector in view of his declaration of assurance and the separate discharge procedure for the JU.</w:t>
      </w:r>
    </w:p>
    <w:p w14:paraId="07D6AA5C" w14:textId="31F62251" w:rsidR="002021EB" w:rsidRDefault="002021EB" w:rsidP="002021EB">
      <w:pPr>
        <w:spacing w:after="479" w:line="237" w:lineRule="auto"/>
        <w:ind w:left="2" w:hanging="10"/>
        <w:jc w:val="both"/>
        <w:rPr>
          <w:rFonts w:eastAsia="Times New Roman" w:cs="Calibri"/>
        </w:rPr>
      </w:pPr>
      <w:r w:rsidRPr="00B0064F">
        <w:rPr>
          <w:rFonts w:eastAsia="Times New Roman" w:cs="Calibri"/>
        </w:rPr>
        <w:t>By 31 December 202</w:t>
      </w:r>
      <w:r>
        <w:rPr>
          <w:rFonts w:eastAsia="Times New Roman" w:cs="Calibri"/>
        </w:rPr>
        <w:t>1</w:t>
      </w:r>
      <w:r w:rsidRPr="00B0064F">
        <w:rPr>
          <w:rFonts w:eastAsia="Times New Roman" w:cs="Calibri"/>
        </w:rPr>
        <w:t xml:space="preserve">, the JU had </w:t>
      </w:r>
      <w:r w:rsidRPr="00AE310E">
        <w:rPr>
          <w:rFonts w:eastAsia="Times New Roman" w:cs="Calibri"/>
        </w:rPr>
        <w:t>selected 153 participations</w:t>
      </w:r>
      <w:r w:rsidRPr="00B0064F">
        <w:rPr>
          <w:rFonts w:eastAsia="Times New Roman" w:cs="Calibri"/>
        </w:rPr>
        <w:t xml:space="preserve"> for </w:t>
      </w:r>
      <w:r w:rsidRPr="00B0064F">
        <w:rPr>
          <w:rFonts w:eastAsia="Times New Roman" w:cs="Calibri"/>
          <w:i/>
          <w:iCs/>
        </w:rPr>
        <w:t>ex-post</w:t>
      </w:r>
      <w:r w:rsidRPr="00B0064F">
        <w:rPr>
          <w:rFonts w:eastAsia="Times New Roman" w:cs="Calibri"/>
        </w:rPr>
        <w:t xml:space="preserve"> audits (compared to the estimated target of 295 participations audited for the whole H2020 programme). </w:t>
      </w:r>
    </w:p>
    <w:p w14:paraId="51523B13" w14:textId="4A8F4701" w:rsidR="002021EB" w:rsidRDefault="002021EB" w:rsidP="002021EB">
      <w:pPr>
        <w:spacing w:after="479" w:line="237" w:lineRule="auto"/>
        <w:ind w:left="2" w:hanging="10"/>
        <w:jc w:val="both"/>
        <w:rPr>
          <w:rFonts w:eastAsia="Times New Roman" w:cs="Calibri"/>
        </w:rPr>
      </w:pPr>
      <w:r w:rsidRPr="00B0064F">
        <w:rPr>
          <w:rFonts w:eastAsia="Times New Roman" w:cs="Calibri"/>
        </w:rPr>
        <w:t xml:space="preserve">As observed in the table and graphs below, the </w:t>
      </w:r>
      <w:r>
        <w:rPr>
          <w:rFonts w:eastAsia="Times New Roman" w:cs="Calibri"/>
        </w:rPr>
        <w:t>JU</w:t>
      </w:r>
      <w:r w:rsidRPr="00B0064F">
        <w:rPr>
          <w:rFonts w:eastAsia="Times New Roman" w:cs="Calibri"/>
        </w:rPr>
        <w:t xml:space="preserve"> is approximately in the middle of the H2020 campaign,</w:t>
      </w:r>
      <w:r>
        <w:rPr>
          <w:rFonts w:eastAsia="Times New Roman" w:cs="Calibri"/>
        </w:rPr>
        <w:t xml:space="preserve"> reflecting a progressive validation of the H2020 expenditures in the ongoing actions.</w:t>
      </w:r>
    </w:p>
    <w:p w14:paraId="5AB135D2" w14:textId="77777777" w:rsidR="002021EB" w:rsidRPr="002F44A2" w:rsidRDefault="002021EB" w:rsidP="002021EB">
      <w:pPr>
        <w:spacing w:after="479" w:line="237" w:lineRule="auto"/>
        <w:ind w:left="2" w:hanging="10"/>
        <w:jc w:val="both"/>
        <w:rPr>
          <w:rFonts w:eastAsia="Times New Roman" w:cs="Calibri"/>
          <w:b/>
          <w:bCs/>
        </w:rPr>
      </w:pPr>
      <w:r w:rsidRPr="00E22F58">
        <w:rPr>
          <w:rFonts w:eastAsia="Times New Roman" w:cs="Calibri"/>
          <w:b/>
          <w:bCs/>
        </w:rPr>
        <w:lastRenderedPageBreak/>
        <w:t>Table 4.3.6:</w:t>
      </w:r>
      <w:r w:rsidRPr="00CA03DE">
        <w:rPr>
          <w:rFonts w:eastAsia="Times New Roman" w:cs="Calibri"/>
        </w:rPr>
        <w:t xml:space="preserve"> </w:t>
      </w:r>
      <w:r w:rsidRPr="002F44A2">
        <w:rPr>
          <w:rFonts w:eastAsia="Times New Roman" w:cs="Calibri"/>
          <w:b/>
          <w:bCs/>
          <w:i/>
          <w:iCs/>
        </w:rPr>
        <w:t>Ex-post</w:t>
      </w:r>
      <w:r w:rsidRPr="002F44A2">
        <w:rPr>
          <w:rFonts w:eastAsia="Times New Roman" w:cs="Calibri"/>
          <w:b/>
          <w:bCs/>
        </w:rPr>
        <w:t xml:space="preserve"> audits in-progress table </w:t>
      </w:r>
      <w:proofErr w:type="gramStart"/>
      <w:r>
        <w:rPr>
          <w:rFonts w:eastAsia="Times New Roman" w:cs="Calibri"/>
          <w:b/>
          <w:bCs/>
        </w:rPr>
        <w:t>at</w:t>
      </w:r>
      <w:proofErr w:type="gramEnd"/>
      <w:r w:rsidRPr="002F44A2">
        <w:rPr>
          <w:rFonts w:eastAsia="Times New Roman" w:cs="Calibri"/>
          <w:b/>
          <w:bCs/>
        </w:rPr>
        <w:t xml:space="preserve"> 31 December </w:t>
      </w:r>
      <w:r w:rsidRPr="00AE310E">
        <w:rPr>
          <w:rFonts w:eastAsia="Times New Roman" w:cs="Calibri"/>
          <w:b/>
          <w:bCs/>
        </w:rPr>
        <w:t>2021</w:t>
      </w:r>
      <w:r w:rsidRPr="002F44A2">
        <w:rPr>
          <w:rFonts w:eastAsia="Times New Roman" w:cs="Calibri"/>
          <w:b/>
          <w:bCs/>
        </w:rPr>
        <w:t xml:space="preserve"> - </w:t>
      </w:r>
      <w:r w:rsidRPr="006919C2">
        <w:rPr>
          <w:rFonts w:eastAsia="Times New Roman" w:cs="Calibri"/>
          <w:b/>
          <w:bCs/>
        </w:rPr>
        <w:t>completeness status</w:t>
      </w:r>
    </w:p>
    <w:tbl>
      <w:tblPr>
        <w:tblW w:w="7540" w:type="dxa"/>
        <w:tblLook w:val="04A0" w:firstRow="1" w:lastRow="0" w:firstColumn="1" w:lastColumn="0" w:noHBand="0" w:noVBand="1"/>
      </w:tblPr>
      <w:tblGrid>
        <w:gridCol w:w="2972"/>
        <w:gridCol w:w="1088"/>
        <w:gridCol w:w="1160"/>
        <w:gridCol w:w="1160"/>
        <w:gridCol w:w="1160"/>
      </w:tblGrid>
      <w:tr w:rsidR="002021EB" w:rsidRPr="00A96BCD" w14:paraId="297D4AA7" w14:textId="77777777" w:rsidTr="00DF2591">
        <w:trPr>
          <w:trHeight w:val="290"/>
        </w:trPr>
        <w:tc>
          <w:tcPr>
            <w:tcW w:w="2972" w:type="dxa"/>
            <w:vMerge w:val="restart"/>
            <w:tcBorders>
              <w:top w:val="single" w:sz="4" w:space="0" w:color="auto"/>
              <w:left w:val="single" w:sz="4" w:space="0" w:color="auto"/>
              <w:bottom w:val="single" w:sz="4" w:space="0" w:color="000000"/>
              <w:right w:val="single" w:sz="4" w:space="0" w:color="auto"/>
            </w:tcBorders>
            <w:shd w:val="clear" w:color="000000" w:fill="00B0F0"/>
            <w:vAlign w:val="center"/>
            <w:hideMark/>
          </w:tcPr>
          <w:p w14:paraId="5B6AA509" w14:textId="29D982FE" w:rsidR="002021EB" w:rsidRPr="00A96BCD" w:rsidRDefault="002021EB" w:rsidP="00DF2591">
            <w:pPr>
              <w:spacing w:after="0" w:line="240" w:lineRule="auto"/>
              <w:rPr>
                <w:rFonts w:eastAsia="Times New Roman" w:cs="Calibri"/>
                <w:b/>
                <w:bCs/>
                <w:color w:val="FFFFFF"/>
                <w:sz w:val="20"/>
                <w:szCs w:val="20"/>
                <w:lang w:eastAsia="en-GB"/>
              </w:rPr>
            </w:pPr>
            <w:r w:rsidRPr="00A96BCD">
              <w:rPr>
                <w:rFonts w:eastAsia="Times New Roman" w:cs="Calibri"/>
                <w:b/>
                <w:bCs/>
                <w:color w:val="FFFFFF"/>
                <w:sz w:val="20"/>
                <w:szCs w:val="20"/>
                <w:lang w:eastAsia="en-GB"/>
              </w:rPr>
              <w:t>H2020 audits with JU participations</w:t>
            </w:r>
          </w:p>
        </w:tc>
        <w:tc>
          <w:tcPr>
            <w:tcW w:w="4568" w:type="dxa"/>
            <w:gridSpan w:val="4"/>
            <w:tcBorders>
              <w:top w:val="nil"/>
              <w:left w:val="nil"/>
              <w:bottom w:val="single" w:sz="4" w:space="0" w:color="auto"/>
              <w:right w:val="nil"/>
            </w:tcBorders>
            <w:shd w:val="clear" w:color="000000" w:fill="00B0F0"/>
            <w:noWrap/>
            <w:vAlign w:val="bottom"/>
            <w:hideMark/>
          </w:tcPr>
          <w:p w14:paraId="254A2BC1" w14:textId="77777777" w:rsidR="002021EB" w:rsidRPr="00A96BCD" w:rsidRDefault="002021EB" w:rsidP="00DF2591">
            <w:pPr>
              <w:spacing w:after="0" w:line="240" w:lineRule="auto"/>
              <w:jc w:val="center"/>
              <w:rPr>
                <w:rFonts w:eastAsia="Times New Roman" w:cs="Calibri"/>
                <w:b/>
                <w:bCs/>
                <w:color w:val="FFFFFF"/>
                <w:sz w:val="20"/>
                <w:szCs w:val="20"/>
                <w:lang w:eastAsia="en-GB"/>
              </w:rPr>
            </w:pPr>
            <w:r w:rsidRPr="00A96BCD">
              <w:rPr>
                <w:rFonts w:eastAsia="Times New Roman" w:cs="Calibri"/>
                <w:b/>
                <w:bCs/>
                <w:color w:val="FFFFFF"/>
                <w:sz w:val="20"/>
                <w:szCs w:val="20"/>
                <w:lang w:eastAsia="en-GB"/>
              </w:rPr>
              <w:t>Number of participations</w:t>
            </w:r>
          </w:p>
        </w:tc>
      </w:tr>
      <w:tr w:rsidR="002021EB" w:rsidRPr="00A96BCD" w14:paraId="3C68ADDC" w14:textId="77777777" w:rsidTr="00DF2591">
        <w:trPr>
          <w:trHeight w:val="790"/>
        </w:trPr>
        <w:tc>
          <w:tcPr>
            <w:tcW w:w="2972" w:type="dxa"/>
            <w:vMerge/>
            <w:tcBorders>
              <w:top w:val="single" w:sz="4" w:space="0" w:color="auto"/>
              <w:left w:val="single" w:sz="4" w:space="0" w:color="auto"/>
              <w:bottom w:val="single" w:sz="4" w:space="0" w:color="000000"/>
              <w:right w:val="single" w:sz="4" w:space="0" w:color="auto"/>
            </w:tcBorders>
            <w:vAlign w:val="center"/>
            <w:hideMark/>
          </w:tcPr>
          <w:p w14:paraId="46A5C3B5" w14:textId="77777777" w:rsidR="002021EB" w:rsidRPr="00A96BCD" w:rsidRDefault="002021EB" w:rsidP="00DF2591">
            <w:pPr>
              <w:spacing w:after="0" w:line="240" w:lineRule="auto"/>
              <w:rPr>
                <w:rFonts w:eastAsia="Times New Roman" w:cs="Calibri"/>
                <w:b/>
                <w:bCs/>
                <w:color w:val="FFFFFF"/>
                <w:sz w:val="20"/>
                <w:szCs w:val="20"/>
                <w:lang w:eastAsia="en-GB"/>
              </w:rPr>
            </w:pPr>
          </w:p>
        </w:tc>
        <w:tc>
          <w:tcPr>
            <w:tcW w:w="1088" w:type="dxa"/>
            <w:tcBorders>
              <w:top w:val="nil"/>
              <w:left w:val="nil"/>
              <w:bottom w:val="single" w:sz="4" w:space="0" w:color="auto"/>
              <w:right w:val="single" w:sz="4" w:space="0" w:color="auto"/>
            </w:tcBorders>
            <w:shd w:val="clear" w:color="000000" w:fill="00B0F0"/>
            <w:vAlign w:val="bottom"/>
            <w:hideMark/>
          </w:tcPr>
          <w:p w14:paraId="6051C4D4" w14:textId="77777777" w:rsidR="002021EB" w:rsidRPr="00A96BCD" w:rsidRDefault="002021EB" w:rsidP="00DF2591">
            <w:pPr>
              <w:spacing w:after="0" w:line="240" w:lineRule="auto"/>
              <w:jc w:val="center"/>
              <w:rPr>
                <w:rFonts w:eastAsia="Times New Roman" w:cs="Calibri"/>
                <w:b/>
                <w:bCs/>
                <w:color w:val="FFFFFF"/>
                <w:sz w:val="20"/>
                <w:szCs w:val="20"/>
                <w:lang w:eastAsia="en-GB"/>
              </w:rPr>
            </w:pPr>
            <w:r w:rsidRPr="00A96BCD">
              <w:rPr>
                <w:rFonts w:eastAsia="Times New Roman" w:cs="Calibri"/>
                <w:b/>
                <w:bCs/>
                <w:color w:val="FFFFFF"/>
                <w:sz w:val="20"/>
                <w:szCs w:val="20"/>
                <w:lang w:eastAsia="en-GB"/>
              </w:rPr>
              <w:t xml:space="preserve">Closed </w:t>
            </w:r>
          </w:p>
        </w:tc>
        <w:tc>
          <w:tcPr>
            <w:tcW w:w="1160" w:type="dxa"/>
            <w:tcBorders>
              <w:top w:val="nil"/>
              <w:left w:val="nil"/>
              <w:bottom w:val="single" w:sz="4" w:space="0" w:color="auto"/>
              <w:right w:val="single" w:sz="4" w:space="0" w:color="auto"/>
            </w:tcBorders>
            <w:shd w:val="clear" w:color="000000" w:fill="00B0F0"/>
            <w:vAlign w:val="bottom"/>
            <w:hideMark/>
          </w:tcPr>
          <w:p w14:paraId="3BF8DD32" w14:textId="77777777" w:rsidR="002021EB" w:rsidRPr="00A96BCD" w:rsidRDefault="002021EB" w:rsidP="00DF2591">
            <w:pPr>
              <w:spacing w:after="0" w:line="240" w:lineRule="auto"/>
              <w:jc w:val="center"/>
              <w:rPr>
                <w:rFonts w:eastAsia="Times New Roman" w:cs="Calibri"/>
                <w:b/>
                <w:bCs/>
                <w:color w:val="FFFFFF"/>
                <w:sz w:val="20"/>
                <w:szCs w:val="20"/>
                <w:lang w:eastAsia="en-GB"/>
              </w:rPr>
            </w:pPr>
            <w:r w:rsidRPr="00A96BCD">
              <w:rPr>
                <w:rFonts w:eastAsia="Times New Roman" w:cs="Calibri"/>
                <w:b/>
                <w:bCs/>
                <w:color w:val="FFFFFF"/>
                <w:sz w:val="20"/>
                <w:szCs w:val="20"/>
                <w:lang w:eastAsia="en-GB"/>
              </w:rPr>
              <w:t>Ongoing</w:t>
            </w:r>
          </w:p>
        </w:tc>
        <w:tc>
          <w:tcPr>
            <w:tcW w:w="1160" w:type="dxa"/>
            <w:tcBorders>
              <w:top w:val="nil"/>
              <w:left w:val="nil"/>
              <w:bottom w:val="single" w:sz="4" w:space="0" w:color="auto"/>
              <w:right w:val="single" w:sz="4" w:space="0" w:color="auto"/>
            </w:tcBorders>
            <w:shd w:val="clear" w:color="000000" w:fill="00B0F0"/>
            <w:vAlign w:val="bottom"/>
            <w:hideMark/>
          </w:tcPr>
          <w:p w14:paraId="554A9B62" w14:textId="77777777" w:rsidR="002021EB" w:rsidRPr="00A96BCD" w:rsidRDefault="002021EB" w:rsidP="00DF2591">
            <w:pPr>
              <w:spacing w:after="0" w:line="240" w:lineRule="auto"/>
              <w:jc w:val="center"/>
              <w:rPr>
                <w:rFonts w:eastAsia="Times New Roman" w:cs="Calibri"/>
                <w:b/>
                <w:bCs/>
                <w:color w:val="FFFFFF"/>
                <w:sz w:val="20"/>
                <w:szCs w:val="20"/>
                <w:lang w:eastAsia="en-GB"/>
              </w:rPr>
            </w:pPr>
            <w:r w:rsidRPr="00A96BCD">
              <w:rPr>
                <w:rFonts w:eastAsia="Times New Roman" w:cs="Calibri"/>
                <w:b/>
                <w:bCs/>
                <w:color w:val="FFFFFF"/>
                <w:sz w:val="20"/>
                <w:szCs w:val="20"/>
                <w:lang w:eastAsia="en-GB"/>
              </w:rPr>
              <w:t>To be selected</w:t>
            </w:r>
          </w:p>
        </w:tc>
        <w:tc>
          <w:tcPr>
            <w:tcW w:w="1160" w:type="dxa"/>
            <w:tcBorders>
              <w:top w:val="nil"/>
              <w:left w:val="nil"/>
              <w:bottom w:val="single" w:sz="4" w:space="0" w:color="auto"/>
              <w:right w:val="single" w:sz="4" w:space="0" w:color="auto"/>
            </w:tcBorders>
            <w:shd w:val="clear" w:color="000000" w:fill="00B0F0"/>
            <w:vAlign w:val="bottom"/>
            <w:hideMark/>
          </w:tcPr>
          <w:p w14:paraId="2A37DEBC" w14:textId="77777777" w:rsidR="002021EB" w:rsidRPr="00A96BCD" w:rsidRDefault="002021EB" w:rsidP="00DF2591">
            <w:pPr>
              <w:spacing w:after="0" w:line="240" w:lineRule="auto"/>
              <w:jc w:val="center"/>
              <w:rPr>
                <w:rFonts w:eastAsia="Times New Roman" w:cs="Calibri"/>
                <w:b/>
                <w:bCs/>
                <w:color w:val="FFFFFF"/>
                <w:sz w:val="20"/>
                <w:szCs w:val="20"/>
                <w:lang w:eastAsia="en-GB"/>
              </w:rPr>
            </w:pPr>
            <w:r w:rsidRPr="00A96BCD">
              <w:rPr>
                <w:rFonts w:eastAsia="Times New Roman" w:cs="Calibri"/>
                <w:b/>
                <w:bCs/>
                <w:color w:val="FFFFFF"/>
                <w:sz w:val="20"/>
                <w:szCs w:val="20"/>
                <w:lang w:eastAsia="en-GB"/>
              </w:rPr>
              <w:t xml:space="preserve">H2020 overall target </w:t>
            </w:r>
          </w:p>
        </w:tc>
      </w:tr>
      <w:tr w:rsidR="002021EB" w:rsidRPr="00A96BCD" w14:paraId="7EF48B36" w14:textId="77777777" w:rsidTr="00DF2591">
        <w:trPr>
          <w:trHeight w:val="290"/>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16E2A96A" w14:textId="77777777" w:rsidR="002021EB" w:rsidRPr="00A96BCD" w:rsidRDefault="002021EB" w:rsidP="00DF2591">
            <w:pPr>
              <w:spacing w:after="0" w:line="240" w:lineRule="auto"/>
              <w:rPr>
                <w:rFonts w:eastAsia="Times New Roman" w:cs="Calibri"/>
                <w:lang w:eastAsia="en-GB"/>
              </w:rPr>
            </w:pPr>
            <w:r w:rsidRPr="00A96BCD">
              <w:rPr>
                <w:rFonts w:eastAsia="Times New Roman" w:cs="Calibri"/>
                <w:lang w:eastAsia="en-GB"/>
              </w:rPr>
              <w:t>Total up to 31 December 202</w:t>
            </w:r>
            <w:r>
              <w:rPr>
                <w:rFonts w:eastAsia="Times New Roman" w:cs="Calibri"/>
                <w:lang w:eastAsia="en-GB"/>
              </w:rPr>
              <w:t>1</w:t>
            </w:r>
          </w:p>
        </w:tc>
        <w:tc>
          <w:tcPr>
            <w:tcW w:w="1088" w:type="dxa"/>
            <w:tcBorders>
              <w:top w:val="nil"/>
              <w:left w:val="nil"/>
              <w:bottom w:val="single" w:sz="4" w:space="0" w:color="auto"/>
              <w:right w:val="single" w:sz="4" w:space="0" w:color="auto"/>
            </w:tcBorders>
            <w:shd w:val="clear" w:color="auto" w:fill="auto"/>
            <w:noWrap/>
            <w:vAlign w:val="bottom"/>
            <w:hideMark/>
          </w:tcPr>
          <w:p w14:paraId="108A0ED8" w14:textId="77777777" w:rsidR="002021EB" w:rsidRPr="00A96BCD" w:rsidRDefault="002021EB" w:rsidP="00DF2591">
            <w:pPr>
              <w:spacing w:after="0" w:line="240" w:lineRule="auto"/>
              <w:jc w:val="center"/>
              <w:rPr>
                <w:rFonts w:eastAsia="Times New Roman" w:cs="Calibri"/>
                <w:lang w:eastAsia="en-GB"/>
              </w:rPr>
            </w:pPr>
            <w:r>
              <w:rPr>
                <w:rFonts w:eastAsia="Times New Roman" w:cs="Calibri"/>
                <w:lang w:eastAsia="en-GB"/>
              </w:rPr>
              <w:t>92</w:t>
            </w:r>
          </w:p>
        </w:tc>
        <w:tc>
          <w:tcPr>
            <w:tcW w:w="1160" w:type="dxa"/>
            <w:tcBorders>
              <w:top w:val="nil"/>
              <w:left w:val="nil"/>
              <w:bottom w:val="single" w:sz="4" w:space="0" w:color="auto"/>
              <w:right w:val="single" w:sz="4" w:space="0" w:color="auto"/>
            </w:tcBorders>
            <w:shd w:val="clear" w:color="auto" w:fill="auto"/>
            <w:noWrap/>
            <w:vAlign w:val="bottom"/>
            <w:hideMark/>
          </w:tcPr>
          <w:p w14:paraId="1B6824F3" w14:textId="77777777" w:rsidR="002021EB" w:rsidRPr="00A96BCD" w:rsidRDefault="002021EB" w:rsidP="00DF2591">
            <w:pPr>
              <w:spacing w:after="0" w:line="240" w:lineRule="auto"/>
              <w:jc w:val="center"/>
              <w:rPr>
                <w:rFonts w:eastAsia="Times New Roman" w:cs="Calibri"/>
                <w:lang w:eastAsia="en-GB"/>
              </w:rPr>
            </w:pPr>
            <w:r>
              <w:rPr>
                <w:rFonts w:eastAsia="Times New Roman" w:cs="Calibri"/>
                <w:lang w:eastAsia="en-GB"/>
              </w:rPr>
              <w:t>61</w:t>
            </w:r>
          </w:p>
        </w:tc>
        <w:tc>
          <w:tcPr>
            <w:tcW w:w="1160" w:type="dxa"/>
            <w:tcBorders>
              <w:top w:val="nil"/>
              <w:left w:val="nil"/>
              <w:bottom w:val="single" w:sz="4" w:space="0" w:color="auto"/>
              <w:right w:val="single" w:sz="4" w:space="0" w:color="auto"/>
            </w:tcBorders>
            <w:shd w:val="clear" w:color="auto" w:fill="auto"/>
            <w:noWrap/>
            <w:vAlign w:val="bottom"/>
            <w:hideMark/>
          </w:tcPr>
          <w:p w14:paraId="055E45C3" w14:textId="77777777" w:rsidR="002021EB" w:rsidRPr="00A96BCD" w:rsidRDefault="002021EB" w:rsidP="00DF2591">
            <w:pPr>
              <w:spacing w:after="0" w:line="240" w:lineRule="auto"/>
              <w:jc w:val="center"/>
              <w:rPr>
                <w:rFonts w:eastAsia="Times New Roman" w:cs="Calibri"/>
                <w:lang w:eastAsia="en-GB"/>
              </w:rPr>
            </w:pPr>
            <w:r>
              <w:rPr>
                <w:rFonts w:eastAsia="Times New Roman" w:cs="Calibri"/>
                <w:lang w:eastAsia="en-GB"/>
              </w:rPr>
              <w:t>142</w:t>
            </w:r>
          </w:p>
        </w:tc>
        <w:tc>
          <w:tcPr>
            <w:tcW w:w="1160" w:type="dxa"/>
            <w:tcBorders>
              <w:top w:val="nil"/>
              <w:left w:val="nil"/>
              <w:bottom w:val="single" w:sz="4" w:space="0" w:color="auto"/>
              <w:right w:val="single" w:sz="4" w:space="0" w:color="auto"/>
            </w:tcBorders>
            <w:shd w:val="clear" w:color="auto" w:fill="auto"/>
            <w:noWrap/>
            <w:vAlign w:val="bottom"/>
            <w:hideMark/>
          </w:tcPr>
          <w:p w14:paraId="0CA70842" w14:textId="77777777" w:rsidR="002021EB" w:rsidRPr="00A96BCD" w:rsidRDefault="002021EB" w:rsidP="00DF2591">
            <w:pPr>
              <w:spacing w:after="0" w:line="240" w:lineRule="auto"/>
              <w:jc w:val="center"/>
              <w:rPr>
                <w:rFonts w:eastAsia="Times New Roman" w:cs="Calibri"/>
                <w:lang w:eastAsia="en-GB"/>
              </w:rPr>
            </w:pPr>
            <w:r w:rsidRPr="00A96BCD">
              <w:rPr>
                <w:rFonts w:eastAsia="Times New Roman" w:cs="Calibri"/>
                <w:lang w:eastAsia="en-GB"/>
              </w:rPr>
              <w:t>295</w:t>
            </w:r>
          </w:p>
        </w:tc>
      </w:tr>
    </w:tbl>
    <w:p w14:paraId="068DA283" w14:textId="761164B0" w:rsidR="002021EB" w:rsidRDefault="002021EB" w:rsidP="002021EB">
      <w:pPr>
        <w:spacing w:after="479" w:line="237" w:lineRule="auto"/>
        <w:ind w:left="2" w:hanging="10"/>
        <w:jc w:val="both"/>
        <w:rPr>
          <w:rFonts w:eastAsia="Times New Roman" w:cs="Calibri"/>
        </w:rPr>
      </w:pPr>
    </w:p>
    <w:p w14:paraId="1450A442" w14:textId="50518C5F" w:rsidR="0021544D" w:rsidRPr="0021544D" w:rsidRDefault="0021544D" w:rsidP="002021EB">
      <w:pPr>
        <w:spacing w:after="479" w:line="237" w:lineRule="auto"/>
        <w:ind w:left="2" w:hanging="10"/>
        <w:jc w:val="both"/>
        <w:rPr>
          <w:rFonts w:eastAsia="Times New Roman" w:cs="Calibri"/>
          <w:b/>
          <w:bCs/>
        </w:rPr>
      </w:pPr>
      <w:r w:rsidRPr="0021544D">
        <w:rPr>
          <w:rFonts w:eastAsia="Times New Roman" w:cs="Calibri"/>
          <w:b/>
          <w:bCs/>
        </w:rPr>
        <w:t>Figure 4.3.</w:t>
      </w:r>
      <w:r w:rsidR="00D472C1">
        <w:rPr>
          <w:rFonts w:eastAsia="Times New Roman" w:cs="Calibri"/>
          <w:b/>
          <w:bCs/>
        </w:rPr>
        <w:t>2</w:t>
      </w:r>
    </w:p>
    <w:p w14:paraId="02A033DD" w14:textId="77777777" w:rsidR="002021EB" w:rsidRDefault="002021EB" w:rsidP="002021EB">
      <w:pPr>
        <w:spacing w:after="479" w:line="237" w:lineRule="auto"/>
        <w:ind w:left="2" w:hanging="10"/>
        <w:jc w:val="both"/>
        <w:rPr>
          <w:rFonts w:eastAsia="Times New Roman" w:cs="Calibri"/>
        </w:rPr>
      </w:pPr>
      <w:r>
        <w:rPr>
          <w:noProof/>
          <w:lang w:eastAsia="en-GB"/>
        </w:rPr>
        <w:drawing>
          <wp:inline distT="0" distB="0" distL="0" distR="0" wp14:anchorId="28136844" wp14:editId="348EB8E6">
            <wp:extent cx="5318125" cy="3089275"/>
            <wp:effectExtent l="0" t="0" r="15875" b="15875"/>
            <wp:docPr id="56" name="Chart 56">
              <a:extLst xmlns:a="http://schemas.openxmlformats.org/drawingml/2006/main">
                <a:ext uri="{FF2B5EF4-FFF2-40B4-BE49-F238E27FC236}">
                  <a16:creationId xmlns:a16="http://schemas.microsoft.com/office/drawing/2014/main" id="{00000000-0008-0000-0F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56F26892" w14:textId="188313EE" w:rsidR="002021EB" w:rsidRPr="00AE310E" w:rsidRDefault="002021EB" w:rsidP="002021EB">
      <w:pPr>
        <w:spacing w:after="479" w:line="237" w:lineRule="auto"/>
        <w:ind w:left="2" w:hanging="10"/>
        <w:jc w:val="both"/>
      </w:pPr>
      <w:r w:rsidRPr="00AE310E">
        <w:t>In 2021, the JU validated cost claims totalling EUR 159.78 million (EUR 88.14 million in 2020), of which EUR 88.62 million represented the EU contribution (EUR 70.03 million in 2020).</w:t>
      </w:r>
    </w:p>
    <w:p w14:paraId="2CA2873A" w14:textId="77A05A23" w:rsidR="002021EB" w:rsidRDefault="002021EB" w:rsidP="002021EB">
      <w:pPr>
        <w:spacing w:after="479" w:line="237" w:lineRule="auto"/>
        <w:ind w:left="2" w:hanging="10"/>
        <w:jc w:val="both"/>
      </w:pPr>
      <w:r w:rsidRPr="00AE310E">
        <w:t>Of this EUR 88.62 million, throughout the year the JU selected corrective and representative audits to target overall audit coverage of around 20 % of H2020 expenditure, as per the table below.</w:t>
      </w:r>
    </w:p>
    <w:p w14:paraId="722A92E9" w14:textId="77777777" w:rsidR="002021EB" w:rsidRPr="002F44A2" w:rsidRDefault="002021EB" w:rsidP="002021EB">
      <w:pPr>
        <w:spacing w:after="0" w:line="240" w:lineRule="auto"/>
        <w:jc w:val="both"/>
        <w:rPr>
          <w:rFonts w:eastAsia="Times New Roman" w:cs="Calibri"/>
          <w:b/>
          <w:bCs/>
          <w:lang w:eastAsia="en-GB"/>
        </w:rPr>
      </w:pPr>
      <w:r w:rsidRPr="00E22F58">
        <w:rPr>
          <w:rFonts w:eastAsia="Times New Roman" w:cs="Calibri"/>
          <w:b/>
          <w:bCs/>
          <w:lang w:eastAsia="en-GB"/>
        </w:rPr>
        <w:t xml:space="preserve">Table 4.3.7: </w:t>
      </w:r>
      <w:r w:rsidRPr="00E22F58">
        <w:rPr>
          <w:rFonts w:eastAsia="Times New Roman" w:cs="Calibri"/>
          <w:b/>
          <w:bCs/>
          <w:i/>
          <w:iCs/>
          <w:lang w:eastAsia="en-GB"/>
        </w:rPr>
        <w:t>Ex</w:t>
      </w:r>
      <w:r w:rsidRPr="002F44A2">
        <w:rPr>
          <w:rFonts w:eastAsia="Times New Roman" w:cs="Calibri"/>
          <w:b/>
          <w:bCs/>
          <w:i/>
          <w:iCs/>
          <w:lang w:eastAsia="en-GB"/>
        </w:rPr>
        <w:t>-post</w:t>
      </w:r>
      <w:r w:rsidRPr="002F44A2">
        <w:rPr>
          <w:rFonts w:eastAsia="Times New Roman" w:cs="Calibri"/>
          <w:b/>
          <w:bCs/>
          <w:lang w:eastAsia="en-GB"/>
        </w:rPr>
        <w:t xml:space="preserve"> audits in-progress table </w:t>
      </w:r>
      <w:r>
        <w:rPr>
          <w:rFonts w:eastAsia="Times New Roman" w:cs="Calibri"/>
          <w:b/>
          <w:bCs/>
          <w:lang w:eastAsia="en-GB"/>
        </w:rPr>
        <w:t xml:space="preserve">as </w:t>
      </w:r>
      <w:proofErr w:type="gramStart"/>
      <w:r>
        <w:rPr>
          <w:rFonts w:eastAsia="Times New Roman" w:cs="Calibri"/>
          <w:b/>
          <w:bCs/>
          <w:lang w:eastAsia="en-GB"/>
        </w:rPr>
        <w:t>at</w:t>
      </w:r>
      <w:proofErr w:type="gramEnd"/>
      <w:r w:rsidRPr="002F44A2">
        <w:rPr>
          <w:rFonts w:eastAsia="Times New Roman" w:cs="Calibri"/>
          <w:b/>
          <w:bCs/>
          <w:lang w:eastAsia="en-GB"/>
        </w:rPr>
        <w:t xml:space="preserve"> 31 </w:t>
      </w:r>
      <w:r w:rsidRPr="00AE310E">
        <w:rPr>
          <w:rFonts w:eastAsia="Times New Roman" w:cs="Calibri"/>
          <w:b/>
          <w:bCs/>
          <w:lang w:eastAsia="en-GB"/>
        </w:rPr>
        <w:t>December 2021 – direct</w:t>
      </w:r>
      <w:r>
        <w:rPr>
          <w:rFonts w:eastAsia="Times New Roman" w:cs="Calibri"/>
          <w:b/>
          <w:bCs/>
          <w:lang w:eastAsia="en-GB"/>
        </w:rPr>
        <w:t xml:space="preserve"> </w:t>
      </w:r>
      <w:r w:rsidRPr="002F44A2">
        <w:rPr>
          <w:rFonts w:eastAsia="Times New Roman" w:cs="Calibri"/>
          <w:b/>
          <w:bCs/>
          <w:lang w:eastAsia="en-GB"/>
        </w:rPr>
        <w:t>audit coverage</w:t>
      </w:r>
    </w:p>
    <w:tbl>
      <w:tblPr>
        <w:tblW w:w="8600" w:type="dxa"/>
        <w:tblLook w:val="04A0" w:firstRow="1" w:lastRow="0" w:firstColumn="1" w:lastColumn="0" w:noHBand="0" w:noVBand="1"/>
      </w:tblPr>
      <w:tblGrid>
        <w:gridCol w:w="2730"/>
        <w:gridCol w:w="1137"/>
        <w:gridCol w:w="1250"/>
        <w:gridCol w:w="1239"/>
        <w:gridCol w:w="1005"/>
        <w:gridCol w:w="1239"/>
      </w:tblGrid>
      <w:tr w:rsidR="002021EB" w:rsidRPr="00B32F37" w14:paraId="4D4468C8" w14:textId="77777777" w:rsidTr="00DF2591">
        <w:trPr>
          <w:trHeight w:val="300"/>
        </w:trPr>
        <w:tc>
          <w:tcPr>
            <w:tcW w:w="2730" w:type="dxa"/>
            <w:vMerge w:val="restart"/>
            <w:tcBorders>
              <w:top w:val="single" w:sz="4" w:space="0" w:color="auto"/>
              <w:left w:val="single" w:sz="4" w:space="0" w:color="auto"/>
              <w:bottom w:val="single" w:sz="4" w:space="0" w:color="000000"/>
              <w:right w:val="single" w:sz="4" w:space="0" w:color="auto"/>
            </w:tcBorders>
            <w:shd w:val="clear" w:color="000000" w:fill="305496"/>
            <w:vAlign w:val="center"/>
            <w:hideMark/>
          </w:tcPr>
          <w:p w14:paraId="6652E27D" w14:textId="77777777" w:rsidR="002021EB" w:rsidRPr="00B32F37" w:rsidRDefault="002021EB" w:rsidP="00DF2591">
            <w:pPr>
              <w:spacing w:after="0" w:line="240" w:lineRule="auto"/>
              <w:jc w:val="center"/>
              <w:rPr>
                <w:rFonts w:eastAsia="Times New Roman" w:cs="Calibri"/>
                <w:b/>
                <w:bCs/>
                <w:color w:val="FFFFFF"/>
                <w:sz w:val="20"/>
                <w:szCs w:val="20"/>
                <w:lang w:eastAsia="en-GB"/>
              </w:rPr>
            </w:pPr>
            <w:r w:rsidRPr="00B32F37">
              <w:rPr>
                <w:rFonts w:eastAsia="Times New Roman" w:cs="Calibri"/>
                <w:b/>
                <w:bCs/>
                <w:color w:val="FFFFFF"/>
                <w:sz w:val="20"/>
                <w:szCs w:val="20"/>
                <w:lang w:eastAsia="en-GB"/>
              </w:rPr>
              <w:t>YEAR</w:t>
            </w:r>
          </w:p>
        </w:tc>
        <w:tc>
          <w:tcPr>
            <w:tcW w:w="5870" w:type="dxa"/>
            <w:gridSpan w:val="5"/>
            <w:tcBorders>
              <w:top w:val="nil"/>
              <w:left w:val="nil"/>
              <w:bottom w:val="single" w:sz="4" w:space="0" w:color="auto"/>
              <w:right w:val="nil"/>
            </w:tcBorders>
            <w:shd w:val="clear" w:color="000000" w:fill="00B0F0"/>
            <w:noWrap/>
            <w:vAlign w:val="bottom"/>
            <w:hideMark/>
          </w:tcPr>
          <w:p w14:paraId="14C7BA57" w14:textId="1C76EC72" w:rsidR="002021EB" w:rsidRPr="00B32F37" w:rsidRDefault="002021EB" w:rsidP="00DF2591">
            <w:pPr>
              <w:spacing w:after="0" w:line="240" w:lineRule="auto"/>
              <w:jc w:val="center"/>
              <w:rPr>
                <w:rFonts w:eastAsia="Times New Roman" w:cs="Calibri"/>
                <w:b/>
                <w:bCs/>
                <w:color w:val="FFFFFF"/>
                <w:sz w:val="20"/>
                <w:szCs w:val="20"/>
                <w:lang w:eastAsia="en-GB"/>
              </w:rPr>
            </w:pPr>
            <w:r w:rsidRPr="00B32F37">
              <w:rPr>
                <w:rFonts w:eastAsia="Times New Roman" w:cs="Calibri"/>
                <w:b/>
                <w:bCs/>
                <w:color w:val="FFFFFF"/>
                <w:sz w:val="20"/>
                <w:szCs w:val="20"/>
                <w:lang w:eastAsia="en-GB"/>
              </w:rPr>
              <w:t>JU contribution in mil. EUR</w:t>
            </w:r>
          </w:p>
        </w:tc>
      </w:tr>
      <w:tr w:rsidR="002021EB" w:rsidRPr="00B32F37" w14:paraId="3E75B5A0" w14:textId="77777777" w:rsidTr="00DF2591">
        <w:trPr>
          <w:trHeight w:val="525"/>
        </w:trPr>
        <w:tc>
          <w:tcPr>
            <w:tcW w:w="2730" w:type="dxa"/>
            <w:vMerge/>
            <w:tcBorders>
              <w:top w:val="single" w:sz="4" w:space="0" w:color="auto"/>
              <w:left w:val="single" w:sz="4" w:space="0" w:color="auto"/>
              <w:bottom w:val="single" w:sz="4" w:space="0" w:color="000000"/>
              <w:right w:val="single" w:sz="4" w:space="0" w:color="auto"/>
            </w:tcBorders>
            <w:vAlign w:val="center"/>
            <w:hideMark/>
          </w:tcPr>
          <w:p w14:paraId="54749DF1" w14:textId="77777777" w:rsidR="002021EB" w:rsidRPr="00B32F37" w:rsidRDefault="002021EB" w:rsidP="00DF2591">
            <w:pPr>
              <w:spacing w:after="0" w:line="240" w:lineRule="auto"/>
              <w:rPr>
                <w:rFonts w:eastAsia="Times New Roman" w:cs="Calibri"/>
                <w:b/>
                <w:bCs/>
                <w:color w:val="FFFFFF"/>
                <w:sz w:val="20"/>
                <w:szCs w:val="20"/>
                <w:lang w:eastAsia="en-GB"/>
              </w:rPr>
            </w:pPr>
          </w:p>
        </w:tc>
        <w:tc>
          <w:tcPr>
            <w:tcW w:w="1137" w:type="dxa"/>
            <w:tcBorders>
              <w:top w:val="nil"/>
              <w:left w:val="nil"/>
              <w:bottom w:val="single" w:sz="4" w:space="0" w:color="auto"/>
              <w:right w:val="single" w:sz="4" w:space="0" w:color="auto"/>
            </w:tcBorders>
            <w:shd w:val="clear" w:color="000000" w:fill="00B0F0"/>
            <w:vAlign w:val="bottom"/>
            <w:hideMark/>
          </w:tcPr>
          <w:p w14:paraId="18DC05DD" w14:textId="77777777" w:rsidR="002021EB" w:rsidRPr="00B32F37" w:rsidRDefault="002021EB" w:rsidP="00DF2591">
            <w:pPr>
              <w:spacing w:after="0" w:line="240" w:lineRule="auto"/>
              <w:jc w:val="center"/>
              <w:rPr>
                <w:rFonts w:eastAsia="Times New Roman" w:cs="Calibri"/>
                <w:b/>
                <w:bCs/>
                <w:color w:val="FFFFFF"/>
                <w:sz w:val="20"/>
                <w:szCs w:val="20"/>
                <w:lang w:eastAsia="en-GB"/>
              </w:rPr>
            </w:pPr>
            <w:r w:rsidRPr="00B32F37">
              <w:rPr>
                <w:rFonts w:eastAsia="Times New Roman" w:cs="Calibri"/>
                <w:b/>
                <w:bCs/>
                <w:color w:val="FFFFFF"/>
                <w:sz w:val="20"/>
                <w:szCs w:val="20"/>
                <w:lang w:eastAsia="en-GB"/>
              </w:rPr>
              <w:t xml:space="preserve">Accepted by </w:t>
            </w:r>
            <w:r>
              <w:rPr>
                <w:rFonts w:eastAsia="Times New Roman" w:cs="Calibri"/>
                <w:b/>
                <w:bCs/>
                <w:color w:val="FFFFFF"/>
                <w:sz w:val="20"/>
                <w:szCs w:val="20"/>
                <w:lang w:eastAsia="en-GB"/>
              </w:rPr>
              <w:t>the JU</w:t>
            </w:r>
          </w:p>
        </w:tc>
        <w:tc>
          <w:tcPr>
            <w:tcW w:w="1250" w:type="dxa"/>
            <w:tcBorders>
              <w:top w:val="nil"/>
              <w:left w:val="nil"/>
              <w:bottom w:val="single" w:sz="4" w:space="0" w:color="auto"/>
              <w:right w:val="single" w:sz="4" w:space="0" w:color="auto"/>
            </w:tcBorders>
            <w:shd w:val="clear" w:color="000000" w:fill="00B0F0"/>
            <w:vAlign w:val="bottom"/>
            <w:hideMark/>
          </w:tcPr>
          <w:p w14:paraId="4BD9A48F" w14:textId="77777777" w:rsidR="002021EB" w:rsidRPr="00B32F37" w:rsidRDefault="002021EB" w:rsidP="00DF2591">
            <w:pPr>
              <w:spacing w:after="0" w:line="240" w:lineRule="auto"/>
              <w:jc w:val="center"/>
              <w:rPr>
                <w:rFonts w:eastAsia="Times New Roman" w:cs="Calibri"/>
                <w:b/>
                <w:bCs/>
                <w:color w:val="FFFFFF"/>
                <w:sz w:val="20"/>
                <w:szCs w:val="20"/>
                <w:lang w:eastAsia="en-GB"/>
              </w:rPr>
            </w:pPr>
            <w:r w:rsidRPr="00B32F37">
              <w:rPr>
                <w:rFonts w:eastAsia="Times New Roman" w:cs="Calibri"/>
                <w:b/>
                <w:bCs/>
                <w:color w:val="FFFFFF"/>
                <w:sz w:val="20"/>
                <w:szCs w:val="20"/>
                <w:lang w:eastAsia="en-GB"/>
              </w:rPr>
              <w:t>Selected for ex-post audits</w:t>
            </w:r>
          </w:p>
        </w:tc>
        <w:tc>
          <w:tcPr>
            <w:tcW w:w="1239" w:type="dxa"/>
            <w:tcBorders>
              <w:top w:val="nil"/>
              <w:left w:val="nil"/>
              <w:bottom w:val="single" w:sz="4" w:space="0" w:color="auto"/>
              <w:right w:val="single" w:sz="4" w:space="0" w:color="auto"/>
            </w:tcBorders>
            <w:shd w:val="clear" w:color="000000" w:fill="00B0F0"/>
            <w:vAlign w:val="bottom"/>
            <w:hideMark/>
          </w:tcPr>
          <w:p w14:paraId="778AE168" w14:textId="77777777" w:rsidR="002021EB" w:rsidRPr="00B32F37" w:rsidRDefault="002021EB" w:rsidP="00DF2591">
            <w:pPr>
              <w:spacing w:after="0" w:line="240" w:lineRule="auto"/>
              <w:jc w:val="center"/>
              <w:rPr>
                <w:rFonts w:eastAsia="Times New Roman" w:cs="Calibri"/>
                <w:b/>
                <w:bCs/>
                <w:color w:val="FFFFFF"/>
                <w:sz w:val="20"/>
                <w:szCs w:val="20"/>
                <w:lang w:eastAsia="en-GB"/>
              </w:rPr>
            </w:pPr>
            <w:r w:rsidRPr="00B32F37">
              <w:rPr>
                <w:rFonts w:eastAsia="Times New Roman" w:cs="Calibri"/>
                <w:b/>
                <w:bCs/>
                <w:color w:val="FFFFFF"/>
                <w:sz w:val="20"/>
                <w:szCs w:val="20"/>
                <w:lang w:eastAsia="en-GB"/>
              </w:rPr>
              <w:t>Cumulative coverage</w:t>
            </w:r>
          </w:p>
        </w:tc>
        <w:tc>
          <w:tcPr>
            <w:tcW w:w="1005" w:type="dxa"/>
            <w:tcBorders>
              <w:top w:val="nil"/>
              <w:left w:val="nil"/>
              <w:bottom w:val="single" w:sz="4" w:space="0" w:color="auto"/>
              <w:right w:val="single" w:sz="4" w:space="0" w:color="auto"/>
            </w:tcBorders>
            <w:shd w:val="clear" w:color="000000" w:fill="00B0F0"/>
            <w:vAlign w:val="bottom"/>
            <w:hideMark/>
          </w:tcPr>
          <w:p w14:paraId="25F63C5B" w14:textId="77777777" w:rsidR="002021EB" w:rsidRPr="00B32F37" w:rsidRDefault="002021EB" w:rsidP="00DF2591">
            <w:pPr>
              <w:spacing w:after="0" w:line="240" w:lineRule="auto"/>
              <w:jc w:val="center"/>
              <w:rPr>
                <w:rFonts w:eastAsia="Times New Roman" w:cs="Calibri"/>
                <w:b/>
                <w:bCs/>
                <w:color w:val="FFFFFF"/>
                <w:sz w:val="20"/>
                <w:szCs w:val="20"/>
                <w:lang w:eastAsia="en-GB"/>
              </w:rPr>
            </w:pPr>
            <w:r w:rsidRPr="00B32F37">
              <w:rPr>
                <w:rFonts w:eastAsia="Times New Roman" w:cs="Calibri"/>
                <w:b/>
                <w:bCs/>
                <w:color w:val="FFFFFF"/>
                <w:sz w:val="20"/>
                <w:szCs w:val="20"/>
                <w:lang w:eastAsia="en-GB"/>
              </w:rPr>
              <w:t>Audits closed</w:t>
            </w:r>
          </w:p>
        </w:tc>
        <w:tc>
          <w:tcPr>
            <w:tcW w:w="1239" w:type="dxa"/>
            <w:tcBorders>
              <w:top w:val="nil"/>
              <w:left w:val="nil"/>
              <w:bottom w:val="single" w:sz="4" w:space="0" w:color="auto"/>
              <w:right w:val="single" w:sz="4" w:space="0" w:color="auto"/>
            </w:tcBorders>
            <w:shd w:val="clear" w:color="000000" w:fill="00B0F0"/>
            <w:vAlign w:val="bottom"/>
            <w:hideMark/>
          </w:tcPr>
          <w:p w14:paraId="72764659" w14:textId="77777777" w:rsidR="002021EB" w:rsidRPr="00B32F37" w:rsidRDefault="002021EB" w:rsidP="00DF2591">
            <w:pPr>
              <w:spacing w:after="0" w:line="240" w:lineRule="auto"/>
              <w:jc w:val="center"/>
              <w:rPr>
                <w:rFonts w:eastAsia="Times New Roman" w:cs="Calibri"/>
                <w:b/>
                <w:bCs/>
                <w:color w:val="FFFFFF"/>
                <w:sz w:val="20"/>
                <w:szCs w:val="20"/>
                <w:lang w:eastAsia="en-GB"/>
              </w:rPr>
            </w:pPr>
            <w:r w:rsidRPr="00B32F37">
              <w:rPr>
                <w:rFonts w:eastAsia="Times New Roman" w:cs="Calibri"/>
                <w:b/>
                <w:bCs/>
                <w:color w:val="FFFFFF"/>
                <w:sz w:val="20"/>
                <w:szCs w:val="20"/>
                <w:lang w:eastAsia="en-GB"/>
              </w:rPr>
              <w:t>Cumulative coverage</w:t>
            </w:r>
          </w:p>
        </w:tc>
      </w:tr>
      <w:tr w:rsidR="002021EB" w:rsidRPr="00B32F37" w14:paraId="2D9027F3" w14:textId="77777777" w:rsidTr="00DF2591">
        <w:trPr>
          <w:trHeight w:val="300"/>
        </w:trPr>
        <w:tc>
          <w:tcPr>
            <w:tcW w:w="2730" w:type="dxa"/>
            <w:tcBorders>
              <w:top w:val="nil"/>
              <w:left w:val="single" w:sz="4" w:space="0" w:color="auto"/>
              <w:bottom w:val="single" w:sz="4" w:space="0" w:color="auto"/>
              <w:right w:val="single" w:sz="4" w:space="0" w:color="auto"/>
            </w:tcBorders>
            <w:shd w:val="clear" w:color="auto" w:fill="auto"/>
            <w:noWrap/>
            <w:vAlign w:val="bottom"/>
            <w:hideMark/>
          </w:tcPr>
          <w:p w14:paraId="44C5872D" w14:textId="77777777" w:rsidR="002021EB" w:rsidRPr="00B32F37" w:rsidRDefault="002021EB" w:rsidP="00DF2591">
            <w:pPr>
              <w:spacing w:after="0" w:line="240" w:lineRule="auto"/>
              <w:jc w:val="right"/>
              <w:rPr>
                <w:rFonts w:eastAsia="Times New Roman" w:cs="Calibri"/>
                <w:lang w:eastAsia="en-GB"/>
              </w:rPr>
            </w:pPr>
            <w:r w:rsidRPr="00B32F37">
              <w:rPr>
                <w:rFonts w:eastAsia="Times New Roman" w:cs="Calibri"/>
                <w:lang w:eastAsia="en-GB"/>
              </w:rPr>
              <w:t>2017</w:t>
            </w:r>
          </w:p>
        </w:tc>
        <w:tc>
          <w:tcPr>
            <w:tcW w:w="1137" w:type="dxa"/>
            <w:tcBorders>
              <w:top w:val="nil"/>
              <w:left w:val="nil"/>
              <w:bottom w:val="single" w:sz="4" w:space="0" w:color="auto"/>
              <w:right w:val="single" w:sz="4" w:space="0" w:color="auto"/>
            </w:tcBorders>
            <w:shd w:val="clear" w:color="auto" w:fill="auto"/>
            <w:noWrap/>
            <w:vAlign w:val="bottom"/>
            <w:hideMark/>
          </w:tcPr>
          <w:p w14:paraId="68DFB132" w14:textId="77777777" w:rsidR="002021EB" w:rsidRPr="00B32F37" w:rsidRDefault="002021EB" w:rsidP="00DF2591">
            <w:pPr>
              <w:spacing w:after="0" w:line="240" w:lineRule="auto"/>
              <w:jc w:val="right"/>
              <w:rPr>
                <w:rFonts w:eastAsia="Times New Roman" w:cs="Calibri"/>
                <w:sz w:val="20"/>
                <w:szCs w:val="20"/>
                <w:lang w:eastAsia="en-GB"/>
              </w:rPr>
            </w:pPr>
            <w:r w:rsidRPr="00B32F37">
              <w:rPr>
                <w:rFonts w:eastAsia="Times New Roman" w:cs="Calibri"/>
                <w:sz w:val="20"/>
                <w:szCs w:val="20"/>
                <w:lang w:eastAsia="en-GB"/>
              </w:rPr>
              <w:t>37.09</w:t>
            </w:r>
          </w:p>
        </w:tc>
        <w:tc>
          <w:tcPr>
            <w:tcW w:w="1250" w:type="dxa"/>
            <w:tcBorders>
              <w:top w:val="nil"/>
              <w:left w:val="nil"/>
              <w:bottom w:val="single" w:sz="4" w:space="0" w:color="auto"/>
              <w:right w:val="single" w:sz="4" w:space="0" w:color="auto"/>
            </w:tcBorders>
            <w:shd w:val="clear" w:color="auto" w:fill="auto"/>
            <w:noWrap/>
            <w:vAlign w:val="bottom"/>
            <w:hideMark/>
          </w:tcPr>
          <w:p w14:paraId="689DC1EC" w14:textId="77777777" w:rsidR="002021EB" w:rsidRPr="00B32F37" w:rsidRDefault="002021EB" w:rsidP="00DF2591">
            <w:pPr>
              <w:spacing w:after="0" w:line="240" w:lineRule="auto"/>
              <w:jc w:val="right"/>
              <w:rPr>
                <w:rFonts w:eastAsia="Times New Roman" w:cs="Calibri"/>
                <w:sz w:val="20"/>
                <w:szCs w:val="20"/>
                <w:lang w:eastAsia="en-GB"/>
              </w:rPr>
            </w:pPr>
            <w:r w:rsidRPr="00B32F37">
              <w:rPr>
                <w:rFonts w:eastAsia="Times New Roman" w:cs="Calibri"/>
                <w:sz w:val="20"/>
                <w:szCs w:val="20"/>
                <w:lang w:eastAsia="en-GB"/>
              </w:rPr>
              <w:t>8.14</w:t>
            </w:r>
          </w:p>
        </w:tc>
        <w:tc>
          <w:tcPr>
            <w:tcW w:w="1239" w:type="dxa"/>
            <w:tcBorders>
              <w:top w:val="nil"/>
              <w:left w:val="nil"/>
              <w:bottom w:val="single" w:sz="4" w:space="0" w:color="auto"/>
              <w:right w:val="single" w:sz="4" w:space="0" w:color="auto"/>
            </w:tcBorders>
            <w:shd w:val="clear" w:color="auto" w:fill="auto"/>
            <w:noWrap/>
            <w:vAlign w:val="bottom"/>
            <w:hideMark/>
          </w:tcPr>
          <w:p w14:paraId="0725771E" w14:textId="77777777" w:rsidR="002021EB" w:rsidRPr="00B32F37" w:rsidRDefault="002021EB" w:rsidP="00DF2591">
            <w:pPr>
              <w:spacing w:after="0" w:line="240" w:lineRule="auto"/>
              <w:jc w:val="right"/>
              <w:rPr>
                <w:rFonts w:eastAsia="Times New Roman" w:cs="Calibri"/>
                <w:sz w:val="20"/>
                <w:szCs w:val="20"/>
                <w:lang w:eastAsia="en-GB"/>
              </w:rPr>
            </w:pPr>
            <w:r w:rsidRPr="00B32F37">
              <w:rPr>
                <w:rFonts w:eastAsia="Times New Roman" w:cs="Calibri"/>
                <w:sz w:val="20"/>
                <w:szCs w:val="20"/>
                <w:lang w:eastAsia="en-GB"/>
              </w:rPr>
              <w:t>21.96%</w:t>
            </w:r>
          </w:p>
        </w:tc>
        <w:tc>
          <w:tcPr>
            <w:tcW w:w="1005" w:type="dxa"/>
            <w:tcBorders>
              <w:top w:val="nil"/>
              <w:left w:val="nil"/>
              <w:bottom w:val="single" w:sz="4" w:space="0" w:color="auto"/>
              <w:right w:val="single" w:sz="4" w:space="0" w:color="auto"/>
            </w:tcBorders>
            <w:shd w:val="clear" w:color="auto" w:fill="auto"/>
            <w:noWrap/>
            <w:vAlign w:val="bottom"/>
            <w:hideMark/>
          </w:tcPr>
          <w:p w14:paraId="43578175" w14:textId="77777777" w:rsidR="002021EB" w:rsidRPr="00B32F37" w:rsidRDefault="002021EB" w:rsidP="00DF2591">
            <w:pPr>
              <w:spacing w:after="0" w:line="240" w:lineRule="auto"/>
              <w:jc w:val="right"/>
              <w:rPr>
                <w:rFonts w:eastAsia="Times New Roman" w:cs="Calibri"/>
                <w:sz w:val="20"/>
                <w:szCs w:val="20"/>
                <w:lang w:eastAsia="en-GB"/>
              </w:rPr>
            </w:pPr>
            <w:r w:rsidRPr="00B32F37">
              <w:rPr>
                <w:rFonts w:eastAsia="Times New Roman" w:cs="Calibri"/>
                <w:sz w:val="20"/>
                <w:szCs w:val="20"/>
                <w:lang w:eastAsia="en-GB"/>
              </w:rPr>
              <w:t>8.14</w:t>
            </w:r>
          </w:p>
        </w:tc>
        <w:tc>
          <w:tcPr>
            <w:tcW w:w="1239" w:type="dxa"/>
            <w:tcBorders>
              <w:top w:val="nil"/>
              <w:left w:val="nil"/>
              <w:bottom w:val="single" w:sz="4" w:space="0" w:color="auto"/>
              <w:right w:val="single" w:sz="4" w:space="0" w:color="auto"/>
            </w:tcBorders>
            <w:shd w:val="clear" w:color="auto" w:fill="auto"/>
            <w:noWrap/>
            <w:vAlign w:val="bottom"/>
            <w:hideMark/>
          </w:tcPr>
          <w:p w14:paraId="0F0E2AE4" w14:textId="77777777" w:rsidR="002021EB" w:rsidRPr="00B32F37" w:rsidRDefault="002021EB" w:rsidP="00DF2591">
            <w:pPr>
              <w:spacing w:after="0" w:line="240" w:lineRule="auto"/>
              <w:jc w:val="right"/>
              <w:rPr>
                <w:rFonts w:eastAsia="Times New Roman" w:cs="Calibri"/>
                <w:sz w:val="20"/>
                <w:szCs w:val="20"/>
                <w:lang w:eastAsia="en-GB"/>
              </w:rPr>
            </w:pPr>
            <w:r w:rsidRPr="00B32F37">
              <w:rPr>
                <w:rFonts w:eastAsia="Times New Roman" w:cs="Calibri"/>
                <w:sz w:val="20"/>
                <w:szCs w:val="20"/>
                <w:lang w:eastAsia="en-GB"/>
              </w:rPr>
              <w:t>21.96%</w:t>
            </w:r>
          </w:p>
        </w:tc>
      </w:tr>
      <w:tr w:rsidR="002021EB" w:rsidRPr="00B32F37" w14:paraId="0C4315CD" w14:textId="77777777" w:rsidTr="00DF2591">
        <w:trPr>
          <w:trHeight w:val="300"/>
        </w:trPr>
        <w:tc>
          <w:tcPr>
            <w:tcW w:w="2730" w:type="dxa"/>
            <w:tcBorders>
              <w:top w:val="nil"/>
              <w:left w:val="single" w:sz="4" w:space="0" w:color="auto"/>
              <w:bottom w:val="single" w:sz="4" w:space="0" w:color="auto"/>
              <w:right w:val="single" w:sz="4" w:space="0" w:color="auto"/>
            </w:tcBorders>
            <w:shd w:val="clear" w:color="auto" w:fill="auto"/>
            <w:noWrap/>
            <w:vAlign w:val="bottom"/>
            <w:hideMark/>
          </w:tcPr>
          <w:p w14:paraId="0E5954D2" w14:textId="77777777" w:rsidR="002021EB" w:rsidRPr="00B32F37" w:rsidRDefault="002021EB" w:rsidP="00DF2591">
            <w:pPr>
              <w:spacing w:after="0" w:line="240" w:lineRule="auto"/>
              <w:jc w:val="right"/>
              <w:rPr>
                <w:rFonts w:eastAsia="Times New Roman" w:cs="Calibri"/>
                <w:lang w:eastAsia="en-GB"/>
              </w:rPr>
            </w:pPr>
            <w:r w:rsidRPr="00B32F37">
              <w:rPr>
                <w:rFonts w:eastAsia="Times New Roman" w:cs="Calibri"/>
                <w:lang w:eastAsia="en-GB"/>
              </w:rPr>
              <w:t>2018</w:t>
            </w:r>
          </w:p>
        </w:tc>
        <w:tc>
          <w:tcPr>
            <w:tcW w:w="1137" w:type="dxa"/>
            <w:tcBorders>
              <w:top w:val="nil"/>
              <w:left w:val="nil"/>
              <w:bottom w:val="single" w:sz="4" w:space="0" w:color="auto"/>
              <w:right w:val="single" w:sz="4" w:space="0" w:color="auto"/>
            </w:tcBorders>
            <w:shd w:val="clear" w:color="auto" w:fill="auto"/>
            <w:noWrap/>
            <w:vAlign w:val="bottom"/>
            <w:hideMark/>
          </w:tcPr>
          <w:p w14:paraId="1417B0F7" w14:textId="77777777" w:rsidR="002021EB" w:rsidRPr="00B32F37" w:rsidRDefault="002021EB" w:rsidP="00DF2591">
            <w:pPr>
              <w:spacing w:after="0" w:line="240" w:lineRule="auto"/>
              <w:jc w:val="right"/>
              <w:rPr>
                <w:rFonts w:eastAsia="Times New Roman" w:cs="Calibri"/>
                <w:sz w:val="20"/>
                <w:szCs w:val="20"/>
                <w:lang w:eastAsia="en-GB"/>
              </w:rPr>
            </w:pPr>
            <w:r w:rsidRPr="00B32F37">
              <w:rPr>
                <w:rFonts w:eastAsia="Times New Roman" w:cs="Calibri"/>
                <w:sz w:val="20"/>
                <w:szCs w:val="20"/>
                <w:lang w:eastAsia="en-GB"/>
              </w:rPr>
              <w:t>58.65</w:t>
            </w:r>
          </w:p>
        </w:tc>
        <w:tc>
          <w:tcPr>
            <w:tcW w:w="1250" w:type="dxa"/>
            <w:tcBorders>
              <w:top w:val="nil"/>
              <w:left w:val="nil"/>
              <w:bottom w:val="single" w:sz="4" w:space="0" w:color="auto"/>
              <w:right w:val="single" w:sz="4" w:space="0" w:color="auto"/>
            </w:tcBorders>
            <w:shd w:val="clear" w:color="auto" w:fill="auto"/>
            <w:noWrap/>
            <w:vAlign w:val="bottom"/>
            <w:hideMark/>
          </w:tcPr>
          <w:p w14:paraId="6BECC1CE" w14:textId="77777777" w:rsidR="002021EB" w:rsidRPr="00B32F37" w:rsidRDefault="002021EB" w:rsidP="00DF2591">
            <w:pPr>
              <w:spacing w:after="0" w:line="240" w:lineRule="auto"/>
              <w:jc w:val="right"/>
              <w:rPr>
                <w:rFonts w:eastAsia="Times New Roman" w:cs="Calibri"/>
                <w:sz w:val="20"/>
                <w:szCs w:val="20"/>
                <w:lang w:eastAsia="en-GB"/>
              </w:rPr>
            </w:pPr>
            <w:r w:rsidRPr="00B32F37">
              <w:rPr>
                <w:rFonts w:eastAsia="Times New Roman" w:cs="Calibri"/>
                <w:sz w:val="20"/>
                <w:szCs w:val="20"/>
                <w:lang w:eastAsia="en-GB"/>
              </w:rPr>
              <w:t>10.80</w:t>
            </w:r>
          </w:p>
        </w:tc>
        <w:tc>
          <w:tcPr>
            <w:tcW w:w="1239" w:type="dxa"/>
            <w:tcBorders>
              <w:top w:val="nil"/>
              <w:left w:val="nil"/>
              <w:bottom w:val="single" w:sz="4" w:space="0" w:color="auto"/>
              <w:right w:val="single" w:sz="4" w:space="0" w:color="auto"/>
            </w:tcBorders>
            <w:shd w:val="clear" w:color="auto" w:fill="auto"/>
            <w:noWrap/>
            <w:vAlign w:val="bottom"/>
            <w:hideMark/>
          </w:tcPr>
          <w:p w14:paraId="74D3E003" w14:textId="77777777" w:rsidR="002021EB" w:rsidRPr="00B32F37" w:rsidRDefault="002021EB" w:rsidP="00DF2591">
            <w:pPr>
              <w:spacing w:after="0" w:line="240" w:lineRule="auto"/>
              <w:jc w:val="right"/>
              <w:rPr>
                <w:rFonts w:eastAsia="Times New Roman" w:cs="Calibri"/>
                <w:sz w:val="20"/>
                <w:szCs w:val="20"/>
                <w:lang w:eastAsia="en-GB"/>
              </w:rPr>
            </w:pPr>
            <w:r w:rsidRPr="00B32F37">
              <w:rPr>
                <w:rFonts w:eastAsia="Times New Roman" w:cs="Calibri"/>
                <w:sz w:val="20"/>
                <w:szCs w:val="20"/>
                <w:lang w:eastAsia="en-GB"/>
              </w:rPr>
              <w:t>19.79%</w:t>
            </w:r>
          </w:p>
        </w:tc>
        <w:tc>
          <w:tcPr>
            <w:tcW w:w="1005" w:type="dxa"/>
            <w:tcBorders>
              <w:top w:val="nil"/>
              <w:left w:val="nil"/>
              <w:bottom w:val="single" w:sz="4" w:space="0" w:color="auto"/>
              <w:right w:val="single" w:sz="4" w:space="0" w:color="auto"/>
            </w:tcBorders>
            <w:shd w:val="clear" w:color="auto" w:fill="auto"/>
            <w:noWrap/>
            <w:vAlign w:val="bottom"/>
            <w:hideMark/>
          </w:tcPr>
          <w:p w14:paraId="7F45CDBE" w14:textId="77777777" w:rsidR="002021EB" w:rsidRPr="00B32F37" w:rsidRDefault="002021EB" w:rsidP="00DF2591">
            <w:pPr>
              <w:spacing w:after="0" w:line="240" w:lineRule="auto"/>
              <w:jc w:val="right"/>
              <w:rPr>
                <w:rFonts w:eastAsia="Times New Roman" w:cs="Calibri"/>
                <w:sz w:val="20"/>
                <w:szCs w:val="20"/>
                <w:lang w:eastAsia="en-GB"/>
              </w:rPr>
            </w:pPr>
            <w:r w:rsidRPr="00B32F37">
              <w:rPr>
                <w:rFonts w:eastAsia="Times New Roman" w:cs="Calibri"/>
                <w:sz w:val="20"/>
                <w:szCs w:val="20"/>
                <w:lang w:eastAsia="en-GB"/>
              </w:rPr>
              <w:t>10.80</w:t>
            </w:r>
          </w:p>
        </w:tc>
        <w:tc>
          <w:tcPr>
            <w:tcW w:w="1239" w:type="dxa"/>
            <w:tcBorders>
              <w:top w:val="nil"/>
              <w:left w:val="nil"/>
              <w:bottom w:val="single" w:sz="4" w:space="0" w:color="auto"/>
              <w:right w:val="single" w:sz="4" w:space="0" w:color="auto"/>
            </w:tcBorders>
            <w:shd w:val="clear" w:color="auto" w:fill="auto"/>
            <w:noWrap/>
            <w:vAlign w:val="bottom"/>
            <w:hideMark/>
          </w:tcPr>
          <w:p w14:paraId="33F2FF90" w14:textId="77777777" w:rsidR="002021EB" w:rsidRPr="00B32F37" w:rsidRDefault="002021EB" w:rsidP="00DF2591">
            <w:pPr>
              <w:spacing w:after="0" w:line="240" w:lineRule="auto"/>
              <w:jc w:val="right"/>
              <w:rPr>
                <w:rFonts w:eastAsia="Times New Roman" w:cs="Calibri"/>
                <w:sz w:val="20"/>
                <w:szCs w:val="20"/>
                <w:lang w:eastAsia="en-GB"/>
              </w:rPr>
            </w:pPr>
            <w:r w:rsidRPr="00B32F37">
              <w:rPr>
                <w:rFonts w:eastAsia="Times New Roman" w:cs="Calibri"/>
                <w:sz w:val="20"/>
                <w:szCs w:val="20"/>
                <w:lang w:eastAsia="en-GB"/>
              </w:rPr>
              <w:t>19.79%</w:t>
            </w:r>
          </w:p>
        </w:tc>
      </w:tr>
      <w:tr w:rsidR="002021EB" w:rsidRPr="00B32F37" w14:paraId="0E077FD7" w14:textId="77777777" w:rsidTr="00DF2591">
        <w:trPr>
          <w:trHeight w:val="315"/>
        </w:trPr>
        <w:tc>
          <w:tcPr>
            <w:tcW w:w="2730" w:type="dxa"/>
            <w:tcBorders>
              <w:top w:val="nil"/>
              <w:left w:val="single" w:sz="4" w:space="0" w:color="auto"/>
              <w:bottom w:val="single" w:sz="4" w:space="0" w:color="auto"/>
              <w:right w:val="single" w:sz="4" w:space="0" w:color="auto"/>
            </w:tcBorders>
            <w:shd w:val="clear" w:color="auto" w:fill="auto"/>
            <w:noWrap/>
            <w:vAlign w:val="bottom"/>
            <w:hideMark/>
          </w:tcPr>
          <w:p w14:paraId="04A80ED3" w14:textId="77777777" w:rsidR="002021EB" w:rsidRPr="00B32F37" w:rsidRDefault="002021EB" w:rsidP="00DF2591">
            <w:pPr>
              <w:spacing w:after="0" w:line="240" w:lineRule="auto"/>
              <w:jc w:val="right"/>
              <w:rPr>
                <w:rFonts w:eastAsia="Times New Roman" w:cs="Calibri"/>
                <w:lang w:eastAsia="en-GB"/>
              </w:rPr>
            </w:pPr>
            <w:r w:rsidRPr="00B32F37">
              <w:rPr>
                <w:rFonts w:eastAsia="Times New Roman" w:cs="Calibri"/>
                <w:lang w:eastAsia="en-GB"/>
              </w:rPr>
              <w:t>2019</w:t>
            </w:r>
          </w:p>
        </w:tc>
        <w:tc>
          <w:tcPr>
            <w:tcW w:w="1137" w:type="dxa"/>
            <w:tcBorders>
              <w:top w:val="nil"/>
              <w:left w:val="nil"/>
              <w:bottom w:val="single" w:sz="4" w:space="0" w:color="auto"/>
              <w:right w:val="single" w:sz="4" w:space="0" w:color="auto"/>
            </w:tcBorders>
            <w:shd w:val="clear" w:color="auto" w:fill="auto"/>
            <w:noWrap/>
            <w:vAlign w:val="bottom"/>
            <w:hideMark/>
          </w:tcPr>
          <w:p w14:paraId="3E4D74B7" w14:textId="77777777" w:rsidR="002021EB" w:rsidRPr="00B32F37" w:rsidRDefault="002021EB" w:rsidP="00DF2591">
            <w:pPr>
              <w:spacing w:after="0" w:line="240" w:lineRule="auto"/>
              <w:jc w:val="right"/>
              <w:rPr>
                <w:rFonts w:eastAsia="Times New Roman" w:cs="Calibri"/>
                <w:sz w:val="20"/>
                <w:szCs w:val="20"/>
                <w:lang w:eastAsia="en-GB"/>
              </w:rPr>
            </w:pPr>
            <w:r w:rsidRPr="00B32F37">
              <w:rPr>
                <w:rFonts w:eastAsia="Times New Roman" w:cs="Calibri"/>
                <w:sz w:val="20"/>
                <w:szCs w:val="20"/>
                <w:lang w:eastAsia="en-GB"/>
              </w:rPr>
              <w:t>98.53</w:t>
            </w:r>
          </w:p>
        </w:tc>
        <w:tc>
          <w:tcPr>
            <w:tcW w:w="1250" w:type="dxa"/>
            <w:tcBorders>
              <w:top w:val="nil"/>
              <w:left w:val="nil"/>
              <w:bottom w:val="single" w:sz="4" w:space="0" w:color="auto"/>
              <w:right w:val="single" w:sz="4" w:space="0" w:color="auto"/>
            </w:tcBorders>
            <w:shd w:val="clear" w:color="auto" w:fill="auto"/>
            <w:noWrap/>
            <w:vAlign w:val="bottom"/>
            <w:hideMark/>
          </w:tcPr>
          <w:p w14:paraId="3C8375EF" w14:textId="77777777" w:rsidR="002021EB" w:rsidRPr="00B32F37" w:rsidRDefault="002021EB" w:rsidP="00DF2591">
            <w:pPr>
              <w:spacing w:after="0" w:line="240" w:lineRule="auto"/>
              <w:jc w:val="right"/>
              <w:rPr>
                <w:rFonts w:eastAsia="Times New Roman" w:cs="Calibri"/>
                <w:sz w:val="20"/>
                <w:szCs w:val="20"/>
                <w:lang w:eastAsia="en-GB"/>
              </w:rPr>
            </w:pPr>
            <w:r w:rsidRPr="00B32F37">
              <w:rPr>
                <w:rFonts w:eastAsia="Times New Roman" w:cs="Calibri"/>
                <w:sz w:val="20"/>
                <w:szCs w:val="20"/>
                <w:lang w:eastAsia="en-GB"/>
              </w:rPr>
              <w:t>27.27</w:t>
            </w:r>
          </w:p>
        </w:tc>
        <w:tc>
          <w:tcPr>
            <w:tcW w:w="1239" w:type="dxa"/>
            <w:tcBorders>
              <w:top w:val="nil"/>
              <w:left w:val="nil"/>
              <w:bottom w:val="single" w:sz="4" w:space="0" w:color="auto"/>
              <w:right w:val="single" w:sz="4" w:space="0" w:color="auto"/>
            </w:tcBorders>
            <w:shd w:val="clear" w:color="auto" w:fill="auto"/>
            <w:noWrap/>
            <w:vAlign w:val="bottom"/>
            <w:hideMark/>
          </w:tcPr>
          <w:p w14:paraId="1A50296B" w14:textId="77777777" w:rsidR="002021EB" w:rsidRPr="00B32F37" w:rsidRDefault="002021EB" w:rsidP="00DF2591">
            <w:pPr>
              <w:spacing w:after="0" w:line="240" w:lineRule="auto"/>
              <w:jc w:val="right"/>
              <w:rPr>
                <w:rFonts w:eastAsia="Times New Roman" w:cs="Calibri"/>
                <w:sz w:val="20"/>
                <w:szCs w:val="20"/>
                <w:lang w:eastAsia="en-GB"/>
              </w:rPr>
            </w:pPr>
            <w:r w:rsidRPr="00B32F37">
              <w:rPr>
                <w:rFonts w:eastAsia="Times New Roman" w:cs="Calibri"/>
                <w:sz w:val="20"/>
                <w:szCs w:val="20"/>
                <w:lang w:eastAsia="en-GB"/>
              </w:rPr>
              <w:t>23.79%</w:t>
            </w:r>
          </w:p>
        </w:tc>
        <w:tc>
          <w:tcPr>
            <w:tcW w:w="1005" w:type="dxa"/>
            <w:tcBorders>
              <w:top w:val="nil"/>
              <w:left w:val="nil"/>
              <w:bottom w:val="single" w:sz="4" w:space="0" w:color="auto"/>
              <w:right w:val="single" w:sz="4" w:space="0" w:color="auto"/>
            </w:tcBorders>
            <w:shd w:val="clear" w:color="auto" w:fill="auto"/>
            <w:noWrap/>
            <w:vAlign w:val="bottom"/>
            <w:hideMark/>
          </w:tcPr>
          <w:p w14:paraId="1051AE50" w14:textId="77777777" w:rsidR="002021EB" w:rsidRPr="00B32F37" w:rsidRDefault="002021EB" w:rsidP="00DF2591">
            <w:pPr>
              <w:spacing w:after="0" w:line="240" w:lineRule="auto"/>
              <w:jc w:val="right"/>
              <w:rPr>
                <w:rFonts w:eastAsia="Times New Roman" w:cs="Calibri"/>
                <w:sz w:val="20"/>
                <w:szCs w:val="20"/>
                <w:lang w:eastAsia="en-GB"/>
              </w:rPr>
            </w:pPr>
            <w:r w:rsidRPr="00B32F37">
              <w:rPr>
                <w:rFonts w:eastAsia="Times New Roman" w:cs="Calibri"/>
                <w:sz w:val="20"/>
                <w:szCs w:val="20"/>
                <w:lang w:eastAsia="en-GB"/>
              </w:rPr>
              <w:t>27.27</w:t>
            </w:r>
          </w:p>
        </w:tc>
        <w:tc>
          <w:tcPr>
            <w:tcW w:w="1239" w:type="dxa"/>
            <w:tcBorders>
              <w:top w:val="nil"/>
              <w:left w:val="nil"/>
              <w:bottom w:val="single" w:sz="4" w:space="0" w:color="auto"/>
              <w:right w:val="single" w:sz="4" w:space="0" w:color="auto"/>
            </w:tcBorders>
            <w:shd w:val="clear" w:color="auto" w:fill="auto"/>
            <w:noWrap/>
            <w:vAlign w:val="bottom"/>
            <w:hideMark/>
          </w:tcPr>
          <w:p w14:paraId="2898EEA2" w14:textId="77777777" w:rsidR="002021EB" w:rsidRPr="00B32F37" w:rsidRDefault="002021EB" w:rsidP="00DF2591">
            <w:pPr>
              <w:spacing w:after="0" w:line="240" w:lineRule="auto"/>
              <w:jc w:val="right"/>
              <w:rPr>
                <w:rFonts w:eastAsia="Times New Roman" w:cs="Calibri"/>
                <w:sz w:val="20"/>
                <w:szCs w:val="20"/>
                <w:lang w:eastAsia="en-GB"/>
              </w:rPr>
            </w:pPr>
            <w:r w:rsidRPr="00B32F37">
              <w:rPr>
                <w:rFonts w:eastAsia="Times New Roman" w:cs="Calibri"/>
                <w:sz w:val="20"/>
                <w:szCs w:val="20"/>
                <w:lang w:eastAsia="en-GB"/>
              </w:rPr>
              <w:t>23.79%</w:t>
            </w:r>
          </w:p>
        </w:tc>
      </w:tr>
      <w:tr w:rsidR="002021EB" w:rsidRPr="00B32F37" w14:paraId="1F2F8A94" w14:textId="77777777" w:rsidTr="00DF2591">
        <w:trPr>
          <w:trHeight w:val="300"/>
        </w:trPr>
        <w:tc>
          <w:tcPr>
            <w:tcW w:w="2730" w:type="dxa"/>
            <w:tcBorders>
              <w:top w:val="nil"/>
              <w:left w:val="single" w:sz="4" w:space="0" w:color="auto"/>
              <w:bottom w:val="single" w:sz="4" w:space="0" w:color="auto"/>
              <w:right w:val="single" w:sz="4" w:space="0" w:color="auto"/>
            </w:tcBorders>
            <w:shd w:val="clear" w:color="auto" w:fill="auto"/>
            <w:noWrap/>
            <w:vAlign w:val="bottom"/>
            <w:hideMark/>
          </w:tcPr>
          <w:p w14:paraId="50C01D6B" w14:textId="77777777" w:rsidR="002021EB" w:rsidRPr="00B32F37" w:rsidRDefault="002021EB" w:rsidP="00DF2591">
            <w:pPr>
              <w:spacing w:after="0" w:line="240" w:lineRule="auto"/>
              <w:jc w:val="right"/>
              <w:rPr>
                <w:rFonts w:eastAsia="Times New Roman" w:cs="Calibri"/>
                <w:lang w:eastAsia="en-GB"/>
              </w:rPr>
            </w:pPr>
            <w:r w:rsidRPr="00B32F37">
              <w:rPr>
                <w:rFonts w:eastAsia="Times New Roman" w:cs="Calibri"/>
                <w:lang w:eastAsia="en-GB"/>
              </w:rPr>
              <w:t>2020</w:t>
            </w:r>
          </w:p>
        </w:tc>
        <w:tc>
          <w:tcPr>
            <w:tcW w:w="1137" w:type="dxa"/>
            <w:tcBorders>
              <w:top w:val="nil"/>
              <w:left w:val="nil"/>
              <w:bottom w:val="single" w:sz="4" w:space="0" w:color="auto"/>
              <w:right w:val="single" w:sz="4" w:space="0" w:color="auto"/>
            </w:tcBorders>
            <w:shd w:val="clear" w:color="auto" w:fill="auto"/>
            <w:noWrap/>
            <w:vAlign w:val="bottom"/>
            <w:hideMark/>
          </w:tcPr>
          <w:p w14:paraId="75356231" w14:textId="77777777" w:rsidR="002021EB" w:rsidRPr="00B32F37" w:rsidRDefault="002021EB" w:rsidP="00DF2591">
            <w:pPr>
              <w:spacing w:after="0" w:line="240" w:lineRule="auto"/>
              <w:jc w:val="right"/>
              <w:rPr>
                <w:rFonts w:eastAsia="Times New Roman" w:cs="Calibri"/>
                <w:sz w:val="20"/>
                <w:szCs w:val="20"/>
                <w:lang w:eastAsia="en-GB"/>
              </w:rPr>
            </w:pPr>
            <w:r w:rsidRPr="00B32F37">
              <w:rPr>
                <w:rFonts w:eastAsia="Times New Roman" w:cs="Calibri"/>
                <w:sz w:val="20"/>
                <w:szCs w:val="20"/>
                <w:lang w:eastAsia="en-GB"/>
              </w:rPr>
              <w:t>70.03</w:t>
            </w:r>
          </w:p>
        </w:tc>
        <w:tc>
          <w:tcPr>
            <w:tcW w:w="1250" w:type="dxa"/>
            <w:tcBorders>
              <w:top w:val="nil"/>
              <w:left w:val="nil"/>
              <w:bottom w:val="single" w:sz="4" w:space="0" w:color="auto"/>
              <w:right w:val="single" w:sz="4" w:space="0" w:color="auto"/>
            </w:tcBorders>
            <w:shd w:val="clear" w:color="auto" w:fill="auto"/>
            <w:noWrap/>
            <w:vAlign w:val="bottom"/>
            <w:hideMark/>
          </w:tcPr>
          <w:p w14:paraId="1C04E737" w14:textId="77777777" w:rsidR="002021EB" w:rsidRPr="00B32F37" w:rsidRDefault="002021EB" w:rsidP="00DF2591">
            <w:pPr>
              <w:spacing w:after="0" w:line="240" w:lineRule="auto"/>
              <w:jc w:val="right"/>
              <w:rPr>
                <w:rFonts w:eastAsia="Times New Roman" w:cs="Calibri"/>
                <w:sz w:val="20"/>
                <w:szCs w:val="20"/>
                <w:lang w:eastAsia="en-GB"/>
              </w:rPr>
            </w:pPr>
            <w:r w:rsidRPr="00B32F37">
              <w:rPr>
                <w:rFonts w:eastAsia="Times New Roman" w:cs="Calibri"/>
                <w:sz w:val="20"/>
                <w:szCs w:val="20"/>
                <w:lang w:eastAsia="en-GB"/>
              </w:rPr>
              <w:t>47.50</w:t>
            </w:r>
          </w:p>
        </w:tc>
        <w:tc>
          <w:tcPr>
            <w:tcW w:w="1239" w:type="dxa"/>
            <w:tcBorders>
              <w:top w:val="nil"/>
              <w:left w:val="nil"/>
              <w:bottom w:val="single" w:sz="4" w:space="0" w:color="auto"/>
              <w:right w:val="single" w:sz="4" w:space="0" w:color="auto"/>
            </w:tcBorders>
            <w:shd w:val="clear" w:color="auto" w:fill="auto"/>
            <w:noWrap/>
            <w:vAlign w:val="bottom"/>
            <w:hideMark/>
          </w:tcPr>
          <w:p w14:paraId="0326F4BD" w14:textId="77777777" w:rsidR="002021EB" w:rsidRPr="00B32F37" w:rsidRDefault="002021EB" w:rsidP="00DF2591">
            <w:pPr>
              <w:spacing w:after="0" w:line="240" w:lineRule="auto"/>
              <w:jc w:val="right"/>
              <w:rPr>
                <w:rFonts w:eastAsia="Times New Roman" w:cs="Calibri"/>
                <w:sz w:val="20"/>
                <w:szCs w:val="20"/>
                <w:lang w:eastAsia="en-GB"/>
              </w:rPr>
            </w:pPr>
            <w:r w:rsidRPr="00B32F37">
              <w:rPr>
                <w:rFonts w:eastAsia="Times New Roman" w:cs="Calibri"/>
                <w:sz w:val="20"/>
                <w:szCs w:val="20"/>
                <w:lang w:eastAsia="en-GB"/>
              </w:rPr>
              <w:t>35.46%</w:t>
            </w:r>
          </w:p>
        </w:tc>
        <w:tc>
          <w:tcPr>
            <w:tcW w:w="1005" w:type="dxa"/>
            <w:tcBorders>
              <w:top w:val="nil"/>
              <w:left w:val="nil"/>
              <w:bottom w:val="single" w:sz="4" w:space="0" w:color="auto"/>
              <w:right w:val="single" w:sz="4" w:space="0" w:color="auto"/>
            </w:tcBorders>
            <w:shd w:val="clear" w:color="auto" w:fill="auto"/>
            <w:noWrap/>
            <w:vAlign w:val="bottom"/>
            <w:hideMark/>
          </w:tcPr>
          <w:p w14:paraId="08879C47" w14:textId="77777777" w:rsidR="002021EB" w:rsidRPr="00B32F37" w:rsidRDefault="002021EB" w:rsidP="00DF2591">
            <w:pPr>
              <w:spacing w:after="0" w:line="240" w:lineRule="auto"/>
              <w:jc w:val="right"/>
              <w:rPr>
                <w:rFonts w:eastAsia="Times New Roman" w:cs="Calibri"/>
                <w:sz w:val="20"/>
                <w:szCs w:val="20"/>
                <w:lang w:eastAsia="en-GB"/>
              </w:rPr>
            </w:pPr>
            <w:r w:rsidRPr="00B32F37">
              <w:rPr>
                <w:rFonts w:eastAsia="Times New Roman" w:cs="Calibri"/>
                <w:sz w:val="20"/>
                <w:szCs w:val="20"/>
                <w:lang w:eastAsia="en-GB"/>
              </w:rPr>
              <w:t>9.09</w:t>
            </w:r>
          </w:p>
        </w:tc>
        <w:tc>
          <w:tcPr>
            <w:tcW w:w="1239" w:type="dxa"/>
            <w:tcBorders>
              <w:top w:val="nil"/>
              <w:left w:val="nil"/>
              <w:bottom w:val="single" w:sz="4" w:space="0" w:color="auto"/>
              <w:right w:val="single" w:sz="4" w:space="0" w:color="auto"/>
            </w:tcBorders>
            <w:shd w:val="clear" w:color="auto" w:fill="auto"/>
            <w:noWrap/>
            <w:vAlign w:val="bottom"/>
            <w:hideMark/>
          </w:tcPr>
          <w:p w14:paraId="55830A50" w14:textId="77777777" w:rsidR="002021EB" w:rsidRPr="00B32F37" w:rsidRDefault="002021EB" w:rsidP="00DF2591">
            <w:pPr>
              <w:spacing w:after="0" w:line="240" w:lineRule="auto"/>
              <w:jc w:val="right"/>
              <w:rPr>
                <w:rFonts w:eastAsia="Times New Roman" w:cs="Calibri"/>
                <w:sz w:val="20"/>
                <w:szCs w:val="20"/>
                <w:lang w:eastAsia="en-GB"/>
              </w:rPr>
            </w:pPr>
            <w:r w:rsidRPr="00B32F37">
              <w:rPr>
                <w:rFonts w:eastAsia="Times New Roman" w:cs="Calibri"/>
                <w:sz w:val="20"/>
                <w:szCs w:val="20"/>
                <w:lang w:eastAsia="en-GB"/>
              </w:rPr>
              <w:t>20.92%</w:t>
            </w:r>
          </w:p>
        </w:tc>
      </w:tr>
      <w:tr w:rsidR="002021EB" w:rsidRPr="00B32F37" w14:paraId="532EE4E7" w14:textId="77777777" w:rsidTr="00DF2591">
        <w:trPr>
          <w:trHeight w:val="300"/>
        </w:trPr>
        <w:tc>
          <w:tcPr>
            <w:tcW w:w="2730" w:type="dxa"/>
            <w:tcBorders>
              <w:top w:val="nil"/>
              <w:left w:val="single" w:sz="4" w:space="0" w:color="auto"/>
              <w:bottom w:val="single" w:sz="4" w:space="0" w:color="auto"/>
              <w:right w:val="single" w:sz="4" w:space="0" w:color="auto"/>
            </w:tcBorders>
            <w:shd w:val="clear" w:color="auto" w:fill="auto"/>
            <w:noWrap/>
            <w:vAlign w:val="bottom"/>
            <w:hideMark/>
          </w:tcPr>
          <w:p w14:paraId="7DE40D0E" w14:textId="77777777" w:rsidR="002021EB" w:rsidRPr="00B32F37" w:rsidRDefault="002021EB" w:rsidP="00DF2591">
            <w:pPr>
              <w:spacing w:after="0" w:line="240" w:lineRule="auto"/>
              <w:jc w:val="right"/>
              <w:rPr>
                <w:rFonts w:eastAsia="Times New Roman" w:cs="Calibri"/>
                <w:lang w:eastAsia="en-GB"/>
              </w:rPr>
            </w:pPr>
            <w:r w:rsidRPr="00B32F37">
              <w:rPr>
                <w:rFonts w:eastAsia="Times New Roman" w:cs="Calibri"/>
                <w:lang w:eastAsia="en-GB"/>
              </w:rPr>
              <w:t>2021</w:t>
            </w:r>
          </w:p>
        </w:tc>
        <w:tc>
          <w:tcPr>
            <w:tcW w:w="1137" w:type="dxa"/>
            <w:tcBorders>
              <w:top w:val="nil"/>
              <w:left w:val="nil"/>
              <w:bottom w:val="single" w:sz="4" w:space="0" w:color="auto"/>
              <w:right w:val="single" w:sz="4" w:space="0" w:color="auto"/>
            </w:tcBorders>
            <w:shd w:val="clear" w:color="auto" w:fill="auto"/>
            <w:noWrap/>
            <w:vAlign w:val="bottom"/>
            <w:hideMark/>
          </w:tcPr>
          <w:p w14:paraId="30D5C241" w14:textId="77777777" w:rsidR="002021EB" w:rsidRPr="00B32F37" w:rsidRDefault="002021EB" w:rsidP="00DF2591">
            <w:pPr>
              <w:spacing w:after="0" w:line="240" w:lineRule="auto"/>
              <w:jc w:val="right"/>
              <w:rPr>
                <w:rFonts w:eastAsia="Times New Roman" w:cs="Calibri"/>
                <w:sz w:val="20"/>
                <w:szCs w:val="20"/>
                <w:lang w:eastAsia="en-GB"/>
              </w:rPr>
            </w:pPr>
            <w:r w:rsidRPr="00B32F37">
              <w:rPr>
                <w:rFonts w:eastAsia="Times New Roman" w:cs="Calibri"/>
                <w:sz w:val="20"/>
                <w:szCs w:val="20"/>
                <w:lang w:eastAsia="en-GB"/>
              </w:rPr>
              <w:t>88.62</w:t>
            </w:r>
          </w:p>
        </w:tc>
        <w:tc>
          <w:tcPr>
            <w:tcW w:w="1250" w:type="dxa"/>
            <w:tcBorders>
              <w:top w:val="nil"/>
              <w:left w:val="nil"/>
              <w:bottom w:val="single" w:sz="4" w:space="0" w:color="auto"/>
              <w:right w:val="single" w:sz="4" w:space="0" w:color="auto"/>
            </w:tcBorders>
            <w:shd w:val="clear" w:color="auto" w:fill="auto"/>
            <w:noWrap/>
            <w:vAlign w:val="bottom"/>
            <w:hideMark/>
          </w:tcPr>
          <w:p w14:paraId="138A0E4F" w14:textId="77777777" w:rsidR="002021EB" w:rsidRPr="00B32F37" w:rsidRDefault="002021EB" w:rsidP="00DF2591">
            <w:pPr>
              <w:spacing w:after="0" w:line="240" w:lineRule="auto"/>
              <w:jc w:val="right"/>
              <w:rPr>
                <w:rFonts w:eastAsia="Times New Roman" w:cs="Calibri"/>
                <w:sz w:val="20"/>
                <w:szCs w:val="20"/>
                <w:lang w:eastAsia="en-GB"/>
              </w:rPr>
            </w:pPr>
            <w:r w:rsidRPr="00B32F37">
              <w:rPr>
                <w:rFonts w:eastAsia="Times New Roman" w:cs="Calibri"/>
                <w:sz w:val="20"/>
                <w:szCs w:val="20"/>
                <w:lang w:eastAsia="en-GB"/>
              </w:rPr>
              <w:t>17.38</w:t>
            </w:r>
          </w:p>
        </w:tc>
        <w:tc>
          <w:tcPr>
            <w:tcW w:w="1239" w:type="dxa"/>
            <w:tcBorders>
              <w:top w:val="nil"/>
              <w:left w:val="nil"/>
              <w:bottom w:val="single" w:sz="4" w:space="0" w:color="auto"/>
              <w:right w:val="single" w:sz="4" w:space="0" w:color="auto"/>
            </w:tcBorders>
            <w:shd w:val="clear" w:color="auto" w:fill="auto"/>
            <w:noWrap/>
            <w:vAlign w:val="bottom"/>
            <w:hideMark/>
          </w:tcPr>
          <w:p w14:paraId="3253A63F" w14:textId="77777777" w:rsidR="002021EB" w:rsidRPr="00B32F37" w:rsidRDefault="002021EB" w:rsidP="00DF2591">
            <w:pPr>
              <w:spacing w:after="0" w:line="240" w:lineRule="auto"/>
              <w:jc w:val="right"/>
              <w:rPr>
                <w:rFonts w:eastAsia="Times New Roman" w:cs="Calibri"/>
                <w:sz w:val="20"/>
                <w:szCs w:val="20"/>
                <w:lang w:eastAsia="en-GB"/>
              </w:rPr>
            </w:pPr>
            <w:r w:rsidRPr="00B32F37">
              <w:rPr>
                <w:rFonts w:eastAsia="Times New Roman" w:cs="Calibri"/>
                <w:sz w:val="20"/>
                <w:szCs w:val="20"/>
                <w:lang w:eastAsia="en-GB"/>
              </w:rPr>
              <w:t>32.59%</w:t>
            </w:r>
          </w:p>
        </w:tc>
        <w:tc>
          <w:tcPr>
            <w:tcW w:w="1005" w:type="dxa"/>
            <w:tcBorders>
              <w:top w:val="nil"/>
              <w:left w:val="nil"/>
              <w:bottom w:val="single" w:sz="4" w:space="0" w:color="auto"/>
              <w:right w:val="single" w:sz="4" w:space="0" w:color="auto"/>
            </w:tcBorders>
            <w:shd w:val="clear" w:color="auto" w:fill="auto"/>
            <w:noWrap/>
            <w:vAlign w:val="bottom"/>
            <w:hideMark/>
          </w:tcPr>
          <w:p w14:paraId="4E1D858B" w14:textId="77777777" w:rsidR="002021EB" w:rsidRPr="00B32F37" w:rsidRDefault="002021EB" w:rsidP="00DF2591">
            <w:pPr>
              <w:spacing w:after="0" w:line="240" w:lineRule="auto"/>
              <w:jc w:val="right"/>
              <w:rPr>
                <w:rFonts w:eastAsia="Times New Roman" w:cs="Calibri"/>
                <w:sz w:val="20"/>
                <w:szCs w:val="20"/>
                <w:lang w:eastAsia="en-GB"/>
              </w:rPr>
            </w:pPr>
            <w:r w:rsidRPr="00B32F37">
              <w:rPr>
                <w:rFonts w:eastAsia="Times New Roman" w:cs="Calibri"/>
                <w:sz w:val="20"/>
                <w:szCs w:val="20"/>
                <w:lang w:eastAsia="en-GB"/>
              </w:rPr>
              <w:t>0.00</w:t>
            </w:r>
          </w:p>
        </w:tc>
        <w:tc>
          <w:tcPr>
            <w:tcW w:w="1239" w:type="dxa"/>
            <w:tcBorders>
              <w:top w:val="nil"/>
              <w:left w:val="nil"/>
              <w:bottom w:val="single" w:sz="4" w:space="0" w:color="auto"/>
              <w:right w:val="single" w:sz="4" w:space="0" w:color="auto"/>
            </w:tcBorders>
            <w:shd w:val="clear" w:color="auto" w:fill="auto"/>
            <w:noWrap/>
            <w:vAlign w:val="bottom"/>
            <w:hideMark/>
          </w:tcPr>
          <w:p w14:paraId="5D990A59" w14:textId="77777777" w:rsidR="002021EB" w:rsidRPr="00B32F37" w:rsidRDefault="002021EB" w:rsidP="00DF2591">
            <w:pPr>
              <w:spacing w:after="0" w:line="240" w:lineRule="auto"/>
              <w:jc w:val="right"/>
              <w:rPr>
                <w:rFonts w:eastAsia="Times New Roman" w:cs="Calibri"/>
                <w:sz w:val="20"/>
                <w:szCs w:val="20"/>
                <w:lang w:eastAsia="en-GB"/>
              </w:rPr>
            </w:pPr>
            <w:r w:rsidRPr="00B32F37">
              <w:rPr>
                <w:rFonts w:eastAsia="Times New Roman" w:cs="Calibri"/>
                <w:sz w:val="20"/>
                <w:szCs w:val="20"/>
                <w:lang w:eastAsia="en-GB"/>
              </w:rPr>
              <w:t>15.67%</w:t>
            </w:r>
          </w:p>
        </w:tc>
      </w:tr>
      <w:tr w:rsidR="002021EB" w:rsidRPr="00B32F37" w14:paraId="0EF1DDDF" w14:textId="77777777" w:rsidTr="00DF2591">
        <w:trPr>
          <w:trHeight w:val="315"/>
        </w:trPr>
        <w:tc>
          <w:tcPr>
            <w:tcW w:w="2730" w:type="dxa"/>
            <w:tcBorders>
              <w:top w:val="nil"/>
              <w:left w:val="single" w:sz="4" w:space="0" w:color="auto"/>
              <w:bottom w:val="single" w:sz="4" w:space="0" w:color="auto"/>
              <w:right w:val="single" w:sz="4" w:space="0" w:color="auto"/>
            </w:tcBorders>
            <w:shd w:val="clear" w:color="auto" w:fill="auto"/>
            <w:noWrap/>
            <w:vAlign w:val="bottom"/>
            <w:hideMark/>
          </w:tcPr>
          <w:p w14:paraId="49105353" w14:textId="77777777" w:rsidR="002021EB" w:rsidRPr="00B32F37" w:rsidRDefault="002021EB" w:rsidP="00DF2591">
            <w:pPr>
              <w:spacing w:after="0" w:line="240" w:lineRule="auto"/>
              <w:rPr>
                <w:rFonts w:eastAsia="Times New Roman" w:cs="Calibri"/>
                <w:lang w:eastAsia="en-GB"/>
              </w:rPr>
            </w:pPr>
            <w:r w:rsidRPr="00B32F37">
              <w:rPr>
                <w:rFonts w:eastAsia="Times New Roman" w:cs="Calibri"/>
                <w:lang w:eastAsia="en-GB"/>
              </w:rPr>
              <w:lastRenderedPageBreak/>
              <w:t>Total up to 31 December 2021</w:t>
            </w:r>
          </w:p>
        </w:tc>
        <w:tc>
          <w:tcPr>
            <w:tcW w:w="1137" w:type="dxa"/>
            <w:tcBorders>
              <w:top w:val="nil"/>
              <w:left w:val="nil"/>
              <w:bottom w:val="single" w:sz="4" w:space="0" w:color="auto"/>
              <w:right w:val="single" w:sz="4" w:space="0" w:color="auto"/>
            </w:tcBorders>
            <w:shd w:val="clear" w:color="auto" w:fill="auto"/>
            <w:noWrap/>
            <w:vAlign w:val="bottom"/>
            <w:hideMark/>
          </w:tcPr>
          <w:p w14:paraId="12597617" w14:textId="77777777" w:rsidR="002021EB" w:rsidRPr="00B32F37" w:rsidRDefault="002021EB" w:rsidP="00DF2591">
            <w:pPr>
              <w:spacing w:after="0" w:line="240" w:lineRule="auto"/>
              <w:jc w:val="right"/>
              <w:rPr>
                <w:rFonts w:eastAsia="Times New Roman" w:cs="Calibri"/>
                <w:b/>
                <w:bCs/>
                <w:sz w:val="20"/>
                <w:szCs w:val="20"/>
                <w:lang w:eastAsia="en-GB"/>
              </w:rPr>
            </w:pPr>
            <w:r w:rsidRPr="00B32F37">
              <w:rPr>
                <w:rFonts w:eastAsia="Times New Roman" w:cs="Calibri"/>
                <w:b/>
                <w:bCs/>
                <w:sz w:val="20"/>
                <w:szCs w:val="20"/>
                <w:lang w:eastAsia="en-GB"/>
              </w:rPr>
              <w:t>352.91</w:t>
            </w:r>
          </w:p>
        </w:tc>
        <w:tc>
          <w:tcPr>
            <w:tcW w:w="1250" w:type="dxa"/>
            <w:tcBorders>
              <w:top w:val="nil"/>
              <w:left w:val="nil"/>
              <w:bottom w:val="single" w:sz="4" w:space="0" w:color="auto"/>
              <w:right w:val="single" w:sz="4" w:space="0" w:color="auto"/>
            </w:tcBorders>
            <w:shd w:val="clear" w:color="auto" w:fill="auto"/>
            <w:noWrap/>
            <w:vAlign w:val="bottom"/>
            <w:hideMark/>
          </w:tcPr>
          <w:p w14:paraId="0D140928" w14:textId="77777777" w:rsidR="002021EB" w:rsidRPr="00B32F37" w:rsidRDefault="002021EB" w:rsidP="00DF2591">
            <w:pPr>
              <w:spacing w:after="0" w:line="240" w:lineRule="auto"/>
              <w:jc w:val="right"/>
              <w:rPr>
                <w:rFonts w:eastAsia="Times New Roman" w:cs="Calibri"/>
                <w:b/>
                <w:bCs/>
                <w:sz w:val="20"/>
                <w:szCs w:val="20"/>
                <w:lang w:eastAsia="en-GB"/>
              </w:rPr>
            </w:pPr>
            <w:r w:rsidRPr="00B32F37">
              <w:rPr>
                <w:rFonts w:eastAsia="Times New Roman" w:cs="Calibri"/>
                <w:b/>
                <w:bCs/>
                <w:sz w:val="20"/>
                <w:szCs w:val="20"/>
                <w:lang w:eastAsia="en-GB"/>
              </w:rPr>
              <w:t>111.09</w:t>
            </w:r>
          </w:p>
        </w:tc>
        <w:tc>
          <w:tcPr>
            <w:tcW w:w="1239" w:type="dxa"/>
            <w:tcBorders>
              <w:top w:val="nil"/>
              <w:left w:val="nil"/>
              <w:bottom w:val="single" w:sz="4" w:space="0" w:color="auto"/>
              <w:right w:val="single" w:sz="4" w:space="0" w:color="auto"/>
            </w:tcBorders>
            <w:shd w:val="clear" w:color="auto" w:fill="auto"/>
            <w:noWrap/>
            <w:vAlign w:val="bottom"/>
            <w:hideMark/>
          </w:tcPr>
          <w:p w14:paraId="54AFEADE" w14:textId="77777777" w:rsidR="002021EB" w:rsidRPr="00B32F37" w:rsidRDefault="002021EB" w:rsidP="00DF2591">
            <w:pPr>
              <w:spacing w:after="0" w:line="240" w:lineRule="auto"/>
              <w:jc w:val="right"/>
              <w:rPr>
                <w:rFonts w:eastAsia="Times New Roman" w:cs="Calibri"/>
                <w:b/>
                <w:bCs/>
                <w:sz w:val="20"/>
                <w:szCs w:val="20"/>
                <w:lang w:eastAsia="en-GB"/>
              </w:rPr>
            </w:pPr>
            <w:r w:rsidRPr="00B32F37">
              <w:rPr>
                <w:rFonts w:eastAsia="Times New Roman" w:cs="Calibri"/>
                <w:b/>
                <w:bCs/>
                <w:sz w:val="20"/>
                <w:szCs w:val="20"/>
                <w:lang w:eastAsia="en-GB"/>
              </w:rPr>
              <w:t>31.48%</w:t>
            </w:r>
          </w:p>
        </w:tc>
        <w:tc>
          <w:tcPr>
            <w:tcW w:w="1005" w:type="dxa"/>
            <w:tcBorders>
              <w:top w:val="nil"/>
              <w:left w:val="nil"/>
              <w:bottom w:val="single" w:sz="4" w:space="0" w:color="auto"/>
              <w:right w:val="single" w:sz="4" w:space="0" w:color="auto"/>
            </w:tcBorders>
            <w:shd w:val="clear" w:color="auto" w:fill="auto"/>
            <w:noWrap/>
            <w:vAlign w:val="bottom"/>
            <w:hideMark/>
          </w:tcPr>
          <w:p w14:paraId="7BD22E59" w14:textId="77777777" w:rsidR="002021EB" w:rsidRPr="00B32F37" w:rsidRDefault="002021EB" w:rsidP="00DF2591">
            <w:pPr>
              <w:spacing w:after="0" w:line="240" w:lineRule="auto"/>
              <w:jc w:val="right"/>
              <w:rPr>
                <w:rFonts w:eastAsia="Times New Roman" w:cs="Calibri"/>
                <w:b/>
                <w:bCs/>
                <w:sz w:val="20"/>
                <w:szCs w:val="20"/>
                <w:lang w:eastAsia="en-GB"/>
              </w:rPr>
            </w:pPr>
            <w:r w:rsidRPr="00B32F37">
              <w:rPr>
                <w:rFonts w:eastAsia="Times New Roman" w:cs="Calibri"/>
                <w:b/>
                <w:bCs/>
                <w:sz w:val="20"/>
                <w:szCs w:val="20"/>
                <w:lang w:eastAsia="en-GB"/>
              </w:rPr>
              <w:t>55.30</w:t>
            </w:r>
          </w:p>
        </w:tc>
        <w:tc>
          <w:tcPr>
            <w:tcW w:w="1239" w:type="dxa"/>
            <w:tcBorders>
              <w:top w:val="nil"/>
              <w:left w:val="nil"/>
              <w:bottom w:val="single" w:sz="4" w:space="0" w:color="auto"/>
              <w:right w:val="single" w:sz="4" w:space="0" w:color="auto"/>
            </w:tcBorders>
            <w:shd w:val="clear" w:color="auto" w:fill="auto"/>
            <w:noWrap/>
            <w:vAlign w:val="bottom"/>
            <w:hideMark/>
          </w:tcPr>
          <w:p w14:paraId="4948F528" w14:textId="77777777" w:rsidR="002021EB" w:rsidRPr="00B32F37" w:rsidRDefault="002021EB" w:rsidP="00DF2591">
            <w:pPr>
              <w:spacing w:after="0" w:line="240" w:lineRule="auto"/>
              <w:jc w:val="right"/>
              <w:rPr>
                <w:rFonts w:eastAsia="Times New Roman" w:cs="Calibri"/>
                <w:b/>
                <w:bCs/>
                <w:sz w:val="20"/>
                <w:szCs w:val="20"/>
                <w:lang w:eastAsia="en-GB"/>
              </w:rPr>
            </w:pPr>
            <w:r w:rsidRPr="00B32F37">
              <w:rPr>
                <w:rFonts w:eastAsia="Times New Roman" w:cs="Calibri"/>
                <w:b/>
                <w:bCs/>
                <w:sz w:val="20"/>
                <w:szCs w:val="20"/>
                <w:lang w:eastAsia="en-GB"/>
              </w:rPr>
              <w:t>15.67%</w:t>
            </w:r>
          </w:p>
        </w:tc>
      </w:tr>
    </w:tbl>
    <w:p w14:paraId="6FD95B6C" w14:textId="77990228" w:rsidR="002021EB" w:rsidRDefault="002021EB" w:rsidP="002021EB">
      <w:pPr>
        <w:spacing w:after="479" w:line="237" w:lineRule="auto"/>
        <w:ind w:left="2" w:hanging="10"/>
        <w:jc w:val="both"/>
      </w:pPr>
    </w:p>
    <w:p w14:paraId="43F4AF11" w14:textId="319DF81C" w:rsidR="0021544D" w:rsidRPr="0021544D" w:rsidRDefault="0021544D" w:rsidP="002021EB">
      <w:pPr>
        <w:spacing w:after="479" w:line="237" w:lineRule="auto"/>
        <w:ind w:left="2" w:hanging="10"/>
        <w:jc w:val="both"/>
        <w:rPr>
          <w:b/>
          <w:bCs/>
        </w:rPr>
      </w:pPr>
      <w:r w:rsidRPr="0021544D">
        <w:rPr>
          <w:b/>
          <w:bCs/>
        </w:rPr>
        <w:t>Figure 4.3.</w:t>
      </w:r>
      <w:r w:rsidR="00D472C1">
        <w:rPr>
          <w:b/>
          <w:bCs/>
        </w:rPr>
        <w:t>3</w:t>
      </w:r>
    </w:p>
    <w:p w14:paraId="00952CE8" w14:textId="77777777" w:rsidR="002021EB" w:rsidRDefault="002021EB" w:rsidP="002021EB">
      <w:pPr>
        <w:spacing w:after="479" w:line="237" w:lineRule="auto"/>
        <w:ind w:left="2" w:hanging="10"/>
        <w:jc w:val="center"/>
      </w:pPr>
      <w:r>
        <w:rPr>
          <w:noProof/>
          <w:lang w:eastAsia="en-GB"/>
        </w:rPr>
        <w:drawing>
          <wp:inline distT="0" distB="0" distL="0" distR="0" wp14:anchorId="3EE1A89C" wp14:editId="3310DB9F">
            <wp:extent cx="4489450" cy="2838450"/>
            <wp:effectExtent l="0" t="0" r="6350" b="0"/>
            <wp:docPr id="57" name="Chart 57">
              <a:extLst xmlns:a="http://schemas.openxmlformats.org/drawingml/2006/main">
                <a:ext uri="{FF2B5EF4-FFF2-40B4-BE49-F238E27FC236}">
                  <a16:creationId xmlns:a16="http://schemas.microsoft.com/office/drawing/2014/main" id="{00000000-0008-0000-0F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75E87EB2" w14:textId="77777777" w:rsidR="002021EB" w:rsidRDefault="002021EB" w:rsidP="002021EB">
      <w:pPr>
        <w:spacing w:after="479" w:line="237" w:lineRule="auto"/>
        <w:ind w:left="2" w:hanging="10"/>
        <w:jc w:val="center"/>
      </w:pPr>
    </w:p>
    <w:p w14:paraId="73515844" w14:textId="77777777" w:rsidR="002021EB" w:rsidRDefault="002021EB" w:rsidP="002021EB">
      <w:pPr>
        <w:spacing w:before="240" w:after="479" w:line="237" w:lineRule="auto"/>
        <w:ind w:left="2" w:hanging="10"/>
        <w:jc w:val="both"/>
      </w:pPr>
      <w:r w:rsidRPr="006421B9">
        <w:rPr>
          <w:b/>
        </w:rPr>
        <w:t>Representative audits</w:t>
      </w:r>
      <w:r>
        <w:t xml:space="preserve"> were selected following the common JUs’ sampling methodology. This methodology was built on the principles of stratified random sampling (which is </w:t>
      </w:r>
      <w:proofErr w:type="gramStart"/>
      <w:r>
        <w:t>similar to</w:t>
      </w:r>
      <w:proofErr w:type="gramEnd"/>
      <w:r>
        <w:t xml:space="preserve"> the method used by the FCH JU in FP7) with the following objectives:</w:t>
      </w:r>
    </w:p>
    <w:p w14:paraId="12B419C6" w14:textId="77777777" w:rsidR="002021EB" w:rsidRDefault="002021EB" w:rsidP="002672A0">
      <w:pPr>
        <w:pStyle w:val="ListParagraph"/>
        <w:numPr>
          <w:ilvl w:val="0"/>
          <w:numId w:val="42"/>
        </w:numPr>
        <w:spacing w:after="479" w:line="237" w:lineRule="auto"/>
        <w:jc w:val="both"/>
      </w:pPr>
      <w:r>
        <w:t>Efficient use of resources</w:t>
      </w:r>
    </w:p>
    <w:p w14:paraId="224D7827" w14:textId="77777777" w:rsidR="002021EB" w:rsidRDefault="002021EB" w:rsidP="002672A0">
      <w:pPr>
        <w:pStyle w:val="ListParagraph"/>
        <w:numPr>
          <w:ilvl w:val="0"/>
          <w:numId w:val="42"/>
        </w:numPr>
        <w:spacing w:after="479" w:line="237" w:lineRule="auto"/>
        <w:jc w:val="both"/>
      </w:pPr>
      <w:r>
        <w:t>Focusing on large-value cost claims</w:t>
      </w:r>
    </w:p>
    <w:p w14:paraId="110744FD" w14:textId="19599D8B" w:rsidR="002021EB" w:rsidRDefault="002021EB" w:rsidP="002672A0">
      <w:pPr>
        <w:pStyle w:val="ListParagraph"/>
        <w:numPr>
          <w:ilvl w:val="0"/>
          <w:numId w:val="42"/>
        </w:numPr>
        <w:spacing w:after="479" w:line="237" w:lineRule="auto"/>
        <w:jc w:val="both"/>
      </w:pPr>
      <w:r>
        <w:t>Providing an overview of the full range of projects and beneficiaries in the JU programme</w:t>
      </w:r>
    </w:p>
    <w:p w14:paraId="5EEE6910" w14:textId="77777777" w:rsidR="002021EB" w:rsidRDefault="002021EB" w:rsidP="002672A0">
      <w:pPr>
        <w:pStyle w:val="ListParagraph"/>
        <w:numPr>
          <w:ilvl w:val="0"/>
          <w:numId w:val="42"/>
        </w:numPr>
        <w:spacing w:after="479" w:line="237" w:lineRule="auto"/>
        <w:jc w:val="both"/>
      </w:pPr>
      <w:r>
        <w:t>Ensuring representability of the results, as per the International Standards on Auditing.</w:t>
      </w:r>
    </w:p>
    <w:p w14:paraId="7B416BC4" w14:textId="1DFDA5F4" w:rsidR="002021EB" w:rsidRDefault="002021EB" w:rsidP="002021EB">
      <w:pPr>
        <w:spacing w:after="479" w:line="237" w:lineRule="auto"/>
        <w:ind w:left="2" w:hanging="10"/>
        <w:jc w:val="both"/>
      </w:pPr>
      <w:r w:rsidRPr="006421B9">
        <w:rPr>
          <w:b/>
        </w:rPr>
        <w:t>Risk-based audits</w:t>
      </w:r>
      <w:r>
        <w:t xml:space="preserve"> in 2021 were selected by applying an analytical approach of reviewing the inherent risk and exposure profiles of JU beneficiaries (first step). In the second step, the selected beneficiaries were assessed internally by the project and financial officers to validate a rationale and specific risks involved in projects signed with those beneficiaries.</w:t>
      </w:r>
    </w:p>
    <w:p w14:paraId="17D0400E" w14:textId="77777777" w:rsidR="002021EB" w:rsidRDefault="002021EB" w:rsidP="002021EB">
      <w:pPr>
        <w:spacing w:after="479" w:line="237" w:lineRule="auto"/>
        <w:ind w:left="2" w:hanging="10"/>
        <w:jc w:val="both"/>
      </w:pPr>
      <w:r w:rsidRPr="00E95F9B">
        <w:t xml:space="preserve">As a result of this approach, </w:t>
      </w:r>
      <w:r>
        <w:t xml:space="preserve">nine </w:t>
      </w:r>
      <w:r w:rsidRPr="00E95F9B">
        <w:t>beneficiaries were selected for the risk-based audits, following a discussion with the operational services.</w:t>
      </w:r>
    </w:p>
    <w:p w14:paraId="2B362AAF" w14:textId="39BE06C4" w:rsidR="002021EB" w:rsidRDefault="002021EB" w:rsidP="002021EB">
      <w:pPr>
        <w:spacing w:after="479" w:line="237" w:lineRule="auto"/>
        <w:ind w:left="2" w:hanging="10"/>
        <w:jc w:val="both"/>
      </w:pPr>
      <w:r w:rsidRPr="006421B9">
        <w:t xml:space="preserve">For efficiency purposes, all available cost claims validated by </w:t>
      </w:r>
      <w:r>
        <w:t xml:space="preserve">the </w:t>
      </w:r>
      <w:r w:rsidRPr="006421B9">
        <w:t xml:space="preserve">JU until </w:t>
      </w:r>
      <w:r>
        <w:t>the audit was launched</w:t>
      </w:r>
      <w:r w:rsidRPr="006421B9">
        <w:t>, if available, were added to the selection.</w:t>
      </w:r>
    </w:p>
    <w:p w14:paraId="58104DFF" w14:textId="77777777" w:rsidR="002021EB" w:rsidRDefault="002021EB" w:rsidP="002021EB">
      <w:pPr>
        <w:spacing w:after="479" w:line="237" w:lineRule="auto"/>
        <w:ind w:left="2" w:hanging="10"/>
        <w:jc w:val="both"/>
      </w:pPr>
      <w:r>
        <w:lastRenderedPageBreak/>
        <w:t>Distribution of the coverage of two main audit streams is captured in the table and graph below.</w:t>
      </w:r>
    </w:p>
    <w:p w14:paraId="048D01FD" w14:textId="77777777" w:rsidR="002021EB" w:rsidRPr="002F44A2" w:rsidRDefault="002021EB" w:rsidP="002021EB">
      <w:pPr>
        <w:spacing w:after="479" w:line="237" w:lineRule="auto"/>
        <w:ind w:left="2" w:hanging="10"/>
        <w:jc w:val="both"/>
        <w:rPr>
          <w:b/>
          <w:bCs/>
        </w:rPr>
      </w:pPr>
      <w:r w:rsidRPr="00E22F58">
        <w:rPr>
          <w:b/>
          <w:bCs/>
        </w:rPr>
        <w:t>Table 4.3.8:</w:t>
      </w:r>
      <w:r w:rsidRPr="002F44A2">
        <w:rPr>
          <w:b/>
          <w:bCs/>
        </w:rPr>
        <w:t xml:space="preserve"> </w:t>
      </w:r>
      <w:r w:rsidRPr="002F44A2">
        <w:rPr>
          <w:b/>
          <w:bCs/>
          <w:i/>
          <w:iCs/>
        </w:rPr>
        <w:t>Ex-post</w:t>
      </w:r>
      <w:r w:rsidRPr="002F44A2">
        <w:rPr>
          <w:b/>
          <w:bCs/>
        </w:rPr>
        <w:t xml:space="preserve"> audits in-progress table</w:t>
      </w:r>
      <w:r>
        <w:rPr>
          <w:b/>
          <w:bCs/>
        </w:rPr>
        <w:t xml:space="preserve"> as</w:t>
      </w:r>
      <w:r w:rsidRPr="002F44A2">
        <w:rPr>
          <w:b/>
          <w:bCs/>
        </w:rPr>
        <w:t xml:space="preserve"> </w:t>
      </w:r>
      <w:proofErr w:type="gramStart"/>
      <w:r w:rsidRPr="002F44A2">
        <w:rPr>
          <w:b/>
          <w:bCs/>
        </w:rPr>
        <w:t>at</w:t>
      </w:r>
      <w:proofErr w:type="gramEnd"/>
      <w:r w:rsidRPr="002F44A2">
        <w:rPr>
          <w:b/>
          <w:bCs/>
        </w:rPr>
        <w:t xml:space="preserve"> 31 December </w:t>
      </w:r>
      <w:r w:rsidRPr="00D0697C">
        <w:rPr>
          <w:b/>
          <w:bCs/>
        </w:rPr>
        <w:t>2021 -</w:t>
      </w:r>
      <w:r w:rsidRPr="002F44A2">
        <w:rPr>
          <w:b/>
          <w:bCs/>
        </w:rPr>
        <w:t xml:space="preserve"> classification of participations</w:t>
      </w:r>
      <w:r>
        <w:rPr>
          <w:b/>
          <w:bCs/>
        </w:rPr>
        <w:t xml:space="preserve"> selected for ex-post audits</w:t>
      </w:r>
    </w:p>
    <w:tbl>
      <w:tblPr>
        <w:tblW w:w="6360" w:type="dxa"/>
        <w:tblLook w:val="04A0" w:firstRow="1" w:lastRow="0" w:firstColumn="1" w:lastColumn="0" w:noHBand="0" w:noVBand="1"/>
      </w:tblPr>
      <w:tblGrid>
        <w:gridCol w:w="2763"/>
        <w:gridCol w:w="1119"/>
        <w:gridCol w:w="1479"/>
        <w:gridCol w:w="1118"/>
      </w:tblGrid>
      <w:tr w:rsidR="002021EB" w:rsidRPr="00B32F37" w14:paraId="5A1466B4" w14:textId="77777777" w:rsidTr="00DF2591">
        <w:trPr>
          <w:trHeight w:val="300"/>
        </w:trPr>
        <w:tc>
          <w:tcPr>
            <w:tcW w:w="2763" w:type="dxa"/>
            <w:vMerge w:val="restart"/>
            <w:tcBorders>
              <w:top w:val="single" w:sz="4" w:space="0" w:color="auto"/>
              <w:left w:val="single" w:sz="4" w:space="0" w:color="auto"/>
              <w:bottom w:val="single" w:sz="4" w:space="0" w:color="000000"/>
              <w:right w:val="single" w:sz="4" w:space="0" w:color="auto"/>
            </w:tcBorders>
            <w:shd w:val="clear" w:color="000000" w:fill="305496"/>
            <w:vAlign w:val="center"/>
            <w:hideMark/>
          </w:tcPr>
          <w:p w14:paraId="3091EBED" w14:textId="77777777" w:rsidR="002021EB" w:rsidRPr="00B32F37" w:rsidRDefault="002021EB" w:rsidP="00DF2591">
            <w:pPr>
              <w:spacing w:after="0" w:line="240" w:lineRule="auto"/>
              <w:jc w:val="center"/>
              <w:rPr>
                <w:rFonts w:eastAsia="Times New Roman" w:cs="Calibri"/>
                <w:b/>
                <w:bCs/>
                <w:color w:val="FFFFFF"/>
                <w:sz w:val="20"/>
                <w:szCs w:val="20"/>
                <w:lang w:eastAsia="en-GB"/>
              </w:rPr>
            </w:pPr>
            <w:r w:rsidRPr="00B32F37">
              <w:rPr>
                <w:rFonts w:eastAsia="Times New Roman" w:cs="Calibri"/>
                <w:b/>
                <w:bCs/>
                <w:color w:val="FFFFFF"/>
                <w:sz w:val="20"/>
                <w:szCs w:val="20"/>
                <w:lang w:eastAsia="en-GB"/>
              </w:rPr>
              <w:t>YEAR</w:t>
            </w:r>
          </w:p>
        </w:tc>
        <w:tc>
          <w:tcPr>
            <w:tcW w:w="3597" w:type="dxa"/>
            <w:gridSpan w:val="3"/>
            <w:tcBorders>
              <w:top w:val="single" w:sz="4" w:space="0" w:color="auto"/>
              <w:left w:val="nil"/>
              <w:bottom w:val="single" w:sz="4" w:space="0" w:color="auto"/>
              <w:right w:val="single" w:sz="4" w:space="0" w:color="auto"/>
            </w:tcBorders>
            <w:shd w:val="clear" w:color="000000" w:fill="00B0F0"/>
            <w:vAlign w:val="bottom"/>
            <w:hideMark/>
          </w:tcPr>
          <w:p w14:paraId="6914B298" w14:textId="5537684D" w:rsidR="002021EB" w:rsidRPr="00B32F37" w:rsidRDefault="002021EB" w:rsidP="00DF2591">
            <w:pPr>
              <w:spacing w:after="0" w:line="240" w:lineRule="auto"/>
              <w:jc w:val="center"/>
              <w:rPr>
                <w:rFonts w:eastAsia="Times New Roman" w:cs="Calibri"/>
                <w:b/>
                <w:bCs/>
                <w:color w:val="FFFFFF"/>
                <w:sz w:val="20"/>
                <w:szCs w:val="20"/>
                <w:lang w:eastAsia="en-GB"/>
              </w:rPr>
            </w:pPr>
            <w:r w:rsidRPr="00B32F37">
              <w:rPr>
                <w:rFonts w:eastAsia="Times New Roman" w:cs="Calibri"/>
                <w:b/>
                <w:bCs/>
                <w:color w:val="FFFFFF"/>
                <w:sz w:val="20"/>
                <w:szCs w:val="20"/>
                <w:lang w:eastAsia="en-GB"/>
              </w:rPr>
              <w:t>JU contribution in mil. EUR</w:t>
            </w:r>
          </w:p>
        </w:tc>
      </w:tr>
      <w:tr w:rsidR="002021EB" w:rsidRPr="00B32F37" w14:paraId="57DCE65E" w14:textId="77777777" w:rsidTr="00DF2591">
        <w:trPr>
          <w:trHeight w:val="510"/>
        </w:trPr>
        <w:tc>
          <w:tcPr>
            <w:tcW w:w="2763" w:type="dxa"/>
            <w:vMerge/>
            <w:tcBorders>
              <w:top w:val="single" w:sz="4" w:space="0" w:color="auto"/>
              <w:left w:val="single" w:sz="4" w:space="0" w:color="auto"/>
              <w:bottom w:val="single" w:sz="4" w:space="0" w:color="000000"/>
              <w:right w:val="single" w:sz="4" w:space="0" w:color="auto"/>
            </w:tcBorders>
            <w:vAlign w:val="center"/>
            <w:hideMark/>
          </w:tcPr>
          <w:p w14:paraId="5BB50066" w14:textId="77777777" w:rsidR="002021EB" w:rsidRPr="00B32F37" w:rsidRDefault="002021EB" w:rsidP="00DF2591">
            <w:pPr>
              <w:spacing w:after="0" w:line="240" w:lineRule="auto"/>
              <w:rPr>
                <w:rFonts w:eastAsia="Times New Roman" w:cs="Calibri"/>
                <w:b/>
                <w:bCs/>
                <w:color w:val="FFFFFF"/>
                <w:sz w:val="20"/>
                <w:szCs w:val="20"/>
                <w:lang w:eastAsia="en-GB"/>
              </w:rPr>
            </w:pPr>
          </w:p>
        </w:tc>
        <w:tc>
          <w:tcPr>
            <w:tcW w:w="1119" w:type="dxa"/>
            <w:tcBorders>
              <w:top w:val="nil"/>
              <w:left w:val="nil"/>
              <w:bottom w:val="single" w:sz="4" w:space="0" w:color="auto"/>
              <w:right w:val="single" w:sz="4" w:space="0" w:color="auto"/>
            </w:tcBorders>
            <w:shd w:val="clear" w:color="000000" w:fill="00B0F0"/>
            <w:vAlign w:val="center"/>
            <w:hideMark/>
          </w:tcPr>
          <w:p w14:paraId="49DD304E" w14:textId="77777777" w:rsidR="002021EB" w:rsidRPr="00B32F37" w:rsidRDefault="002021EB" w:rsidP="00DF2591">
            <w:pPr>
              <w:spacing w:after="0" w:line="240" w:lineRule="auto"/>
              <w:jc w:val="center"/>
              <w:rPr>
                <w:rFonts w:eastAsia="Times New Roman" w:cs="Calibri"/>
                <w:b/>
                <w:bCs/>
                <w:color w:val="FFFFFF"/>
                <w:sz w:val="20"/>
                <w:szCs w:val="20"/>
                <w:lang w:eastAsia="en-GB"/>
              </w:rPr>
            </w:pPr>
            <w:r w:rsidRPr="00B32F37">
              <w:rPr>
                <w:rFonts w:eastAsia="Times New Roman" w:cs="Calibri"/>
                <w:b/>
                <w:bCs/>
                <w:color w:val="FFFFFF"/>
                <w:sz w:val="20"/>
                <w:szCs w:val="20"/>
                <w:lang w:eastAsia="en-GB"/>
              </w:rPr>
              <w:t>Corrective</w:t>
            </w:r>
          </w:p>
        </w:tc>
        <w:tc>
          <w:tcPr>
            <w:tcW w:w="1360" w:type="dxa"/>
            <w:tcBorders>
              <w:top w:val="nil"/>
              <w:left w:val="nil"/>
              <w:bottom w:val="single" w:sz="4" w:space="0" w:color="auto"/>
              <w:right w:val="single" w:sz="4" w:space="0" w:color="auto"/>
            </w:tcBorders>
            <w:shd w:val="clear" w:color="000000" w:fill="00B0F0"/>
            <w:vAlign w:val="center"/>
            <w:hideMark/>
          </w:tcPr>
          <w:p w14:paraId="459305B7" w14:textId="77777777" w:rsidR="002021EB" w:rsidRPr="00B32F37" w:rsidRDefault="002021EB" w:rsidP="00DF2591">
            <w:pPr>
              <w:spacing w:after="0" w:line="240" w:lineRule="auto"/>
              <w:jc w:val="center"/>
              <w:rPr>
                <w:rFonts w:eastAsia="Times New Roman" w:cs="Calibri"/>
                <w:b/>
                <w:bCs/>
                <w:color w:val="FFFFFF"/>
                <w:sz w:val="20"/>
                <w:szCs w:val="20"/>
                <w:lang w:eastAsia="en-GB"/>
              </w:rPr>
            </w:pPr>
            <w:r w:rsidRPr="00B32F37">
              <w:rPr>
                <w:rFonts w:eastAsia="Times New Roman" w:cs="Calibri"/>
                <w:b/>
                <w:bCs/>
                <w:color w:val="FFFFFF"/>
                <w:sz w:val="20"/>
                <w:szCs w:val="20"/>
                <w:lang w:eastAsia="en-GB"/>
              </w:rPr>
              <w:t>Representative</w:t>
            </w:r>
          </w:p>
        </w:tc>
        <w:tc>
          <w:tcPr>
            <w:tcW w:w="1118" w:type="dxa"/>
            <w:tcBorders>
              <w:top w:val="nil"/>
              <w:left w:val="nil"/>
              <w:bottom w:val="single" w:sz="4" w:space="0" w:color="auto"/>
              <w:right w:val="single" w:sz="4" w:space="0" w:color="auto"/>
            </w:tcBorders>
            <w:shd w:val="clear" w:color="000000" w:fill="00B0F0"/>
            <w:vAlign w:val="center"/>
            <w:hideMark/>
          </w:tcPr>
          <w:p w14:paraId="344F0E1B" w14:textId="77777777" w:rsidR="002021EB" w:rsidRPr="00B32F37" w:rsidRDefault="002021EB" w:rsidP="00DF2591">
            <w:pPr>
              <w:spacing w:after="0" w:line="240" w:lineRule="auto"/>
              <w:jc w:val="center"/>
              <w:rPr>
                <w:rFonts w:eastAsia="Times New Roman" w:cs="Calibri"/>
                <w:b/>
                <w:bCs/>
                <w:color w:val="FFFFFF"/>
                <w:sz w:val="20"/>
                <w:szCs w:val="20"/>
                <w:lang w:eastAsia="en-GB"/>
              </w:rPr>
            </w:pPr>
            <w:r w:rsidRPr="00B32F37">
              <w:rPr>
                <w:rFonts w:eastAsia="Times New Roman" w:cs="Calibri"/>
                <w:b/>
                <w:bCs/>
                <w:color w:val="FFFFFF"/>
                <w:sz w:val="20"/>
                <w:szCs w:val="20"/>
                <w:lang w:eastAsia="en-GB"/>
              </w:rPr>
              <w:t>Total</w:t>
            </w:r>
          </w:p>
        </w:tc>
      </w:tr>
      <w:tr w:rsidR="002021EB" w:rsidRPr="00B32F37" w14:paraId="5D209C41" w14:textId="77777777" w:rsidTr="00DF2591">
        <w:trPr>
          <w:trHeight w:val="300"/>
        </w:trPr>
        <w:tc>
          <w:tcPr>
            <w:tcW w:w="2763" w:type="dxa"/>
            <w:tcBorders>
              <w:top w:val="nil"/>
              <w:left w:val="single" w:sz="4" w:space="0" w:color="auto"/>
              <w:bottom w:val="single" w:sz="4" w:space="0" w:color="auto"/>
              <w:right w:val="single" w:sz="4" w:space="0" w:color="auto"/>
            </w:tcBorders>
            <w:shd w:val="clear" w:color="auto" w:fill="auto"/>
            <w:noWrap/>
            <w:vAlign w:val="bottom"/>
            <w:hideMark/>
          </w:tcPr>
          <w:p w14:paraId="507E85B4" w14:textId="77777777" w:rsidR="002021EB" w:rsidRPr="00B32F37" w:rsidRDefault="002021EB" w:rsidP="00DF2591">
            <w:pPr>
              <w:spacing w:after="0" w:line="240" w:lineRule="auto"/>
              <w:rPr>
                <w:rFonts w:eastAsia="Times New Roman" w:cs="Calibri"/>
                <w:color w:val="000000"/>
                <w:lang w:eastAsia="en-GB"/>
              </w:rPr>
            </w:pPr>
            <w:r w:rsidRPr="00B32F37">
              <w:rPr>
                <w:rFonts w:eastAsia="Times New Roman" w:cs="Calibri"/>
                <w:color w:val="000000"/>
                <w:lang w:eastAsia="en-GB"/>
              </w:rPr>
              <w:t>2017</w:t>
            </w:r>
          </w:p>
        </w:tc>
        <w:tc>
          <w:tcPr>
            <w:tcW w:w="1119" w:type="dxa"/>
            <w:tcBorders>
              <w:top w:val="nil"/>
              <w:left w:val="nil"/>
              <w:bottom w:val="single" w:sz="4" w:space="0" w:color="auto"/>
              <w:right w:val="single" w:sz="4" w:space="0" w:color="auto"/>
            </w:tcBorders>
            <w:shd w:val="clear" w:color="auto" w:fill="auto"/>
            <w:noWrap/>
            <w:vAlign w:val="bottom"/>
            <w:hideMark/>
          </w:tcPr>
          <w:p w14:paraId="20DC3743" w14:textId="77777777" w:rsidR="002021EB" w:rsidRPr="00B32F37" w:rsidRDefault="002021EB" w:rsidP="00DF2591">
            <w:pPr>
              <w:spacing w:after="0" w:line="240" w:lineRule="auto"/>
              <w:jc w:val="right"/>
              <w:rPr>
                <w:rFonts w:eastAsia="Times New Roman" w:cs="Calibri"/>
                <w:lang w:eastAsia="en-GB"/>
              </w:rPr>
            </w:pPr>
            <w:r w:rsidRPr="00B32F37">
              <w:rPr>
                <w:rFonts w:eastAsia="Times New Roman" w:cs="Calibri"/>
                <w:lang w:eastAsia="en-GB"/>
              </w:rPr>
              <w:t>4.98</w:t>
            </w:r>
          </w:p>
        </w:tc>
        <w:tc>
          <w:tcPr>
            <w:tcW w:w="1360" w:type="dxa"/>
            <w:tcBorders>
              <w:top w:val="nil"/>
              <w:left w:val="nil"/>
              <w:bottom w:val="single" w:sz="4" w:space="0" w:color="auto"/>
              <w:right w:val="single" w:sz="4" w:space="0" w:color="auto"/>
            </w:tcBorders>
            <w:shd w:val="clear" w:color="auto" w:fill="auto"/>
            <w:noWrap/>
            <w:vAlign w:val="bottom"/>
            <w:hideMark/>
          </w:tcPr>
          <w:p w14:paraId="3B40DC42" w14:textId="77777777" w:rsidR="002021EB" w:rsidRPr="00B32F37" w:rsidRDefault="002021EB" w:rsidP="00DF2591">
            <w:pPr>
              <w:spacing w:after="0" w:line="240" w:lineRule="auto"/>
              <w:jc w:val="right"/>
              <w:rPr>
                <w:rFonts w:eastAsia="Times New Roman" w:cs="Calibri"/>
                <w:lang w:eastAsia="en-GB"/>
              </w:rPr>
            </w:pPr>
            <w:r w:rsidRPr="00B32F37">
              <w:rPr>
                <w:rFonts w:eastAsia="Times New Roman" w:cs="Calibri"/>
                <w:lang w:eastAsia="en-GB"/>
              </w:rPr>
              <w:t>3.16</w:t>
            </w:r>
          </w:p>
        </w:tc>
        <w:tc>
          <w:tcPr>
            <w:tcW w:w="1118" w:type="dxa"/>
            <w:tcBorders>
              <w:top w:val="nil"/>
              <w:left w:val="nil"/>
              <w:bottom w:val="single" w:sz="4" w:space="0" w:color="auto"/>
              <w:right w:val="single" w:sz="4" w:space="0" w:color="auto"/>
            </w:tcBorders>
            <w:shd w:val="clear" w:color="auto" w:fill="auto"/>
            <w:noWrap/>
            <w:vAlign w:val="bottom"/>
            <w:hideMark/>
          </w:tcPr>
          <w:p w14:paraId="424E9E6D" w14:textId="77777777" w:rsidR="002021EB" w:rsidRPr="00B32F37" w:rsidRDefault="002021EB" w:rsidP="00DF2591">
            <w:pPr>
              <w:spacing w:after="0" w:line="240" w:lineRule="auto"/>
              <w:jc w:val="right"/>
              <w:rPr>
                <w:rFonts w:eastAsia="Times New Roman" w:cs="Calibri"/>
                <w:lang w:eastAsia="en-GB"/>
              </w:rPr>
            </w:pPr>
            <w:r w:rsidRPr="00B32F37">
              <w:rPr>
                <w:rFonts w:eastAsia="Times New Roman" w:cs="Calibri"/>
                <w:lang w:eastAsia="en-GB"/>
              </w:rPr>
              <w:t>8.14</w:t>
            </w:r>
          </w:p>
        </w:tc>
      </w:tr>
      <w:tr w:rsidR="002021EB" w:rsidRPr="00B32F37" w14:paraId="40BE562E" w14:textId="77777777" w:rsidTr="00DF2591">
        <w:trPr>
          <w:trHeight w:val="300"/>
        </w:trPr>
        <w:tc>
          <w:tcPr>
            <w:tcW w:w="2763" w:type="dxa"/>
            <w:tcBorders>
              <w:top w:val="nil"/>
              <w:left w:val="single" w:sz="4" w:space="0" w:color="auto"/>
              <w:bottom w:val="single" w:sz="4" w:space="0" w:color="auto"/>
              <w:right w:val="single" w:sz="4" w:space="0" w:color="auto"/>
            </w:tcBorders>
            <w:shd w:val="clear" w:color="auto" w:fill="auto"/>
            <w:noWrap/>
            <w:vAlign w:val="bottom"/>
            <w:hideMark/>
          </w:tcPr>
          <w:p w14:paraId="47174F97" w14:textId="77777777" w:rsidR="002021EB" w:rsidRPr="00B32F37" w:rsidRDefault="002021EB" w:rsidP="00DF2591">
            <w:pPr>
              <w:spacing w:after="0" w:line="240" w:lineRule="auto"/>
              <w:rPr>
                <w:rFonts w:eastAsia="Times New Roman" w:cs="Calibri"/>
                <w:color w:val="000000"/>
                <w:lang w:eastAsia="en-GB"/>
              </w:rPr>
            </w:pPr>
            <w:r w:rsidRPr="00B32F37">
              <w:rPr>
                <w:rFonts w:eastAsia="Times New Roman" w:cs="Calibri"/>
                <w:color w:val="000000"/>
                <w:lang w:eastAsia="en-GB"/>
              </w:rPr>
              <w:t>2018</w:t>
            </w:r>
          </w:p>
        </w:tc>
        <w:tc>
          <w:tcPr>
            <w:tcW w:w="1119" w:type="dxa"/>
            <w:tcBorders>
              <w:top w:val="nil"/>
              <w:left w:val="nil"/>
              <w:bottom w:val="single" w:sz="4" w:space="0" w:color="auto"/>
              <w:right w:val="single" w:sz="4" w:space="0" w:color="auto"/>
            </w:tcBorders>
            <w:shd w:val="clear" w:color="auto" w:fill="auto"/>
            <w:noWrap/>
            <w:vAlign w:val="bottom"/>
            <w:hideMark/>
          </w:tcPr>
          <w:p w14:paraId="645535DC" w14:textId="77777777" w:rsidR="002021EB" w:rsidRPr="00B32F37" w:rsidRDefault="002021EB" w:rsidP="00DF2591">
            <w:pPr>
              <w:spacing w:after="0" w:line="240" w:lineRule="auto"/>
              <w:jc w:val="right"/>
              <w:rPr>
                <w:rFonts w:eastAsia="Times New Roman" w:cs="Calibri"/>
                <w:lang w:eastAsia="en-GB"/>
              </w:rPr>
            </w:pPr>
            <w:r w:rsidRPr="00B32F37">
              <w:rPr>
                <w:rFonts w:eastAsia="Times New Roman" w:cs="Calibri"/>
                <w:lang w:eastAsia="en-GB"/>
              </w:rPr>
              <w:t>2.59</w:t>
            </w:r>
          </w:p>
        </w:tc>
        <w:tc>
          <w:tcPr>
            <w:tcW w:w="1360" w:type="dxa"/>
            <w:tcBorders>
              <w:top w:val="nil"/>
              <w:left w:val="nil"/>
              <w:bottom w:val="single" w:sz="4" w:space="0" w:color="auto"/>
              <w:right w:val="single" w:sz="4" w:space="0" w:color="auto"/>
            </w:tcBorders>
            <w:shd w:val="clear" w:color="auto" w:fill="auto"/>
            <w:noWrap/>
            <w:vAlign w:val="bottom"/>
            <w:hideMark/>
          </w:tcPr>
          <w:p w14:paraId="3400293E" w14:textId="77777777" w:rsidR="002021EB" w:rsidRPr="00B32F37" w:rsidRDefault="002021EB" w:rsidP="00DF2591">
            <w:pPr>
              <w:spacing w:after="0" w:line="240" w:lineRule="auto"/>
              <w:jc w:val="right"/>
              <w:rPr>
                <w:rFonts w:eastAsia="Times New Roman" w:cs="Calibri"/>
                <w:lang w:eastAsia="en-GB"/>
              </w:rPr>
            </w:pPr>
            <w:r w:rsidRPr="00B32F37">
              <w:rPr>
                <w:rFonts w:eastAsia="Times New Roman" w:cs="Calibri"/>
                <w:lang w:eastAsia="en-GB"/>
              </w:rPr>
              <w:t>8.22</w:t>
            </w:r>
          </w:p>
        </w:tc>
        <w:tc>
          <w:tcPr>
            <w:tcW w:w="1118" w:type="dxa"/>
            <w:tcBorders>
              <w:top w:val="nil"/>
              <w:left w:val="nil"/>
              <w:bottom w:val="single" w:sz="4" w:space="0" w:color="auto"/>
              <w:right w:val="single" w:sz="4" w:space="0" w:color="auto"/>
            </w:tcBorders>
            <w:shd w:val="clear" w:color="auto" w:fill="auto"/>
            <w:noWrap/>
            <w:vAlign w:val="bottom"/>
            <w:hideMark/>
          </w:tcPr>
          <w:p w14:paraId="053AEDB8" w14:textId="77777777" w:rsidR="002021EB" w:rsidRPr="00B32F37" w:rsidRDefault="002021EB" w:rsidP="00DF2591">
            <w:pPr>
              <w:spacing w:after="0" w:line="240" w:lineRule="auto"/>
              <w:jc w:val="right"/>
              <w:rPr>
                <w:rFonts w:eastAsia="Times New Roman" w:cs="Calibri"/>
                <w:lang w:eastAsia="en-GB"/>
              </w:rPr>
            </w:pPr>
            <w:r w:rsidRPr="00B32F37">
              <w:rPr>
                <w:rFonts w:eastAsia="Times New Roman" w:cs="Calibri"/>
                <w:lang w:eastAsia="en-GB"/>
              </w:rPr>
              <w:t>10.80</w:t>
            </w:r>
          </w:p>
        </w:tc>
      </w:tr>
      <w:tr w:rsidR="002021EB" w:rsidRPr="00B32F37" w14:paraId="369A8955" w14:textId="77777777" w:rsidTr="00DF2591">
        <w:trPr>
          <w:trHeight w:val="300"/>
        </w:trPr>
        <w:tc>
          <w:tcPr>
            <w:tcW w:w="2763" w:type="dxa"/>
            <w:tcBorders>
              <w:top w:val="nil"/>
              <w:left w:val="single" w:sz="4" w:space="0" w:color="auto"/>
              <w:bottom w:val="single" w:sz="4" w:space="0" w:color="auto"/>
              <w:right w:val="single" w:sz="4" w:space="0" w:color="auto"/>
            </w:tcBorders>
            <w:shd w:val="clear" w:color="auto" w:fill="auto"/>
            <w:noWrap/>
            <w:vAlign w:val="bottom"/>
            <w:hideMark/>
          </w:tcPr>
          <w:p w14:paraId="60FCEE3D" w14:textId="77777777" w:rsidR="002021EB" w:rsidRPr="00B32F37" w:rsidRDefault="002021EB" w:rsidP="00DF2591">
            <w:pPr>
              <w:spacing w:after="0" w:line="240" w:lineRule="auto"/>
              <w:rPr>
                <w:rFonts w:eastAsia="Times New Roman" w:cs="Calibri"/>
                <w:color w:val="000000"/>
                <w:lang w:eastAsia="en-GB"/>
              </w:rPr>
            </w:pPr>
            <w:r w:rsidRPr="00B32F37">
              <w:rPr>
                <w:rFonts w:eastAsia="Times New Roman" w:cs="Calibri"/>
                <w:color w:val="000000"/>
                <w:lang w:eastAsia="en-GB"/>
              </w:rPr>
              <w:t>2019</w:t>
            </w:r>
          </w:p>
        </w:tc>
        <w:tc>
          <w:tcPr>
            <w:tcW w:w="1119" w:type="dxa"/>
            <w:tcBorders>
              <w:top w:val="nil"/>
              <w:left w:val="nil"/>
              <w:bottom w:val="single" w:sz="4" w:space="0" w:color="auto"/>
              <w:right w:val="single" w:sz="4" w:space="0" w:color="auto"/>
            </w:tcBorders>
            <w:shd w:val="clear" w:color="auto" w:fill="auto"/>
            <w:noWrap/>
            <w:vAlign w:val="bottom"/>
            <w:hideMark/>
          </w:tcPr>
          <w:p w14:paraId="624C7798" w14:textId="77777777" w:rsidR="002021EB" w:rsidRPr="00B32F37" w:rsidRDefault="002021EB" w:rsidP="00DF2591">
            <w:pPr>
              <w:spacing w:after="0" w:line="240" w:lineRule="auto"/>
              <w:jc w:val="right"/>
              <w:rPr>
                <w:rFonts w:eastAsia="Times New Roman" w:cs="Calibri"/>
                <w:lang w:eastAsia="en-GB"/>
              </w:rPr>
            </w:pPr>
            <w:r w:rsidRPr="00B32F37">
              <w:rPr>
                <w:rFonts w:eastAsia="Times New Roman" w:cs="Calibri"/>
                <w:lang w:eastAsia="en-GB"/>
              </w:rPr>
              <w:t>14.66</w:t>
            </w:r>
          </w:p>
        </w:tc>
        <w:tc>
          <w:tcPr>
            <w:tcW w:w="1360" w:type="dxa"/>
            <w:tcBorders>
              <w:top w:val="nil"/>
              <w:left w:val="nil"/>
              <w:bottom w:val="single" w:sz="4" w:space="0" w:color="auto"/>
              <w:right w:val="single" w:sz="4" w:space="0" w:color="auto"/>
            </w:tcBorders>
            <w:shd w:val="clear" w:color="auto" w:fill="auto"/>
            <w:noWrap/>
            <w:vAlign w:val="bottom"/>
            <w:hideMark/>
          </w:tcPr>
          <w:p w14:paraId="2A94EF77" w14:textId="77777777" w:rsidR="002021EB" w:rsidRPr="00B32F37" w:rsidRDefault="002021EB" w:rsidP="00DF2591">
            <w:pPr>
              <w:spacing w:after="0" w:line="240" w:lineRule="auto"/>
              <w:jc w:val="right"/>
              <w:rPr>
                <w:rFonts w:eastAsia="Times New Roman" w:cs="Calibri"/>
                <w:lang w:eastAsia="en-GB"/>
              </w:rPr>
            </w:pPr>
            <w:r w:rsidRPr="00B32F37">
              <w:rPr>
                <w:rFonts w:eastAsia="Times New Roman" w:cs="Calibri"/>
                <w:lang w:eastAsia="en-GB"/>
              </w:rPr>
              <w:t>12.61</w:t>
            </w:r>
          </w:p>
        </w:tc>
        <w:tc>
          <w:tcPr>
            <w:tcW w:w="1118" w:type="dxa"/>
            <w:tcBorders>
              <w:top w:val="nil"/>
              <w:left w:val="nil"/>
              <w:bottom w:val="single" w:sz="4" w:space="0" w:color="auto"/>
              <w:right w:val="single" w:sz="4" w:space="0" w:color="auto"/>
            </w:tcBorders>
            <w:shd w:val="clear" w:color="auto" w:fill="auto"/>
            <w:noWrap/>
            <w:vAlign w:val="bottom"/>
            <w:hideMark/>
          </w:tcPr>
          <w:p w14:paraId="2EB37BA1" w14:textId="77777777" w:rsidR="002021EB" w:rsidRPr="00B32F37" w:rsidRDefault="002021EB" w:rsidP="00DF2591">
            <w:pPr>
              <w:spacing w:after="0" w:line="240" w:lineRule="auto"/>
              <w:jc w:val="right"/>
              <w:rPr>
                <w:rFonts w:eastAsia="Times New Roman" w:cs="Calibri"/>
                <w:lang w:eastAsia="en-GB"/>
              </w:rPr>
            </w:pPr>
            <w:r w:rsidRPr="00B32F37">
              <w:rPr>
                <w:rFonts w:eastAsia="Times New Roman" w:cs="Calibri"/>
                <w:lang w:eastAsia="en-GB"/>
              </w:rPr>
              <w:t>27.27</w:t>
            </w:r>
          </w:p>
        </w:tc>
      </w:tr>
      <w:tr w:rsidR="002021EB" w:rsidRPr="00B32F37" w14:paraId="276DAE98" w14:textId="77777777" w:rsidTr="00DF2591">
        <w:trPr>
          <w:trHeight w:val="300"/>
        </w:trPr>
        <w:tc>
          <w:tcPr>
            <w:tcW w:w="2763" w:type="dxa"/>
            <w:tcBorders>
              <w:top w:val="nil"/>
              <w:left w:val="single" w:sz="4" w:space="0" w:color="auto"/>
              <w:bottom w:val="single" w:sz="4" w:space="0" w:color="auto"/>
              <w:right w:val="single" w:sz="4" w:space="0" w:color="auto"/>
            </w:tcBorders>
            <w:shd w:val="clear" w:color="auto" w:fill="auto"/>
            <w:noWrap/>
            <w:vAlign w:val="bottom"/>
            <w:hideMark/>
          </w:tcPr>
          <w:p w14:paraId="61936468" w14:textId="77777777" w:rsidR="002021EB" w:rsidRPr="00B32F37" w:rsidRDefault="002021EB" w:rsidP="00DF2591">
            <w:pPr>
              <w:spacing w:after="0" w:line="240" w:lineRule="auto"/>
              <w:rPr>
                <w:rFonts w:eastAsia="Times New Roman" w:cs="Calibri"/>
                <w:color w:val="000000"/>
                <w:lang w:eastAsia="en-GB"/>
              </w:rPr>
            </w:pPr>
            <w:r w:rsidRPr="00B32F37">
              <w:rPr>
                <w:rFonts w:eastAsia="Times New Roman" w:cs="Calibri"/>
                <w:color w:val="000000"/>
                <w:lang w:eastAsia="en-GB"/>
              </w:rPr>
              <w:t>2020</w:t>
            </w:r>
          </w:p>
        </w:tc>
        <w:tc>
          <w:tcPr>
            <w:tcW w:w="1119" w:type="dxa"/>
            <w:tcBorders>
              <w:top w:val="nil"/>
              <w:left w:val="nil"/>
              <w:bottom w:val="single" w:sz="4" w:space="0" w:color="auto"/>
              <w:right w:val="single" w:sz="4" w:space="0" w:color="auto"/>
            </w:tcBorders>
            <w:shd w:val="clear" w:color="auto" w:fill="auto"/>
            <w:noWrap/>
            <w:vAlign w:val="bottom"/>
            <w:hideMark/>
          </w:tcPr>
          <w:p w14:paraId="6E7FE483" w14:textId="77777777" w:rsidR="002021EB" w:rsidRPr="00B32F37" w:rsidRDefault="002021EB" w:rsidP="00DF2591">
            <w:pPr>
              <w:spacing w:after="0" w:line="240" w:lineRule="auto"/>
              <w:jc w:val="right"/>
              <w:rPr>
                <w:rFonts w:eastAsia="Times New Roman" w:cs="Calibri"/>
                <w:lang w:eastAsia="en-GB"/>
              </w:rPr>
            </w:pPr>
            <w:r w:rsidRPr="00B32F37">
              <w:rPr>
                <w:rFonts w:eastAsia="Times New Roman" w:cs="Calibri"/>
                <w:lang w:eastAsia="en-GB"/>
              </w:rPr>
              <w:t>20.68</w:t>
            </w:r>
          </w:p>
        </w:tc>
        <w:tc>
          <w:tcPr>
            <w:tcW w:w="1360" w:type="dxa"/>
            <w:tcBorders>
              <w:top w:val="nil"/>
              <w:left w:val="nil"/>
              <w:bottom w:val="single" w:sz="4" w:space="0" w:color="auto"/>
              <w:right w:val="single" w:sz="4" w:space="0" w:color="auto"/>
            </w:tcBorders>
            <w:shd w:val="clear" w:color="auto" w:fill="auto"/>
            <w:noWrap/>
            <w:vAlign w:val="bottom"/>
            <w:hideMark/>
          </w:tcPr>
          <w:p w14:paraId="3B6E63A9" w14:textId="77777777" w:rsidR="002021EB" w:rsidRPr="00B32F37" w:rsidRDefault="002021EB" w:rsidP="00DF2591">
            <w:pPr>
              <w:spacing w:after="0" w:line="240" w:lineRule="auto"/>
              <w:jc w:val="right"/>
              <w:rPr>
                <w:rFonts w:eastAsia="Times New Roman" w:cs="Calibri"/>
                <w:lang w:eastAsia="en-GB"/>
              </w:rPr>
            </w:pPr>
            <w:r w:rsidRPr="00B32F37">
              <w:rPr>
                <w:rFonts w:eastAsia="Times New Roman" w:cs="Calibri"/>
                <w:lang w:eastAsia="en-GB"/>
              </w:rPr>
              <w:t>26.81</w:t>
            </w:r>
          </w:p>
        </w:tc>
        <w:tc>
          <w:tcPr>
            <w:tcW w:w="1118" w:type="dxa"/>
            <w:tcBorders>
              <w:top w:val="nil"/>
              <w:left w:val="nil"/>
              <w:bottom w:val="single" w:sz="4" w:space="0" w:color="auto"/>
              <w:right w:val="single" w:sz="4" w:space="0" w:color="auto"/>
            </w:tcBorders>
            <w:shd w:val="clear" w:color="auto" w:fill="auto"/>
            <w:noWrap/>
            <w:vAlign w:val="bottom"/>
            <w:hideMark/>
          </w:tcPr>
          <w:p w14:paraId="14F21DCB" w14:textId="77777777" w:rsidR="002021EB" w:rsidRPr="00B32F37" w:rsidRDefault="002021EB" w:rsidP="00DF2591">
            <w:pPr>
              <w:spacing w:after="0" w:line="240" w:lineRule="auto"/>
              <w:jc w:val="right"/>
              <w:rPr>
                <w:rFonts w:eastAsia="Times New Roman" w:cs="Calibri"/>
                <w:lang w:eastAsia="en-GB"/>
              </w:rPr>
            </w:pPr>
            <w:r w:rsidRPr="00B32F37">
              <w:rPr>
                <w:rFonts w:eastAsia="Times New Roman" w:cs="Calibri"/>
                <w:lang w:eastAsia="en-GB"/>
              </w:rPr>
              <w:t>47.50</w:t>
            </w:r>
          </w:p>
        </w:tc>
      </w:tr>
      <w:tr w:rsidR="002021EB" w:rsidRPr="00B32F37" w14:paraId="3F1FA4B1" w14:textId="77777777" w:rsidTr="00DF2591">
        <w:trPr>
          <w:trHeight w:val="300"/>
        </w:trPr>
        <w:tc>
          <w:tcPr>
            <w:tcW w:w="2763" w:type="dxa"/>
            <w:tcBorders>
              <w:top w:val="nil"/>
              <w:left w:val="single" w:sz="4" w:space="0" w:color="auto"/>
              <w:bottom w:val="single" w:sz="4" w:space="0" w:color="auto"/>
              <w:right w:val="single" w:sz="4" w:space="0" w:color="auto"/>
            </w:tcBorders>
            <w:shd w:val="clear" w:color="auto" w:fill="auto"/>
            <w:noWrap/>
            <w:vAlign w:val="bottom"/>
            <w:hideMark/>
          </w:tcPr>
          <w:p w14:paraId="35CFB963" w14:textId="77777777" w:rsidR="002021EB" w:rsidRPr="00B32F37" w:rsidRDefault="002021EB" w:rsidP="00DF2591">
            <w:pPr>
              <w:spacing w:after="0" w:line="240" w:lineRule="auto"/>
              <w:rPr>
                <w:rFonts w:eastAsia="Times New Roman" w:cs="Calibri"/>
                <w:color w:val="000000"/>
                <w:lang w:eastAsia="en-GB"/>
              </w:rPr>
            </w:pPr>
            <w:r w:rsidRPr="00B32F37">
              <w:rPr>
                <w:rFonts w:eastAsia="Times New Roman" w:cs="Calibri"/>
                <w:color w:val="000000"/>
                <w:lang w:eastAsia="en-GB"/>
              </w:rPr>
              <w:t>2021</w:t>
            </w:r>
          </w:p>
        </w:tc>
        <w:tc>
          <w:tcPr>
            <w:tcW w:w="1119" w:type="dxa"/>
            <w:tcBorders>
              <w:top w:val="nil"/>
              <w:left w:val="nil"/>
              <w:bottom w:val="single" w:sz="4" w:space="0" w:color="auto"/>
              <w:right w:val="single" w:sz="4" w:space="0" w:color="auto"/>
            </w:tcBorders>
            <w:shd w:val="clear" w:color="auto" w:fill="auto"/>
            <w:noWrap/>
            <w:vAlign w:val="bottom"/>
            <w:hideMark/>
          </w:tcPr>
          <w:p w14:paraId="7D07DF55" w14:textId="77777777" w:rsidR="002021EB" w:rsidRPr="00B32F37" w:rsidRDefault="002021EB" w:rsidP="00DF2591">
            <w:pPr>
              <w:spacing w:after="0" w:line="240" w:lineRule="auto"/>
              <w:jc w:val="right"/>
              <w:rPr>
                <w:rFonts w:eastAsia="Times New Roman" w:cs="Calibri"/>
                <w:lang w:eastAsia="en-GB"/>
              </w:rPr>
            </w:pPr>
            <w:r w:rsidRPr="00B32F37">
              <w:rPr>
                <w:rFonts w:eastAsia="Times New Roman" w:cs="Calibri"/>
                <w:lang w:eastAsia="en-GB"/>
              </w:rPr>
              <w:t>10.30</w:t>
            </w:r>
          </w:p>
        </w:tc>
        <w:tc>
          <w:tcPr>
            <w:tcW w:w="1360" w:type="dxa"/>
            <w:tcBorders>
              <w:top w:val="nil"/>
              <w:left w:val="nil"/>
              <w:bottom w:val="single" w:sz="4" w:space="0" w:color="auto"/>
              <w:right w:val="single" w:sz="4" w:space="0" w:color="auto"/>
            </w:tcBorders>
            <w:shd w:val="clear" w:color="auto" w:fill="auto"/>
            <w:noWrap/>
            <w:vAlign w:val="bottom"/>
            <w:hideMark/>
          </w:tcPr>
          <w:p w14:paraId="320FADF3" w14:textId="77777777" w:rsidR="002021EB" w:rsidRPr="00B32F37" w:rsidRDefault="002021EB" w:rsidP="00DF2591">
            <w:pPr>
              <w:spacing w:after="0" w:line="240" w:lineRule="auto"/>
              <w:jc w:val="right"/>
              <w:rPr>
                <w:rFonts w:eastAsia="Times New Roman" w:cs="Calibri"/>
                <w:lang w:eastAsia="en-GB"/>
              </w:rPr>
            </w:pPr>
            <w:r w:rsidRPr="00B32F37">
              <w:rPr>
                <w:rFonts w:eastAsia="Times New Roman" w:cs="Calibri"/>
                <w:lang w:eastAsia="en-GB"/>
              </w:rPr>
              <w:t>7.08</w:t>
            </w:r>
          </w:p>
        </w:tc>
        <w:tc>
          <w:tcPr>
            <w:tcW w:w="1118" w:type="dxa"/>
            <w:tcBorders>
              <w:top w:val="nil"/>
              <w:left w:val="nil"/>
              <w:bottom w:val="single" w:sz="4" w:space="0" w:color="auto"/>
              <w:right w:val="single" w:sz="4" w:space="0" w:color="auto"/>
            </w:tcBorders>
            <w:shd w:val="clear" w:color="auto" w:fill="auto"/>
            <w:noWrap/>
            <w:vAlign w:val="bottom"/>
            <w:hideMark/>
          </w:tcPr>
          <w:p w14:paraId="1E9116AD" w14:textId="77777777" w:rsidR="002021EB" w:rsidRPr="00B32F37" w:rsidRDefault="002021EB" w:rsidP="00DF2591">
            <w:pPr>
              <w:spacing w:after="0" w:line="240" w:lineRule="auto"/>
              <w:jc w:val="right"/>
              <w:rPr>
                <w:rFonts w:eastAsia="Times New Roman" w:cs="Calibri"/>
                <w:lang w:eastAsia="en-GB"/>
              </w:rPr>
            </w:pPr>
            <w:r w:rsidRPr="00B32F37">
              <w:rPr>
                <w:rFonts w:eastAsia="Times New Roman" w:cs="Calibri"/>
                <w:lang w:eastAsia="en-GB"/>
              </w:rPr>
              <w:t>17.38</w:t>
            </w:r>
          </w:p>
        </w:tc>
      </w:tr>
      <w:tr w:rsidR="002021EB" w:rsidRPr="00B32F37" w14:paraId="3F44B2E4" w14:textId="77777777" w:rsidTr="00DF2591">
        <w:trPr>
          <w:trHeight w:val="300"/>
        </w:trPr>
        <w:tc>
          <w:tcPr>
            <w:tcW w:w="2763" w:type="dxa"/>
            <w:tcBorders>
              <w:top w:val="nil"/>
              <w:left w:val="single" w:sz="4" w:space="0" w:color="auto"/>
              <w:bottom w:val="single" w:sz="4" w:space="0" w:color="auto"/>
              <w:right w:val="single" w:sz="4" w:space="0" w:color="auto"/>
            </w:tcBorders>
            <w:shd w:val="clear" w:color="auto" w:fill="auto"/>
            <w:noWrap/>
            <w:vAlign w:val="bottom"/>
            <w:hideMark/>
          </w:tcPr>
          <w:p w14:paraId="3BFDFCD5" w14:textId="77777777" w:rsidR="002021EB" w:rsidRPr="00B32F37" w:rsidRDefault="002021EB" w:rsidP="00DF2591">
            <w:pPr>
              <w:spacing w:after="0" w:line="240" w:lineRule="auto"/>
              <w:rPr>
                <w:rFonts w:eastAsia="Times New Roman" w:cs="Calibri"/>
                <w:b/>
                <w:bCs/>
                <w:lang w:eastAsia="en-GB"/>
              </w:rPr>
            </w:pPr>
            <w:r w:rsidRPr="00B32F37">
              <w:rPr>
                <w:rFonts w:eastAsia="Times New Roman" w:cs="Calibri"/>
                <w:b/>
                <w:bCs/>
                <w:lang w:eastAsia="en-GB"/>
              </w:rPr>
              <w:t>Total up to 31 December 2021</w:t>
            </w:r>
          </w:p>
        </w:tc>
        <w:tc>
          <w:tcPr>
            <w:tcW w:w="1119" w:type="dxa"/>
            <w:tcBorders>
              <w:top w:val="nil"/>
              <w:left w:val="nil"/>
              <w:bottom w:val="single" w:sz="4" w:space="0" w:color="auto"/>
              <w:right w:val="single" w:sz="4" w:space="0" w:color="auto"/>
            </w:tcBorders>
            <w:shd w:val="clear" w:color="auto" w:fill="auto"/>
            <w:noWrap/>
            <w:vAlign w:val="bottom"/>
            <w:hideMark/>
          </w:tcPr>
          <w:p w14:paraId="19D94BC0" w14:textId="77777777" w:rsidR="002021EB" w:rsidRPr="00B32F37" w:rsidRDefault="002021EB" w:rsidP="00DF2591">
            <w:pPr>
              <w:spacing w:after="0" w:line="240" w:lineRule="auto"/>
              <w:jc w:val="right"/>
              <w:rPr>
                <w:rFonts w:eastAsia="Times New Roman" w:cs="Calibri"/>
                <w:b/>
                <w:bCs/>
                <w:lang w:eastAsia="en-GB"/>
              </w:rPr>
            </w:pPr>
            <w:r w:rsidRPr="00B32F37">
              <w:rPr>
                <w:rFonts w:eastAsia="Times New Roman" w:cs="Calibri"/>
                <w:b/>
                <w:bCs/>
                <w:lang w:eastAsia="en-GB"/>
              </w:rPr>
              <w:t>53.21</w:t>
            </w:r>
          </w:p>
        </w:tc>
        <w:tc>
          <w:tcPr>
            <w:tcW w:w="1360" w:type="dxa"/>
            <w:tcBorders>
              <w:top w:val="nil"/>
              <w:left w:val="nil"/>
              <w:bottom w:val="single" w:sz="4" w:space="0" w:color="auto"/>
              <w:right w:val="single" w:sz="4" w:space="0" w:color="auto"/>
            </w:tcBorders>
            <w:shd w:val="clear" w:color="auto" w:fill="auto"/>
            <w:noWrap/>
            <w:vAlign w:val="bottom"/>
            <w:hideMark/>
          </w:tcPr>
          <w:p w14:paraId="403BCC75" w14:textId="77777777" w:rsidR="002021EB" w:rsidRPr="00B32F37" w:rsidRDefault="002021EB" w:rsidP="00DF2591">
            <w:pPr>
              <w:spacing w:after="0" w:line="240" w:lineRule="auto"/>
              <w:jc w:val="right"/>
              <w:rPr>
                <w:rFonts w:eastAsia="Times New Roman" w:cs="Calibri"/>
                <w:b/>
                <w:bCs/>
                <w:lang w:eastAsia="en-GB"/>
              </w:rPr>
            </w:pPr>
            <w:r w:rsidRPr="00B32F37">
              <w:rPr>
                <w:rFonts w:eastAsia="Times New Roman" w:cs="Calibri"/>
                <w:b/>
                <w:bCs/>
                <w:lang w:eastAsia="en-GB"/>
              </w:rPr>
              <w:t>57.88</w:t>
            </w:r>
          </w:p>
        </w:tc>
        <w:tc>
          <w:tcPr>
            <w:tcW w:w="1118" w:type="dxa"/>
            <w:tcBorders>
              <w:top w:val="nil"/>
              <w:left w:val="nil"/>
              <w:bottom w:val="single" w:sz="4" w:space="0" w:color="auto"/>
              <w:right w:val="single" w:sz="4" w:space="0" w:color="auto"/>
            </w:tcBorders>
            <w:shd w:val="clear" w:color="auto" w:fill="auto"/>
            <w:noWrap/>
            <w:vAlign w:val="bottom"/>
            <w:hideMark/>
          </w:tcPr>
          <w:p w14:paraId="511F77D3" w14:textId="77777777" w:rsidR="002021EB" w:rsidRPr="00B32F37" w:rsidRDefault="002021EB" w:rsidP="00DF2591">
            <w:pPr>
              <w:spacing w:after="0" w:line="240" w:lineRule="auto"/>
              <w:jc w:val="right"/>
              <w:rPr>
                <w:rFonts w:eastAsia="Times New Roman" w:cs="Calibri"/>
                <w:b/>
                <w:bCs/>
                <w:lang w:eastAsia="en-GB"/>
              </w:rPr>
            </w:pPr>
            <w:r w:rsidRPr="00B32F37">
              <w:rPr>
                <w:rFonts w:eastAsia="Times New Roman" w:cs="Calibri"/>
                <w:b/>
                <w:bCs/>
                <w:lang w:eastAsia="en-GB"/>
              </w:rPr>
              <w:t>111.09</w:t>
            </w:r>
          </w:p>
        </w:tc>
      </w:tr>
    </w:tbl>
    <w:p w14:paraId="498FBB7B" w14:textId="77777777" w:rsidR="002021EB" w:rsidRDefault="002021EB" w:rsidP="002021EB">
      <w:pPr>
        <w:spacing w:after="479" w:line="237" w:lineRule="auto"/>
        <w:ind w:left="2" w:hanging="10"/>
        <w:jc w:val="both"/>
      </w:pPr>
    </w:p>
    <w:p w14:paraId="4B88F023" w14:textId="199745A4" w:rsidR="00D472C1" w:rsidRPr="0021544D" w:rsidRDefault="00D472C1" w:rsidP="00D472C1">
      <w:pPr>
        <w:spacing w:after="479" w:line="237" w:lineRule="auto"/>
        <w:ind w:left="2" w:hanging="10"/>
        <w:jc w:val="both"/>
        <w:rPr>
          <w:b/>
          <w:bCs/>
        </w:rPr>
      </w:pPr>
      <w:r w:rsidRPr="0021544D">
        <w:rPr>
          <w:b/>
          <w:bCs/>
        </w:rPr>
        <w:t>Figure 4.3.</w:t>
      </w:r>
      <w:r>
        <w:rPr>
          <w:b/>
          <w:bCs/>
        </w:rPr>
        <w:t>4</w:t>
      </w:r>
    </w:p>
    <w:p w14:paraId="2A1831AE" w14:textId="54FD91BC" w:rsidR="002021EB" w:rsidRDefault="00AB7EE5" w:rsidP="002021EB">
      <w:pPr>
        <w:spacing w:after="479" w:line="237" w:lineRule="auto"/>
        <w:ind w:left="2" w:hanging="10"/>
        <w:jc w:val="both"/>
      </w:pPr>
      <w:r>
        <w:rPr>
          <w:noProof/>
          <w:lang w:eastAsia="en-GB"/>
        </w:rPr>
        <w:drawing>
          <wp:inline distT="0" distB="0" distL="0" distR="0" wp14:anchorId="1ECCACD8" wp14:editId="12FA1C14">
            <wp:extent cx="4410075" cy="3003550"/>
            <wp:effectExtent l="0" t="0" r="9525" b="6350"/>
            <wp:docPr id="60" name="Chart 60">
              <a:extLst xmlns:a="http://schemas.openxmlformats.org/drawingml/2006/main">
                <a:ext uri="{FF2B5EF4-FFF2-40B4-BE49-F238E27FC236}">
                  <a16:creationId xmlns:a16="http://schemas.microsoft.com/office/drawing/2014/main" id="{00000000-0008-0000-0F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7D36AB6F" w14:textId="7B6FABCF" w:rsidR="002021EB" w:rsidRDefault="002021EB" w:rsidP="002021EB">
      <w:pPr>
        <w:spacing w:after="479" w:line="237" w:lineRule="auto"/>
        <w:ind w:left="2" w:hanging="10"/>
        <w:jc w:val="both"/>
        <w:rPr>
          <w:b/>
        </w:rPr>
      </w:pPr>
      <w:r w:rsidRPr="00D93ED5">
        <w:rPr>
          <w:b/>
        </w:rPr>
        <w:t>JU specific error rates for H2020</w:t>
      </w:r>
    </w:p>
    <w:p w14:paraId="355BCF9D" w14:textId="061F0B4E" w:rsidR="002021EB" w:rsidRDefault="002021EB" w:rsidP="002021EB">
      <w:pPr>
        <w:spacing w:after="479" w:line="237" w:lineRule="auto"/>
        <w:ind w:left="2" w:hanging="10"/>
        <w:jc w:val="both"/>
      </w:pPr>
      <w:r>
        <w:t>For</w:t>
      </w:r>
      <w:r w:rsidRPr="00272CA1">
        <w:t xml:space="preserve"> the calculation of the </w:t>
      </w:r>
      <w:r>
        <w:t xml:space="preserve">JU </w:t>
      </w:r>
      <w:r w:rsidRPr="00272CA1">
        <w:t xml:space="preserve">representative error rate, only results coming from the items either directly hit by JU sampling or by MUS sampling </w:t>
      </w:r>
      <w:r>
        <w:t xml:space="preserve">of the CRaS </w:t>
      </w:r>
      <w:r w:rsidRPr="00272CA1">
        <w:t>are tak</w:t>
      </w:r>
      <w:r>
        <w:t>en</w:t>
      </w:r>
      <w:r w:rsidRPr="00272CA1">
        <w:t xml:space="preserve"> into consideration.</w:t>
      </w:r>
    </w:p>
    <w:p w14:paraId="1E38917B" w14:textId="70016069" w:rsidR="002021EB" w:rsidRPr="0027457A" w:rsidRDefault="002021EB" w:rsidP="002021EB">
      <w:pPr>
        <w:spacing w:after="479" w:line="237" w:lineRule="auto"/>
        <w:ind w:left="2" w:hanging="10"/>
        <w:jc w:val="both"/>
      </w:pPr>
      <w:r w:rsidRPr="0027457A">
        <w:t xml:space="preserve">Results of 43 representative items were used to calculate </w:t>
      </w:r>
      <w:r w:rsidRPr="0027457A">
        <w:rPr>
          <w:b/>
        </w:rPr>
        <w:t xml:space="preserve">an indicative cumulative representative error rate on H2020 expenditure specific to the JU, as </w:t>
      </w:r>
      <w:proofErr w:type="gramStart"/>
      <w:r w:rsidRPr="0027457A">
        <w:rPr>
          <w:b/>
        </w:rPr>
        <w:t>at</w:t>
      </w:r>
      <w:proofErr w:type="gramEnd"/>
      <w:r w:rsidRPr="0027457A">
        <w:rPr>
          <w:b/>
        </w:rPr>
        <w:t xml:space="preserve"> 31 December 2021</w:t>
      </w:r>
      <w:r w:rsidRPr="0027457A">
        <w:t>:</w:t>
      </w:r>
    </w:p>
    <w:p w14:paraId="7B31CE2F" w14:textId="7FDC9B5F" w:rsidR="002021EB" w:rsidRPr="0027457A" w:rsidRDefault="002021EB" w:rsidP="002021EB">
      <w:pPr>
        <w:spacing w:after="479" w:line="237" w:lineRule="auto"/>
        <w:ind w:left="2" w:hanging="10"/>
        <w:jc w:val="both"/>
      </w:pPr>
      <w:r w:rsidRPr="0027457A">
        <w:lastRenderedPageBreak/>
        <w:t>Representative error rate on JU contribution:</w:t>
      </w:r>
      <w:r w:rsidRPr="0027457A">
        <w:tab/>
      </w:r>
      <w:r>
        <w:tab/>
      </w:r>
      <w:r w:rsidRPr="0027457A">
        <w:t xml:space="preserve">-3.84% </w:t>
      </w:r>
    </w:p>
    <w:p w14:paraId="40BFCB3F" w14:textId="635262FD" w:rsidR="002021EB" w:rsidRDefault="002021EB" w:rsidP="002021EB">
      <w:pPr>
        <w:spacing w:after="479" w:line="237" w:lineRule="auto"/>
        <w:ind w:left="2" w:hanging="10"/>
        <w:jc w:val="both"/>
        <w:rPr>
          <w:b/>
        </w:rPr>
      </w:pPr>
      <w:r w:rsidRPr="0027457A">
        <w:rPr>
          <w:b/>
        </w:rPr>
        <w:t>Residual error rate on JU contribution:</w:t>
      </w:r>
      <w:r w:rsidRPr="0027457A">
        <w:rPr>
          <w:b/>
        </w:rPr>
        <w:tab/>
      </w:r>
      <w:r w:rsidRPr="0027457A">
        <w:rPr>
          <w:b/>
        </w:rPr>
        <w:tab/>
        <w:t>-1.</w:t>
      </w:r>
      <w:r w:rsidR="004C53FC">
        <w:rPr>
          <w:b/>
        </w:rPr>
        <w:t>73</w:t>
      </w:r>
      <w:r w:rsidRPr="0027457A">
        <w:rPr>
          <w:b/>
        </w:rPr>
        <w:t>%</w:t>
      </w:r>
      <w:r w:rsidRPr="005E7D4A">
        <w:rPr>
          <w:b/>
        </w:rPr>
        <w:t xml:space="preserve"> </w:t>
      </w:r>
    </w:p>
    <w:p w14:paraId="43A30792" w14:textId="606631A5" w:rsidR="00843A1D" w:rsidRDefault="00843A1D" w:rsidP="00843A1D"/>
    <w:p w14:paraId="4B8B7D54" w14:textId="77777777" w:rsidR="00843A1D" w:rsidRPr="00843A1D" w:rsidRDefault="00843A1D" w:rsidP="00843A1D"/>
    <w:p w14:paraId="03D291DD" w14:textId="77777777" w:rsidR="00974B4D" w:rsidRDefault="00974B4D" w:rsidP="00974B4D">
      <w:pPr>
        <w:spacing w:after="479" w:line="237" w:lineRule="auto"/>
        <w:ind w:left="2" w:hanging="10"/>
        <w:jc w:val="both"/>
      </w:pPr>
      <w:bookmarkStart w:id="186" w:name="_Hlk98402410"/>
      <w:r>
        <w:rPr>
          <w:color w:val="3A5FAC"/>
        </w:rPr>
        <w:t>FP7 programme</w:t>
      </w:r>
    </w:p>
    <w:p w14:paraId="40327C10" w14:textId="74ABDCDB" w:rsidR="00974B4D" w:rsidRDefault="00974B4D" w:rsidP="00974B4D">
      <w:pPr>
        <w:ind w:left="10" w:right="18"/>
        <w:jc w:val="both"/>
      </w:pPr>
      <w:r>
        <w:t xml:space="preserve">The JU </w:t>
      </w:r>
      <w:r w:rsidRPr="00FA1BDF">
        <w:rPr>
          <w:i/>
        </w:rPr>
        <w:t>ex</w:t>
      </w:r>
      <w:r>
        <w:rPr>
          <w:i/>
        </w:rPr>
        <w:t>-</w:t>
      </w:r>
      <w:r w:rsidRPr="00FA1BDF">
        <w:rPr>
          <w:i/>
        </w:rPr>
        <w:t>post</w:t>
      </w:r>
      <w:r>
        <w:t xml:space="preserve"> controls of FP7 grants included financial audits carried out by external audit firms.</w:t>
      </w:r>
    </w:p>
    <w:p w14:paraId="6BCE552A" w14:textId="77777777" w:rsidR="00974B4D" w:rsidRDefault="00974B4D" w:rsidP="00974B4D">
      <w:pPr>
        <w:ind w:left="10" w:right="18"/>
        <w:jc w:val="both"/>
      </w:pPr>
      <w:r w:rsidRPr="00BD7283">
        <w:t>In 2021 no new</w:t>
      </w:r>
      <w:r>
        <w:t xml:space="preserve"> audits were launched on FP7 projects. The last batch of FP7 audits launched in November 2019 was completed and finalised in 2020, with an ongoing implementation in 2021. </w:t>
      </w:r>
    </w:p>
    <w:p w14:paraId="65A626EA" w14:textId="77777777" w:rsidR="00974B4D" w:rsidRPr="00816B2E" w:rsidRDefault="00974B4D" w:rsidP="00974B4D">
      <w:pPr>
        <w:spacing w:after="0" w:line="240" w:lineRule="auto"/>
        <w:jc w:val="both"/>
      </w:pPr>
    </w:p>
    <w:p w14:paraId="322FC62F" w14:textId="77777777" w:rsidR="00974B4D" w:rsidRDefault="00974B4D" w:rsidP="00974B4D">
      <w:pPr>
        <w:spacing w:after="215" w:line="259" w:lineRule="auto"/>
        <w:ind w:left="2" w:hanging="10"/>
        <w:jc w:val="both"/>
      </w:pPr>
      <w:r w:rsidRPr="00AC574E">
        <w:rPr>
          <w:i/>
          <w:color w:val="3A5FAC"/>
        </w:rPr>
        <w:t>Ex</w:t>
      </w:r>
      <w:r>
        <w:rPr>
          <w:i/>
          <w:color w:val="3A5FAC"/>
        </w:rPr>
        <w:t>-</w:t>
      </w:r>
      <w:r w:rsidRPr="00AC574E">
        <w:rPr>
          <w:i/>
          <w:color w:val="3A5FAC"/>
        </w:rPr>
        <w:t>post</w:t>
      </w:r>
      <w:r>
        <w:rPr>
          <w:color w:val="3A5FAC"/>
        </w:rPr>
        <w:t xml:space="preserve"> audits – coverage</w:t>
      </w:r>
    </w:p>
    <w:p w14:paraId="6DD2D77B" w14:textId="77777777" w:rsidR="00974B4D" w:rsidRDefault="00974B4D" w:rsidP="00974B4D">
      <w:pPr>
        <w:ind w:left="10" w:right="18"/>
        <w:jc w:val="both"/>
      </w:pPr>
      <w:r>
        <w:t xml:space="preserve">The following table gives an overview of the number of </w:t>
      </w:r>
      <w:r w:rsidRPr="00882761">
        <w:rPr>
          <w:i/>
        </w:rPr>
        <w:t>ex</w:t>
      </w:r>
      <w:r>
        <w:rPr>
          <w:i/>
        </w:rPr>
        <w:t>-</w:t>
      </w:r>
      <w:r w:rsidRPr="00882761">
        <w:rPr>
          <w:i/>
        </w:rPr>
        <w:t>post</w:t>
      </w:r>
      <w:r>
        <w:t xml:space="preserve"> audits and their audit coverage:</w:t>
      </w:r>
    </w:p>
    <w:p w14:paraId="4CA184CA" w14:textId="77777777" w:rsidR="00974B4D" w:rsidRPr="001A40AA" w:rsidRDefault="00974B4D" w:rsidP="00974B4D">
      <w:pPr>
        <w:pStyle w:val="Heading4"/>
        <w:ind w:left="2"/>
        <w:jc w:val="both"/>
        <w:rPr>
          <w:rFonts w:ascii="Calibri" w:hAnsi="Calibri" w:cs="Calibri"/>
          <w:b/>
          <w:bCs/>
        </w:rPr>
      </w:pPr>
      <w:r w:rsidRPr="00A43133">
        <w:rPr>
          <w:rFonts w:ascii="Calibri" w:hAnsi="Calibri" w:cs="Calibri"/>
          <w:b/>
          <w:bCs/>
          <w:color w:val="034EA2"/>
        </w:rPr>
        <w:t>Table 4.3.2:</w:t>
      </w:r>
      <w:r w:rsidRPr="001A40AA">
        <w:rPr>
          <w:rFonts w:ascii="Calibri" w:hAnsi="Calibri" w:cs="Calibri"/>
          <w:b/>
          <w:bCs/>
          <w:color w:val="034EA2"/>
        </w:rPr>
        <w:t xml:space="preserve"> Number of audits and audit coverage, cumulative</w:t>
      </w:r>
      <w:r w:rsidRPr="001A40AA">
        <w:rPr>
          <w:rFonts w:ascii="Calibri" w:hAnsi="Calibri" w:cs="Calibri"/>
          <w:b/>
          <w:bCs/>
          <w:color w:val="FFFFFF"/>
          <w:vertAlign w:val="superscript"/>
        </w:rPr>
        <w:t>25</w:t>
      </w:r>
      <w:r w:rsidRPr="001A40AA">
        <w:rPr>
          <w:rFonts w:ascii="Calibri" w:hAnsi="Calibri" w:cs="Calibri"/>
          <w:b/>
          <w:bCs/>
          <w:color w:val="FFFFFF"/>
          <w:vertAlign w:val="superscript"/>
        </w:rPr>
        <w:footnoteReference w:id="119"/>
      </w:r>
      <w:r w:rsidRPr="001A40AA">
        <w:rPr>
          <w:rFonts w:ascii="Calibri" w:hAnsi="Calibri" w:cs="Calibri"/>
          <w:b/>
          <w:bCs/>
          <w:color w:val="FFFFFF"/>
          <w:vertAlign w:val="superscript"/>
        </w:rPr>
        <w:footnoteReference w:id="120"/>
      </w:r>
    </w:p>
    <w:p w14:paraId="6B702401" w14:textId="77777777" w:rsidR="00974B4D" w:rsidRPr="00816B2E" w:rsidRDefault="00974B4D" w:rsidP="00974B4D">
      <w:pPr>
        <w:jc w:val="both"/>
        <w:rPr>
          <w:rFonts w:asciiTheme="minorHAnsi" w:hAnsiTheme="minorHAnsi"/>
        </w:rPr>
      </w:pPr>
    </w:p>
    <w:tbl>
      <w:tblPr>
        <w:tblW w:w="11580" w:type="dxa"/>
        <w:tblLook w:val="04A0" w:firstRow="1" w:lastRow="0" w:firstColumn="1" w:lastColumn="0" w:noHBand="0" w:noVBand="1"/>
      </w:tblPr>
      <w:tblGrid>
        <w:gridCol w:w="1020"/>
        <w:gridCol w:w="1240"/>
        <w:gridCol w:w="1480"/>
        <w:gridCol w:w="1020"/>
        <w:gridCol w:w="1700"/>
        <w:gridCol w:w="1400"/>
        <w:gridCol w:w="2040"/>
        <w:gridCol w:w="1680"/>
      </w:tblGrid>
      <w:tr w:rsidR="00974B4D" w:rsidRPr="00B26E5E" w14:paraId="6D02864B" w14:textId="77777777" w:rsidTr="00DF2591">
        <w:trPr>
          <w:trHeight w:val="300"/>
        </w:trPr>
        <w:tc>
          <w:tcPr>
            <w:tcW w:w="1020" w:type="dxa"/>
            <w:vMerge w:val="restart"/>
            <w:tcBorders>
              <w:top w:val="nil"/>
              <w:left w:val="nil"/>
              <w:bottom w:val="nil"/>
              <w:right w:val="nil"/>
            </w:tcBorders>
            <w:shd w:val="clear" w:color="000000" w:fill="60B0AF"/>
            <w:noWrap/>
            <w:vAlign w:val="center"/>
            <w:hideMark/>
          </w:tcPr>
          <w:p w14:paraId="48222669" w14:textId="77777777" w:rsidR="00974B4D" w:rsidRPr="00B26E5E" w:rsidRDefault="00974B4D" w:rsidP="00DF2591">
            <w:pPr>
              <w:spacing w:after="0" w:line="240" w:lineRule="auto"/>
              <w:jc w:val="center"/>
              <w:rPr>
                <w:rFonts w:eastAsia="Times New Roman" w:cs="Calibri"/>
                <w:b/>
                <w:bCs/>
                <w:color w:val="FFFFFF"/>
                <w:lang w:eastAsia="en-GB"/>
              </w:rPr>
            </w:pPr>
            <w:r w:rsidRPr="00B26E5E">
              <w:rPr>
                <w:rFonts w:eastAsia="Times New Roman" w:cs="Calibri"/>
                <w:b/>
                <w:bCs/>
                <w:color w:val="FFFFFF"/>
                <w:lang w:eastAsia="en-GB"/>
              </w:rPr>
              <w:t>Batch</w:t>
            </w:r>
          </w:p>
        </w:tc>
        <w:tc>
          <w:tcPr>
            <w:tcW w:w="1240" w:type="dxa"/>
            <w:vMerge w:val="restart"/>
            <w:tcBorders>
              <w:top w:val="nil"/>
              <w:left w:val="nil"/>
              <w:bottom w:val="nil"/>
              <w:right w:val="nil"/>
            </w:tcBorders>
            <w:shd w:val="clear" w:color="000000" w:fill="60B0AF"/>
            <w:noWrap/>
            <w:vAlign w:val="center"/>
            <w:hideMark/>
          </w:tcPr>
          <w:p w14:paraId="61286149" w14:textId="77777777" w:rsidR="00974B4D" w:rsidRPr="00B26E5E" w:rsidRDefault="00974B4D" w:rsidP="00DF2591">
            <w:pPr>
              <w:spacing w:after="0" w:line="240" w:lineRule="auto"/>
              <w:jc w:val="center"/>
              <w:rPr>
                <w:rFonts w:eastAsia="Times New Roman" w:cs="Calibri"/>
                <w:b/>
                <w:bCs/>
                <w:color w:val="FFFFFF"/>
                <w:lang w:eastAsia="en-GB"/>
              </w:rPr>
            </w:pPr>
            <w:r w:rsidRPr="00B26E5E">
              <w:rPr>
                <w:rFonts w:eastAsia="Times New Roman" w:cs="Calibri"/>
                <w:b/>
                <w:bCs/>
                <w:color w:val="FFFFFF"/>
                <w:lang w:eastAsia="en-GB"/>
              </w:rPr>
              <w:t>Year</w:t>
            </w:r>
          </w:p>
        </w:tc>
        <w:tc>
          <w:tcPr>
            <w:tcW w:w="1480" w:type="dxa"/>
            <w:vMerge w:val="restart"/>
            <w:tcBorders>
              <w:top w:val="nil"/>
              <w:left w:val="nil"/>
              <w:bottom w:val="nil"/>
              <w:right w:val="nil"/>
            </w:tcBorders>
            <w:shd w:val="clear" w:color="000000" w:fill="60B0AF"/>
            <w:noWrap/>
            <w:vAlign w:val="center"/>
            <w:hideMark/>
          </w:tcPr>
          <w:p w14:paraId="652910DF" w14:textId="77777777" w:rsidR="00974B4D" w:rsidRPr="00B26E5E" w:rsidRDefault="00974B4D" w:rsidP="00DF2591">
            <w:pPr>
              <w:spacing w:after="0" w:line="240" w:lineRule="auto"/>
              <w:jc w:val="center"/>
              <w:rPr>
                <w:rFonts w:eastAsia="Times New Roman" w:cs="Calibri"/>
                <w:b/>
                <w:bCs/>
                <w:color w:val="FFFFFF"/>
                <w:lang w:eastAsia="en-GB"/>
              </w:rPr>
            </w:pPr>
            <w:r w:rsidRPr="00B26E5E">
              <w:rPr>
                <w:rFonts w:eastAsia="Times New Roman" w:cs="Calibri"/>
                <w:b/>
                <w:bCs/>
                <w:color w:val="FFFFFF"/>
                <w:lang w:eastAsia="en-GB"/>
              </w:rPr>
              <w:t>To be launched</w:t>
            </w:r>
          </w:p>
        </w:tc>
        <w:tc>
          <w:tcPr>
            <w:tcW w:w="1020" w:type="dxa"/>
            <w:vMerge w:val="restart"/>
            <w:tcBorders>
              <w:top w:val="nil"/>
              <w:left w:val="nil"/>
              <w:bottom w:val="nil"/>
              <w:right w:val="nil"/>
            </w:tcBorders>
            <w:shd w:val="clear" w:color="000000" w:fill="60B0AF"/>
            <w:noWrap/>
            <w:vAlign w:val="center"/>
            <w:hideMark/>
          </w:tcPr>
          <w:p w14:paraId="737935AB" w14:textId="77777777" w:rsidR="00974B4D" w:rsidRPr="00B26E5E" w:rsidRDefault="00974B4D" w:rsidP="00DF2591">
            <w:pPr>
              <w:spacing w:after="0" w:line="240" w:lineRule="auto"/>
              <w:jc w:val="center"/>
              <w:rPr>
                <w:rFonts w:eastAsia="Times New Roman" w:cs="Calibri"/>
                <w:b/>
                <w:bCs/>
                <w:color w:val="FFFFFF"/>
                <w:lang w:eastAsia="en-GB"/>
              </w:rPr>
            </w:pPr>
            <w:r w:rsidRPr="00B26E5E">
              <w:rPr>
                <w:rFonts w:eastAsia="Times New Roman" w:cs="Calibri"/>
                <w:b/>
                <w:bCs/>
                <w:color w:val="FFFFFF"/>
                <w:lang w:eastAsia="en-GB"/>
              </w:rPr>
              <w:t>On-going</w:t>
            </w:r>
          </w:p>
        </w:tc>
        <w:tc>
          <w:tcPr>
            <w:tcW w:w="1700" w:type="dxa"/>
            <w:vMerge w:val="restart"/>
            <w:tcBorders>
              <w:top w:val="nil"/>
              <w:left w:val="nil"/>
              <w:bottom w:val="nil"/>
              <w:right w:val="nil"/>
            </w:tcBorders>
            <w:shd w:val="clear" w:color="000000" w:fill="60B0AF"/>
            <w:noWrap/>
            <w:vAlign w:val="center"/>
            <w:hideMark/>
          </w:tcPr>
          <w:p w14:paraId="0C0CC83A" w14:textId="77777777" w:rsidR="00974B4D" w:rsidRPr="00B26E5E" w:rsidRDefault="00974B4D" w:rsidP="00DF2591">
            <w:pPr>
              <w:spacing w:after="0" w:line="240" w:lineRule="auto"/>
              <w:jc w:val="center"/>
              <w:rPr>
                <w:rFonts w:eastAsia="Times New Roman" w:cs="Calibri"/>
                <w:b/>
                <w:bCs/>
                <w:color w:val="FFFFFF"/>
                <w:lang w:eastAsia="en-GB"/>
              </w:rPr>
            </w:pPr>
            <w:r w:rsidRPr="00B26E5E">
              <w:rPr>
                <w:rFonts w:eastAsia="Times New Roman" w:cs="Calibri"/>
                <w:b/>
                <w:bCs/>
                <w:color w:val="FFFFFF"/>
                <w:lang w:eastAsia="en-GB"/>
              </w:rPr>
              <w:t>Finalised</w:t>
            </w:r>
          </w:p>
        </w:tc>
        <w:tc>
          <w:tcPr>
            <w:tcW w:w="1400" w:type="dxa"/>
            <w:vMerge w:val="restart"/>
            <w:tcBorders>
              <w:top w:val="nil"/>
              <w:left w:val="nil"/>
              <w:bottom w:val="nil"/>
              <w:right w:val="nil"/>
            </w:tcBorders>
            <w:shd w:val="clear" w:color="000000" w:fill="60B0AF"/>
            <w:noWrap/>
            <w:vAlign w:val="center"/>
            <w:hideMark/>
          </w:tcPr>
          <w:p w14:paraId="616A0A26" w14:textId="77777777" w:rsidR="00974B4D" w:rsidRPr="00B26E5E" w:rsidRDefault="00974B4D" w:rsidP="00DF2591">
            <w:pPr>
              <w:spacing w:after="0" w:line="240" w:lineRule="auto"/>
              <w:jc w:val="center"/>
              <w:rPr>
                <w:rFonts w:eastAsia="Times New Roman" w:cs="Calibri"/>
                <w:b/>
                <w:bCs/>
                <w:color w:val="FFFFFF"/>
                <w:lang w:eastAsia="en-GB"/>
              </w:rPr>
            </w:pPr>
            <w:r w:rsidRPr="00B26E5E">
              <w:rPr>
                <w:rFonts w:eastAsia="Times New Roman" w:cs="Calibri"/>
                <w:b/>
                <w:bCs/>
                <w:color w:val="FFFFFF"/>
                <w:lang w:eastAsia="en-GB"/>
              </w:rPr>
              <w:t>TOTAL</w:t>
            </w:r>
          </w:p>
        </w:tc>
        <w:tc>
          <w:tcPr>
            <w:tcW w:w="3720" w:type="dxa"/>
            <w:gridSpan w:val="2"/>
            <w:tcBorders>
              <w:top w:val="nil"/>
              <w:left w:val="nil"/>
              <w:bottom w:val="nil"/>
              <w:right w:val="nil"/>
            </w:tcBorders>
            <w:shd w:val="clear" w:color="000000" w:fill="60B0AF"/>
            <w:noWrap/>
            <w:vAlign w:val="center"/>
            <w:hideMark/>
          </w:tcPr>
          <w:p w14:paraId="3C142CAC" w14:textId="77777777" w:rsidR="00974B4D" w:rsidRPr="00B26E5E" w:rsidRDefault="00974B4D" w:rsidP="00DF2591">
            <w:pPr>
              <w:spacing w:after="0" w:line="240" w:lineRule="auto"/>
              <w:jc w:val="center"/>
              <w:rPr>
                <w:rFonts w:eastAsia="Times New Roman" w:cs="Calibri"/>
                <w:b/>
                <w:bCs/>
                <w:color w:val="FFFFFF"/>
                <w:lang w:eastAsia="en-GB"/>
              </w:rPr>
            </w:pPr>
            <w:r w:rsidRPr="00B26E5E">
              <w:rPr>
                <w:rFonts w:eastAsia="Times New Roman" w:cs="Calibri"/>
                <w:b/>
                <w:bCs/>
                <w:color w:val="FFFFFF"/>
                <w:lang w:eastAsia="en-GB"/>
              </w:rPr>
              <w:t>Of which</w:t>
            </w:r>
          </w:p>
        </w:tc>
      </w:tr>
      <w:tr w:rsidR="00974B4D" w:rsidRPr="00B26E5E" w14:paraId="4F077A9D" w14:textId="77777777" w:rsidTr="00DF2591">
        <w:trPr>
          <w:trHeight w:val="290"/>
        </w:trPr>
        <w:tc>
          <w:tcPr>
            <w:tcW w:w="1020" w:type="dxa"/>
            <w:vMerge/>
            <w:tcBorders>
              <w:top w:val="nil"/>
              <w:left w:val="nil"/>
              <w:bottom w:val="nil"/>
              <w:right w:val="nil"/>
            </w:tcBorders>
            <w:vAlign w:val="center"/>
            <w:hideMark/>
          </w:tcPr>
          <w:p w14:paraId="14E6D3D9" w14:textId="77777777" w:rsidR="00974B4D" w:rsidRPr="00B26E5E" w:rsidRDefault="00974B4D" w:rsidP="00DF2591">
            <w:pPr>
              <w:spacing w:after="0" w:line="240" w:lineRule="auto"/>
              <w:rPr>
                <w:rFonts w:eastAsia="Times New Roman" w:cs="Calibri"/>
                <w:b/>
                <w:bCs/>
                <w:color w:val="FFFFFF"/>
                <w:lang w:eastAsia="en-GB"/>
              </w:rPr>
            </w:pPr>
          </w:p>
        </w:tc>
        <w:tc>
          <w:tcPr>
            <w:tcW w:w="1240" w:type="dxa"/>
            <w:vMerge/>
            <w:tcBorders>
              <w:top w:val="nil"/>
              <w:left w:val="nil"/>
              <w:bottom w:val="nil"/>
              <w:right w:val="nil"/>
            </w:tcBorders>
            <w:vAlign w:val="center"/>
            <w:hideMark/>
          </w:tcPr>
          <w:p w14:paraId="7659F52F" w14:textId="77777777" w:rsidR="00974B4D" w:rsidRPr="00B26E5E" w:rsidRDefault="00974B4D" w:rsidP="00DF2591">
            <w:pPr>
              <w:spacing w:after="0" w:line="240" w:lineRule="auto"/>
              <w:rPr>
                <w:rFonts w:eastAsia="Times New Roman" w:cs="Calibri"/>
                <w:b/>
                <w:bCs/>
                <w:color w:val="FFFFFF"/>
                <w:lang w:eastAsia="en-GB"/>
              </w:rPr>
            </w:pPr>
          </w:p>
        </w:tc>
        <w:tc>
          <w:tcPr>
            <w:tcW w:w="1480" w:type="dxa"/>
            <w:vMerge/>
            <w:tcBorders>
              <w:top w:val="nil"/>
              <w:left w:val="nil"/>
              <w:bottom w:val="nil"/>
              <w:right w:val="nil"/>
            </w:tcBorders>
            <w:vAlign w:val="center"/>
            <w:hideMark/>
          </w:tcPr>
          <w:p w14:paraId="7420059B" w14:textId="77777777" w:rsidR="00974B4D" w:rsidRPr="00B26E5E" w:rsidRDefault="00974B4D" w:rsidP="00DF2591">
            <w:pPr>
              <w:spacing w:after="0" w:line="240" w:lineRule="auto"/>
              <w:rPr>
                <w:rFonts w:eastAsia="Times New Roman" w:cs="Calibri"/>
                <w:b/>
                <w:bCs/>
                <w:color w:val="FFFFFF"/>
                <w:lang w:eastAsia="en-GB"/>
              </w:rPr>
            </w:pPr>
          </w:p>
        </w:tc>
        <w:tc>
          <w:tcPr>
            <w:tcW w:w="1020" w:type="dxa"/>
            <w:vMerge/>
            <w:tcBorders>
              <w:top w:val="nil"/>
              <w:left w:val="nil"/>
              <w:bottom w:val="nil"/>
              <w:right w:val="nil"/>
            </w:tcBorders>
            <w:vAlign w:val="center"/>
            <w:hideMark/>
          </w:tcPr>
          <w:p w14:paraId="0B83FD21" w14:textId="77777777" w:rsidR="00974B4D" w:rsidRPr="00B26E5E" w:rsidRDefault="00974B4D" w:rsidP="00DF2591">
            <w:pPr>
              <w:spacing w:after="0" w:line="240" w:lineRule="auto"/>
              <w:rPr>
                <w:rFonts w:eastAsia="Times New Roman" w:cs="Calibri"/>
                <w:b/>
                <w:bCs/>
                <w:color w:val="FFFFFF"/>
                <w:lang w:eastAsia="en-GB"/>
              </w:rPr>
            </w:pPr>
          </w:p>
        </w:tc>
        <w:tc>
          <w:tcPr>
            <w:tcW w:w="1700" w:type="dxa"/>
            <w:vMerge/>
            <w:tcBorders>
              <w:top w:val="nil"/>
              <w:left w:val="nil"/>
              <w:bottom w:val="nil"/>
              <w:right w:val="nil"/>
            </w:tcBorders>
            <w:vAlign w:val="center"/>
            <w:hideMark/>
          </w:tcPr>
          <w:p w14:paraId="61928B2A" w14:textId="77777777" w:rsidR="00974B4D" w:rsidRPr="00B26E5E" w:rsidRDefault="00974B4D" w:rsidP="00DF2591">
            <w:pPr>
              <w:spacing w:after="0" w:line="240" w:lineRule="auto"/>
              <w:rPr>
                <w:rFonts w:eastAsia="Times New Roman" w:cs="Calibri"/>
                <w:b/>
                <w:bCs/>
                <w:color w:val="FFFFFF"/>
                <w:lang w:eastAsia="en-GB"/>
              </w:rPr>
            </w:pPr>
          </w:p>
        </w:tc>
        <w:tc>
          <w:tcPr>
            <w:tcW w:w="1400" w:type="dxa"/>
            <w:vMerge/>
            <w:tcBorders>
              <w:top w:val="nil"/>
              <w:left w:val="nil"/>
              <w:bottom w:val="nil"/>
              <w:right w:val="nil"/>
            </w:tcBorders>
            <w:vAlign w:val="center"/>
            <w:hideMark/>
          </w:tcPr>
          <w:p w14:paraId="4DF1C298" w14:textId="77777777" w:rsidR="00974B4D" w:rsidRPr="00B26E5E" w:rsidRDefault="00974B4D" w:rsidP="00DF2591">
            <w:pPr>
              <w:spacing w:after="0" w:line="240" w:lineRule="auto"/>
              <w:rPr>
                <w:rFonts w:eastAsia="Times New Roman" w:cs="Calibri"/>
                <w:b/>
                <w:bCs/>
                <w:color w:val="FFFFFF"/>
                <w:lang w:eastAsia="en-GB"/>
              </w:rPr>
            </w:pPr>
          </w:p>
        </w:tc>
        <w:tc>
          <w:tcPr>
            <w:tcW w:w="2040" w:type="dxa"/>
            <w:tcBorders>
              <w:top w:val="nil"/>
              <w:left w:val="nil"/>
              <w:bottom w:val="nil"/>
              <w:right w:val="nil"/>
            </w:tcBorders>
            <w:shd w:val="clear" w:color="000000" w:fill="60B0AF"/>
            <w:noWrap/>
            <w:vAlign w:val="center"/>
            <w:hideMark/>
          </w:tcPr>
          <w:p w14:paraId="4EC3101E" w14:textId="77777777" w:rsidR="00974B4D" w:rsidRPr="00B26E5E" w:rsidRDefault="00974B4D" w:rsidP="00DF2591">
            <w:pPr>
              <w:spacing w:after="0" w:line="240" w:lineRule="auto"/>
              <w:jc w:val="center"/>
              <w:rPr>
                <w:rFonts w:eastAsia="Times New Roman" w:cs="Calibri"/>
                <w:b/>
                <w:bCs/>
                <w:color w:val="FFFFFF"/>
                <w:lang w:eastAsia="en-GB"/>
              </w:rPr>
            </w:pPr>
            <w:r w:rsidRPr="00B26E5E">
              <w:rPr>
                <w:rFonts w:eastAsia="Times New Roman" w:cs="Calibri"/>
                <w:b/>
                <w:bCs/>
                <w:color w:val="FFFFFF"/>
                <w:lang w:eastAsia="en-GB"/>
              </w:rPr>
              <w:t>Representative</w:t>
            </w:r>
          </w:p>
        </w:tc>
        <w:tc>
          <w:tcPr>
            <w:tcW w:w="1680" w:type="dxa"/>
            <w:tcBorders>
              <w:top w:val="nil"/>
              <w:left w:val="nil"/>
              <w:bottom w:val="nil"/>
              <w:right w:val="nil"/>
            </w:tcBorders>
            <w:shd w:val="clear" w:color="000000" w:fill="60B0AF"/>
            <w:noWrap/>
            <w:vAlign w:val="center"/>
            <w:hideMark/>
          </w:tcPr>
          <w:p w14:paraId="2C4E3301" w14:textId="77777777" w:rsidR="00974B4D" w:rsidRPr="00B26E5E" w:rsidRDefault="00974B4D" w:rsidP="00DF2591">
            <w:pPr>
              <w:spacing w:after="0" w:line="240" w:lineRule="auto"/>
              <w:jc w:val="center"/>
              <w:rPr>
                <w:rFonts w:eastAsia="Times New Roman" w:cs="Calibri"/>
                <w:b/>
                <w:bCs/>
                <w:color w:val="FFFFFF"/>
                <w:lang w:eastAsia="en-GB"/>
              </w:rPr>
            </w:pPr>
            <w:r w:rsidRPr="00B26E5E">
              <w:rPr>
                <w:rFonts w:eastAsia="Times New Roman" w:cs="Calibri"/>
                <w:b/>
                <w:bCs/>
                <w:color w:val="FFFFFF"/>
                <w:lang w:eastAsia="en-GB"/>
              </w:rPr>
              <w:t>Risk-Based</w:t>
            </w:r>
          </w:p>
        </w:tc>
      </w:tr>
      <w:tr w:rsidR="00974B4D" w:rsidRPr="00B26E5E" w14:paraId="492BE3A1" w14:textId="77777777" w:rsidTr="00DF2591">
        <w:trPr>
          <w:trHeight w:val="580"/>
        </w:trPr>
        <w:tc>
          <w:tcPr>
            <w:tcW w:w="1020" w:type="dxa"/>
            <w:tcBorders>
              <w:top w:val="nil"/>
              <w:left w:val="nil"/>
              <w:bottom w:val="nil"/>
              <w:right w:val="nil"/>
            </w:tcBorders>
            <w:shd w:val="clear" w:color="auto" w:fill="auto"/>
            <w:vAlign w:val="center"/>
            <w:hideMark/>
          </w:tcPr>
          <w:p w14:paraId="6CF7BD49" w14:textId="77777777" w:rsidR="00974B4D" w:rsidRPr="00B26E5E" w:rsidRDefault="00974B4D" w:rsidP="00DF2591">
            <w:pPr>
              <w:spacing w:after="0" w:line="240" w:lineRule="auto"/>
              <w:rPr>
                <w:rFonts w:eastAsia="Times New Roman" w:cs="Calibri"/>
                <w:color w:val="000000"/>
                <w:lang w:eastAsia="en-GB"/>
              </w:rPr>
            </w:pPr>
            <w:r w:rsidRPr="00B26E5E">
              <w:rPr>
                <w:rFonts w:eastAsia="Times New Roman" w:cs="Calibri"/>
                <w:color w:val="000000"/>
                <w:lang w:eastAsia="en-GB"/>
              </w:rPr>
              <w:t>1 to 12</w:t>
            </w:r>
          </w:p>
        </w:tc>
        <w:tc>
          <w:tcPr>
            <w:tcW w:w="1240" w:type="dxa"/>
            <w:tcBorders>
              <w:top w:val="nil"/>
              <w:left w:val="nil"/>
              <w:bottom w:val="nil"/>
              <w:right w:val="nil"/>
            </w:tcBorders>
            <w:shd w:val="clear" w:color="auto" w:fill="auto"/>
            <w:vAlign w:val="center"/>
            <w:hideMark/>
          </w:tcPr>
          <w:p w14:paraId="77259B11" w14:textId="77777777" w:rsidR="00974B4D" w:rsidRPr="00B26E5E" w:rsidRDefault="00974B4D" w:rsidP="00DF2591">
            <w:pPr>
              <w:spacing w:after="0" w:line="240" w:lineRule="auto"/>
              <w:jc w:val="center"/>
              <w:rPr>
                <w:rFonts w:eastAsia="Times New Roman" w:cs="Calibri"/>
                <w:color w:val="000000"/>
                <w:lang w:eastAsia="en-GB"/>
              </w:rPr>
            </w:pPr>
            <w:r w:rsidRPr="00B26E5E">
              <w:rPr>
                <w:rFonts w:eastAsia="Times New Roman" w:cs="Calibri"/>
                <w:color w:val="000000"/>
                <w:lang w:eastAsia="en-GB"/>
              </w:rPr>
              <w:t>2011 to 2019</w:t>
            </w:r>
          </w:p>
        </w:tc>
        <w:tc>
          <w:tcPr>
            <w:tcW w:w="1480" w:type="dxa"/>
            <w:tcBorders>
              <w:top w:val="nil"/>
              <w:left w:val="nil"/>
              <w:bottom w:val="nil"/>
              <w:right w:val="nil"/>
            </w:tcBorders>
            <w:shd w:val="clear" w:color="auto" w:fill="auto"/>
            <w:vAlign w:val="center"/>
            <w:hideMark/>
          </w:tcPr>
          <w:p w14:paraId="78BADD9F" w14:textId="77777777" w:rsidR="00974B4D" w:rsidRPr="00B26E5E" w:rsidRDefault="00974B4D" w:rsidP="00DF2591">
            <w:pPr>
              <w:spacing w:after="0" w:line="240" w:lineRule="auto"/>
              <w:jc w:val="center"/>
              <w:rPr>
                <w:rFonts w:eastAsia="Times New Roman" w:cs="Calibri"/>
                <w:color w:val="000000"/>
                <w:lang w:eastAsia="en-GB"/>
              </w:rPr>
            </w:pPr>
            <w:r w:rsidRPr="00B26E5E">
              <w:rPr>
                <w:rFonts w:eastAsia="Times New Roman" w:cs="Calibri"/>
                <w:color w:val="000000"/>
                <w:lang w:eastAsia="en-GB"/>
              </w:rPr>
              <w:t>0</w:t>
            </w:r>
          </w:p>
        </w:tc>
        <w:tc>
          <w:tcPr>
            <w:tcW w:w="1020" w:type="dxa"/>
            <w:tcBorders>
              <w:top w:val="nil"/>
              <w:left w:val="nil"/>
              <w:bottom w:val="nil"/>
              <w:right w:val="nil"/>
            </w:tcBorders>
            <w:shd w:val="clear" w:color="auto" w:fill="auto"/>
            <w:vAlign w:val="center"/>
            <w:hideMark/>
          </w:tcPr>
          <w:p w14:paraId="33D5261B" w14:textId="77777777" w:rsidR="00974B4D" w:rsidRPr="00B26E5E" w:rsidRDefault="00974B4D" w:rsidP="00DF2591">
            <w:pPr>
              <w:spacing w:after="0" w:line="240" w:lineRule="auto"/>
              <w:jc w:val="center"/>
              <w:rPr>
                <w:rFonts w:eastAsia="Times New Roman" w:cs="Calibri"/>
                <w:color w:val="000000"/>
                <w:lang w:eastAsia="en-GB"/>
              </w:rPr>
            </w:pPr>
            <w:r w:rsidRPr="00B26E5E">
              <w:rPr>
                <w:rFonts w:eastAsia="Times New Roman" w:cs="Calibri"/>
                <w:color w:val="000000"/>
                <w:lang w:eastAsia="en-GB"/>
              </w:rPr>
              <w:t>0</w:t>
            </w:r>
          </w:p>
        </w:tc>
        <w:tc>
          <w:tcPr>
            <w:tcW w:w="1700" w:type="dxa"/>
            <w:tcBorders>
              <w:top w:val="nil"/>
              <w:left w:val="nil"/>
              <w:bottom w:val="nil"/>
              <w:right w:val="nil"/>
            </w:tcBorders>
            <w:shd w:val="clear" w:color="auto" w:fill="auto"/>
            <w:vAlign w:val="center"/>
            <w:hideMark/>
          </w:tcPr>
          <w:p w14:paraId="1323B1B4" w14:textId="77777777" w:rsidR="00974B4D" w:rsidRPr="00B26E5E" w:rsidRDefault="00974B4D" w:rsidP="00DF2591">
            <w:pPr>
              <w:spacing w:after="0" w:line="240" w:lineRule="auto"/>
              <w:jc w:val="center"/>
              <w:rPr>
                <w:rFonts w:eastAsia="Times New Roman" w:cs="Calibri"/>
                <w:color w:val="000000"/>
                <w:lang w:eastAsia="en-GB"/>
              </w:rPr>
            </w:pPr>
            <w:r w:rsidRPr="00B26E5E">
              <w:rPr>
                <w:rFonts w:eastAsia="Times New Roman" w:cs="Calibri"/>
                <w:color w:val="000000"/>
                <w:lang w:eastAsia="en-GB"/>
              </w:rPr>
              <w:t>145</w:t>
            </w:r>
          </w:p>
        </w:tc>
        <w:tc>
          <w:tcPr>
            <w:tcW w:w="1400" w:type="dxa"/>
            <w:tcBorders>
              <w:top w:val="nil"/>
              <w:left w:val="nil"/>
              <w:bottom w:val="nil"/>
              <w:right w:val="nil"/>
            </w:tcBorders>
            <w:shd w:val="clear" w:color="auto" w:fill="auto"/>
            <w:vAlign w:val="center"/>
            <w:hideMark/>
          </w:tcPr>
          <w:p w14:paraId="5B64FC56" w14:textId="77777777" w:rsidR="00974B4D" w:rsidRPr="00B26E5E" w:rsidRDefault="00974B4D" w:rsidP="00DF2591">
            <w:pPr>
              <w:spacing w:after="0" w:line="240" w:lineRule="auto"/>
              <w:jc w:val="center"/>
              <w:rPr>
                <w:rFonts w:eastAsia="Times New Roman" w:cs="Calibri"/>
                <w:color w:val="000000"/>
                <w:lang w:eastAsia="en-GB"/>
              </w:rPr>
            </w:pPr>
            <w:r w:rsidRPr="00B26E5E">
              <w:rPr>
                <w:rFonts w:eastAsia="Times New Roman" w:cs="Calibri"/>
                <w:color w:val="000000"/>
                <w:lang w:eastAsia="en-GB"/>
              </w:rPr>
              <w:t>145</w:t>
            </w:r>
          </w:p>
        </w:tc>
        <w:tc>
          <w:tcPr>
            <w:tcW w:w="2040" w:type="dxa"/>
            <w:tcBorders>
              <w:top w:val="nil"/>
              <w:left w:val="nil"/>
              <w:bottom w:val="nil"/>
              <w:right w:val="nil"/>
            </w:tcBorders>
            <w:shd w:val="clear" w:color="auto" w:fill="auto"/>
            <w:vAlign w:val="center"/>
            <w:hideMark/>
          </w:tcPr>
          <w:p w14:paraId="4C31670D" w14:textId="77777777" w:rsidR="00974B4D" w:rsidRPr="00B26E5E" w:rsidRDefault="00974B4D" w:rsidP="00DF2591">
            <w:pPr>
              <w:spacing w:after="0" w:line="240" w:lineRule="auto"/>
              <w:jc w:val="center"/>
              <w:rPr>
                <w:rFonts w:eastAsia="Times New Roman" w:cs="Calibri"/>
                <w:color w:val="000000"/>
                <w:lang w:eastAsia="en-GB"/>
              </w:rPr>
            </w:pPr>
            <w:r w:rsidRPr="00B26E5E">
              <w:rPr>
                <w:rFonts w:eastAsia="Times New Roman" w:cs="Calibri"/>
                <w:color w:val="000000"/>
                <w:lang w:eastAsia="en-GB"/>
              </w:rPr>
              <w:t>120</w:t>
            </w:r>
          </w:p>
        </w:tc>
        <w:tc>
          <w:tcPr>
            <w:tcW w:w="1680" w:type="dxa"/>
            <w:tcBorders>
              <w:top w:val="nil"/>
              <w:left w:val="nil"/>
              <w:bottom w:val="nil"/>
              <w:right w:val="nil"/>
            </w:tcBorders>
            <w:shd w:val="clear" w:color="auto" w:fill="auto"/>
            <w:vAlign w:val="center"/>
            <w:hideMark/>
          </w:tcPr>
          <w:p w14:paraId="1E4B4893" w14:textId="77777777" w:rsidR="00974B4D" w:rsidRPr="00B26E5E" w:rsidRDefault="00974B4D" w:rsidP="00DF2591">
            <w:pPr>
              <w:spacing w:after="0" w:line="240" w:lineRule="auto"/>
              <w:jc w:val="center"/>
              <w:rPr>
                <w:rFonts w:eastAsia="Times New Roman" w:cs="Calibri"/>
                <w:color w:val="000000"/>
                <w:lang w:eastAsia="en-GB"/>
              </w:rPr>
            </w:pPr>
            <w:r w:rsidRPr="00B26E5E">
              <w:rPr>
                <w:rFonts w:eastAsia="Times New Roman" w:cs="Calibri"/>
                <w:color w:val="000000"/>
                <w:lang w:eastAsia="en-GB"/>
              </w:rPr>
              <w:t>25</w:t>
            </w:r>
          </w:p>
        </w:tc>
      </w:tr>
      <w:tr w:rsidR="00974B4D" w:rsidRPr="00B26E5E" w14:paraId="0CEF25DB" w14:textId="77777777" w:rsidTr="00DF2591">
        <w:trPr>
          <w:trHeight w:val="290"/>
        </w:trPr>
        <w:tc>
          <w:tcPr>
            <w:tcW w:w="2260" w:type="dxa"/>
            <w:gridSpan w:val="2"/>
            <w:tcBorders>
              <w:top w:val="nil"/>
              <w:left w:val="nil"/>
              <w:bottom w:val="nil"/>
              <w:right w:val="nil"/>
            </w:tcBorders>
            <w:shd w:val="clear" w:color="auto" w:fill="auto"/>
            <w:vAlign w:val="center"/>
            <w:hideMark/>
          </w:tcPr>
          <w:p w14:paraId="33C8621E" w14:textId="77777777" w:rsidR="00974B4D" w:rsidRPr="00B26E5E" w:rsidRDefault="00974B4D" w:rsidP="00DF2591">
            <w:pPr>
              <w:spacing w:after="0" w:line="240" w:lineRule="auto"/>
              <w:rPr>
                <w:rFonts w:eastAsia="Times New Roman" w:cs="Calibri"/>
                <w:b/>
                <w:bCs/>
                <w:color w:val="000000"/>
                <w:lang w:eastAsia="en-GB"/>
              </w:rPr>
            </w:pPr>
            <w:r w:rsidRPr="00B26E5E">
              <w:rPr>
                <w:rFonts w:eastAsia="Times New Roman" w:cs="Calibri"/>
                <w:b/>
                <w:bCs/>
                <w:color w:val="000000"/>
                <w:lang w:eastAsia="en-GB"/>
              </w:rPr>
              <w:t>Total (audits)</w:t>
            </w:r>
          </w:p>
        </w:tc>
        <w:tc>
          <w:tcPr>
            <w:tcW w:w="1480" w:type="dxa"/>
            <w:tcBorders>
              <w:top w:val="nil"/>
              <w:left w:val="nil"/>
              <w:bottom w:val="nil"/>
              <w:right w:val="nil"/>
            </w:tcBorders>
            <w:shd w:val="clear" w:color="auto" w:fill="auto"/>
            <w:vAlign w:val="center"/>
            <w:hideMark/>
          </w:tcPr>
          <w:p w14:paraId="2968EF71" w14:textId="77777777" w:rsidR="00974B4D" w:rsidRPr="00B26E5E" w:rsidRDefault="00974B4D" w:rsidP="00DF2591">
            <w:pPr>
              <w:spacing w:after="0" w:line="240" w:lineRule="auto"/>
              <w:jc w:val="center"/>
              <w:rPr>
                <w:rFonts w:eastAsia="Times New Roman" w:cs="Calibri"/>
                <w:b/>
                <w:bCs/>
                <w:color w:val="000000"/>
                <w:lang w:eastAsia="en-GB"/>
              </w:rPr>
            </w:pPr>
            <w:r w:rsidRPr="00B26E5E">
              <w:rPr>
                <w:rFonts w:eastAsia="Times New Roman" w:cs="Calibri"/>
                <w:b/>
                <w:bCs/>
                <w:color w:val="000000"/>
                <w:lang w:eastAsia="en-GB"/>
              </w:rPr>
              <w:t>0</w:t>
            </w:r>
          </w:p>
        </w:tc>
        <w:tc>
          <w:tcPr>
            <w:tcW w:w="1020" w:type="dxa"/>
            <w:tcBorders>
              <w:top w:val="nil"/>
              <w:left w:val="nil"/>
              <w:bottom w:val="nil"/>
              <w:right w:val="nil"/>
            </w:tcBorders>
            <w:shd w:val="clear" w:color="auto" w:fill="auto"/>
            <w:vAlign w:val="center"/>
            <w:hideMark/>
          </w:tcPr>
          <w:p w14:paraId="39B69406" w14:textId="77777777" w:rsidR="00974B4D" w:rsidRPr="00B26E5E" w:rsidRDefault="00974B4D" w:rsidP="00DF2591">
            <w:pPr>
              <w:spacing w:after="0" w:line="240" w:lineRule="auto"/>
              <w:jc w:val="center"/>
              <w:rPr>
                <w:rFonts w:eastAsia="Times New Roman" w:cs="Calibri"/>
                <w:b/>
                <w:bCs/>
                <w:color w:val="000000"/>
                <w:lang w:eastAsia="en-GB"/>
              </w:rPr>
            </w:pPr>
            <w:r w:rsidRPr="00B26E5E">
              <w:rPr>
                <w:rFonts w:eastAsia="Times New Roman" w:cs="Calibri"/>
                <w:b/>
                <w:bCs/>
                <w:color w:val="000000"/>
                <w:lang w:eastAsia="en-GB"/>
              </w:rPr>
              <w:t>0</w:t>
            </w:r>
          </w:p>
        </w:tc>
        <w:tc>
          <w:tcPr>
            <w:tcW w:w="1700" w:type="dxa"/>
            <w:tcBorders>
              <w:top w:val="nil"/>
              <w:left w:val="nil"/>
              <w:bottom w:val="nil"/>
              <w:right w:val="nil"/>
            </w:tcBorders>
            <w:shd w:val="clear" w:color="auto" w:fill="auto"/>
            <w:vAlign w:val="center"/>
            <w:hideMark/>
          </w:tcPr>
          <w:p w14:paraId="2C597915" w14:textId="77777777" w:rsidR="00974B4D" w:rsidRPr="00B26E5E" w:rsidRDefault="00974B4D" w:rsidP="00DF2591">
            <w:pPr>
              <w:spacing w:after="0" w:line="240" w:lineRule="auto"/>
              <w:jc w:val="center"/>
              <w:rPr>
                <w:rFonts w:eastAsia="Times New Roman" w:cs="Calibri"/>
                <w:b/>
                <w:bCs/>
                <w:color w:val="000000"/>
                <w:lang w:eastAsia="en-GB"/>
              </w:rPr>
            </w:pPr>
            <w:r w:rsidRPr="00B26E5E">
              <w:rPr>
                <w:rFonts w:eastAsia="Times New Roman" w:cs="Calibri"/>
                <w:b/>
                <w:bCs/>
                <w:color w:val="000000"/>
                <w:lang w:eastAsia="en-GB"/>
              </w:rPr>
              <w:t>145</w:t>
            </w:r>
          </w:p>
        </w:tc>
        <w:tc>
          <w:tcPr>
            <w:tcW w:w="1400" w:type="dxa"/>
            <w:tcBorders>
              <w:top w:val="nil"/>
              <w:left w:val="nil"/>
              <w:bottom w:val="nil"/>
              <w:right w:val="nil"/>
            </w:tcBorders>
            <w:shd w:val="clear" w:color="auto" w:fill="auto"/>
            <w:vAlign w:val="center"/>
            <w:hideMark/>
          </w:tcPr>
          <w:p w14:paraId="7F86D85E" w14:textId="77777777" w:rsidR="00974B4D" w:rsidRPr="00B26E5E" w:rsidRDefault="00974B4D" w:rsidP="00DF2591">
            <w:pPr>
              <w:spacing w:after="0" w:line="240" w:lineRule="auto"/>
              <w:jc w:val="center"/>
              <w:rPr>
                <w:rFonts w:eastAsia="Times New Roman" w:cs="Calibri"/>
                <w:b/>
                <w:bCs/>
                <w:color w:val="000000"/>
                <w:lang w:eastAsia="en-GB"/>
              </w:rPr>
            </w:pPr>
            <w:r w:rsidRPr="00B26E5E">
              <w:rPr>
                <w:rFonts w:eastAsia="Times New Roman" w:cs="Calibri"/>
                <w:b/>
                <w:bCs/>
                <w:color w:val="000000"/>
                <w:lang w:eastAsia="en-GB"/>
              </w:rPr>
              <w:t>145</w:t>
            </w:r>
          </w:p>
        </w:tc>
        <w:tc>
          <w:tcPr>
            <w:tcW w:w="2040" w:type="dxa"/>
            <w:tcBorders>
              <w:top w:val="nil"/>
              <w:left w:val="nil"/>
              <w:bottom w:val="nil"/>
              <w:right w:val="nil"/>
            </w:tcBorders>
            <w:shd w:val="clear" w:color="auto" w:fill="auto"/>
            <w:vAlign w:val="center"/>
            <w:hideMark/>
          </w:tcPr>
          <w:p w14:paraId="732781C3" w14:textId="77777777" w:rsidR="00974B4D" w:rsidRPr="00B26E5E" w:rsidRDefault="00974B4D" w:rsidP="00DF2591">
            <w:pPr>
              <w:spacing w:after="0" w:line="240" w:lineRule="auto"/>
              <w:jc w:val="center"/>
              <w:rPr>
                <w:rFonts w:eastAsia="Times New Roman" w:cs="Calibri"/>
                <w:b/>
                <w:bCs/>
                <w:color w:val="000000"/>
                <w:lang w:eastAsia="en-GB"/>
              </w:rPr>
            </w:pPr>
            <w:r w:rsidRPr="00B26E5E">
              <w:rPr>
                <w:rFonts w:eastAsia="Times New Roman" w:cs="Calibri"/>
                <w:b/>
                <w:bCs/>
                <w:color w:val="000000"/>
                <w:lang w:eastAsia="en-GB"/>
              </w:rPr>
              <w:t>120</w:t>
            </w:r>
          </w:p>
        </w:tc>
        <w:tc>
          <w:tcPr>
            <w:tcW w:w="1680" w:type="dxa"/>
            <w:tcBorders>
              <w:top w:val="nil"/>
              <w:left w:val="nil"/>
              <w:bottom w:val="nil"/>
              <w:right w:val="nil"/>
            </w:tcBorders>
            <w:shd w:val="clear" w:color="auto" w:fill="auto"/>
            <w:vAlign w:val="center"/>
            <w:hideMark/>
          </w:tcPr>
          <w:p w14:paraId="4DA9FA2B" w14:textId="77777777" w:rsidR="00974B4D" w:rsidRPr="00B26E5E" w:rsidRDefault="00974B4D" w:rsidP="00DF2591">
            <w:pPr>
              <w:spacing w:after="0" w:line="240" w:lineRule="auto"/>
              <w:jc w:val="center"/>
              <w:rPr>
                <w:rFonts w:eastAsia="Times New Roman" w:cs="Calibri"/>
                <w:b/>
                <w:bCs/>
                <w:color w:val="000000"/>
                <w:lang w:eastAsia="en-GB"/>
              </w:rPr>
            </w:pPr>
            <w:r w:rsidRPr="00B26E5E">
              <w:rPr>
                <w:rFonts w:eastAsia="Times New Roman" w:cs="Calibri"/>
                <w:b/>
                <w:bCs/>
                <w:color w:val="000000"/>
                <w:lang w:eastAsia="en-GB"/>
              </w:rPr>
              <w:t>25</w:t>
            </w:r>
          </w:p>
        </w:tc>
      </w:tr>
      <w:tr w:rsidR="00974B4D" w:rsidRPr="00B26E5E" w14:paraId="667EDA11" w14:textId="77777777" w:rsidTr="00DF2591">
        <w:trPr>
          <w:trHeight w:val="290"/>
        </w:trPr>
        <w:tc>
          <w:tcPr>
            <w:tcW w:w="2260" w:type="dxa"/>
            <w:gridSpan w:val="2"/>
            <w:tcBorders>
              <w:top w:val="nil"/>
              <w:left w:val="nil"/>
              <w:bottom w:val="nil"/>
              <w:right w:val="nil"/>
            </w:tcBorders>
            <w:shd w:val="clear" w:color="auto" w:fill="auto"/>
            <w:vAlign w:val="center"/>
            <w:hideMark/>
          </w:tcPr>
          <w:p w14:paraId="4D8BFB0E" w14:textId="77777777" w:rsidR="00974B4D" w:rsidRPr="00B26E5E" w:rsidRDefault="00974B4D" w:rsidP="00DF2591">
            <w:pPr>
              <w:spacing w:after="0" w:line="240" w:lineRule="auto"/>
              <w:rPr>
                <w:rFonts w:eastAsia="Times New Roman" w:cs="Calibri"/>
                <w:b/>
                <w:bCs/>
                <w:color w:val="000000"/>
                <w:lang w:eastAsia="en-GB"/>
              </w:rPr>
            </w:pPr>
            <w:r w:rsidRPr="00B26E5E">
              <w:rPr>
                <w:rFonts w:eastAsia="Times New Roman" w:cs="Calibri"/>
                <w:b/>
                <w:bCs/>
                <w:color w:val="000000"/>
                <w:lang w:eastAsia="en-GB"/>
              </w:rPr>
              <w:t>Total (cost claims)</w:t>
            </w:r>
          </w:p>
        </w:tc>
        <w:tc>
          <w:tcPr>
            <w:tcW w:w="4200" w:type="dxa"/>
            <w:gridSpan w:val="3"/>
            <w:tcBorders>
              <w:top w:val="nil"/>
              <w:left w:val="nil"/>
              <w:bottom w:val="nil"/>
              <w:right w:val="nil"/>
            </w:tcBorders>
            <w:shd w:val="clear" w:color="auto" w:fill="auto"/>
            <w:vAlign w:val="center"/>
            <w:hideMark/>
          </w:tcPr>
          <w:p w14:paraId="0E2B2048" w14:textId="77777777" w:rsidR="00974B4D" w:rsidRPr="00B26E5E" w:rsidRDefault="00974B4D" w:rsidP="00DF2591">
            <w:pPr>
              <w:spacing w:after="0" w:line="240" w:lineRule="auto"/>
              <w:rPr>
                <w:rFonts w:eastAsia="Times New Roman" w:cs="Calibri"/>
                <w:b/>
                <w:bCs/>
                <w:color w:val="000000"/>
                <w:lang w:eastAsia="en-GB"/>
              </w:rPr>
            </w:pPr>
          </w:p>
        </w:tc>
        <w:tc>
          <w:tcPr>
            <w:tcW w:w="1400" w:type="dxa"/>
            <w:tcBorders>
              <w:top w:val="nil"/>
              <w:left w:val="nil"/>
              <w:bottom w:val="nil"/>
              <w:right w:val="nil"/>
            </w:tcBorders>
            <w:shd w:val="clear" w:color="auto" w:fill="auto"/>
            <w:vAlign w:val="center"/>
            <w:hideMark/>
          </w:tcPr>
          <w:p w14:paraId="2782159E" w14:textId="77777777" w:rsidR="00974B4D" w:rsidRPr="00B26E5E" w:rsidRDefault="00974B4D" w:rsidP="00DF2591">
            <w:pPr>
              <w:spacing w:after="0" w:line="240" w:lineRule="auto"/>
              <w:jc w:val="center"/>
              <w:rPr>
                <w:rFonts w:eastAsia="Times New Roman" w:cs="Calibri"/>
                <w:b/>
                <w:bCs/>
                <w:color w:val="000000"/>
                <w:lang w:eastAsia="en-GB"/>
              </w:rPr>
            </w:pPr>
            <w:r w:rsidRPr="00B26E5E">
              <w:rPr>
                <w:rFonts w:eastAsia="Times New Roman" w:cs="Calibri"/>
                <w:b/>
                <w:bCs/>
                <w:color w:val="000000"/>
                <w:lang w:eastAsia="en-GB"/>
              </w:rPr>
              <w:t>574</w:t>
            </w:r>
          </w:p>
        </w:tc>
        <w:tc>
          <w:tcPr>
            <w:tcW w:w="2040" w:type="dxa"/>
            <w:tcBorders>
              <w:top w:val="nil"/>
              <w:left w:val="nil"/>
              <w:bottom w:val="nil"/>
              <w:right w:val="nil"/>
            </w:tcBorders>
            <w:shd w:val="clear" w:color="auto" w:fill="auto"/>
            <w:vAlign w:val="center"/>
            <w:hideMark/>
          </w:tcPr>
          <w:p w14:paraId="44840F5C" w14:textId="77777777" w:rsidR="00974B4D" w:rsidRPr="00B26E5E" w:rsidRDefault="00974B4D" w:rsidP="00DF2591">
            <w:pPr>
              <w:spacing w:after="0" w:line="240" w:lineRule="auto"/>
              <w:jc w:val="center"/>
              <w:rPr>
                <w:rFonts w:eastAsia="Times New Roman" w:cs="Calibri"/>
                <w:b/>
                <w:bCs/>
                <w:color w:val="000000"/>
                <w:lang w:eastAsia="en-GB"/>
              </w:rPr>
            </w:pPr>
          </w:p>
        </w:tc>
        <w:tc>
          <w:tcPr>
            <w:tcW w:w="1680" w:type="dxa"/>
            <w:tcBorders>
              <w:top w:val="nil"/>
              <w:left w:val="nil"/>
              <w:bottom w:val="nil"/>
              <w:right w:val="nil"/>
            </w:tcBorders>
            <w:shd w:val="clear" w:color="auto" w:fill="auto"/>
            <w:vAlign w:val="center"/>
            <w:hideMark/>
          </w:tcPr>
          <w:p w14:paraId="194E28C5" w14:textId="77777777" w:rsidR="00974B4D" w:rsidRPr="00B26E5E" w:rsidRDefault="00974B4D" w:rsidP="00DF2591">
            <w:pPr>
              <w:spacing w:after="0" w:line="240" w:lineRule="auto"/>
              <w:rPr>
                <w:rFonts w:ascii="Times New Roman" w:eastAsia="Times New Roman" w:hAnsi="Times New Roman"/>
                <w:sz w:val="20"/>
                <w:szCs w:val="20"/>
                <w:lang w:eastAsia="en-GB"/>
              </w:rPr>
            </w:pPr>
          </w:p>
        </w:tc>
      </w:tr>
      <w:tr w:rsidR="00974B4D" w:rsidRPr="00B26E5E" w14:paraId="4C5E21F1" w14:textId="77777777" w:rsidTr="00DF2591">
        <w:trPr>
          <w:trHeight w:val="290"/>
        </w:trPr>
        <w:tc>
          <w:tcPr>
            <w:tcW w:w="6460" w:type="dxa"/>
            <w:gridSpan w:val="5"/>
            <w:tcBorders>
              <w:top w:val="nil"/>
              <w:left w:val="nil"/>
              <w:bottom w:val="nil"/>
              <w:right w:val="nil"/>
            </w:tcBorders>
            <w:shd w:val="clear" w:color="auto" w:fill="auto"/>
            <w:vAlign w:val="center"/>
            <w:hideMark/>
          </w:tcPr>
          <w:p w14:paraId="2B80A97A" w14:textId="77777777" w:rsidR="00974B4D" w:rsidRPr="00B26E5E" w:rsidRDefault="00974B4D" w:rsidP="00DF2591">
            <w:pPr>
              <w:spacing w:after="0" w:line="240" w:lineRule="auto"/>
              <w:jc w:val="center"/>
              <w:rPr>
                <w:rFonts w:eastAsia="Times New Roman" w:cs="Calibri"/>
                <w:color w:val="000000"/>
                <w:lang w:eastAsia="en-GB"/>
              </w:rPr>
            </w:pPr>
            <w:r w:rsidRPr="00B26E5E">
              <w:rPr>
                <w:rFonts w:eastAsia="Times New Roman" w:cs="Calibri"/>
                <w:color w:val="000000"/>
                <w:lang w:eastAsia="en-GB"/>
              </w:rPr>
              <w:t xml:space="preserve">Total costs accepted by FCH JU </w:t>
            </w:r>
            <w:r w:rsidRPr="00B26E5E">
              <w:rPr>
                <w:rFonts w:eastAsia="Times New Roman" w:cs="Calibri"/>
                <w:i/>
                <w:iCs/>
                <w:color w:val="000000"/>
                <w:lang w:eastAsia="en-GB"/>
              </w:rPr>
              <w:t>(cumulative)</w:t>
            </w:r>
            <w:r w:rsidRPr="00B26E5E">
              <w:rPr>
                <w:rFonts w:eastAsia="Times New Roman" w:cs="Calibri"/>
                <w:color w:val="000000"/>
                <w:lang w:eastAsia="en-GB"/>
              </w:rPr>
              <w:t xml:space="preserve"> (in €) </w:t>
            </w:r>
            <w:r w:rsidRPr="00B26E5E">
              <w:rPr>
                <w:rFonts w:eastAsia="Times New Roman" w:cs="Calibri"/>
                <w:b/>
                <w:bCs/>
                <w:color w:val="000000"/>
                <w:lang w:eastAsia="en-GB"/>
              </w:rPr>
              <w:t>(A)</w:t>
            </w:r>
          </w:p>
        </w:tc>
        <w:tc>
          <w:tcPr>
            <w:tcW w:w="1400" w:type="dxa"/>
            <w:tcBorders>
              <w:top w:val="nil"/>
              <w:left w:val="nil"/>
              <w:bottom w:val="nil"/>
              <w:right w:val="nil"/>
            </w:tcBorders>
            <w:shd w:val="clear" w:color="auto" w:fill="auto"/>
            <w:vAlign w:val="center"/>
            <w:hideMark/>
          </w:tcPr>
          <w:p w14:paraId="01F264FF" w14:textId="77777777" w:rsidR="00974B4D" w:rsidRPr="00B26E5E" w:rsidRDefault="00974B4D" w:rsidP="00DF2591">
            <w:pPr>
              <w:spacing w:after="0" w:line="240" w:lineRule="auto"/>
              <w:jc w:val="right"/>
              <w:rPr>
                <w:rFonts w:eastAsia="Times New Roman" w:cs="Calibri"/>
                <w:color w:val="000000"/>
                <w:lang w:eastAsia="en-GB"/>
              </w:rPr>
            </w:pPr>
            <w:r w:rsidRPr="00EA1671">
              <w:rPr>
                <w:rFonts w:eastAsia="Times New Roman" w:cs="Calibri"/>
                <w:color w:val="000000"/>
                <w:lang w:eastAsia="en-GB"/>
              </w:rPr>
              <w:t>852,333,828</w:t>
            </w:r>
          </w:p>
        </w:tc>
        <w:tc>
          <w:tcPr>
            <w:tcW w:w="2040" w:type="dxa"/>
            <w:tcBorders>
              <w:top w:val="nil"/>
              <w:left w:val="nil"/>
              <w:bottom w:val="nil"/>
              <w:right w:val="nil"/>
            </w:tcBorders>
            <w:shd w:val="clear" w:color="auto" w:fill="auto"/>
            <w:vAlign w:val="center"/>
            <w:hideMark/>
          </w:tcPr>
          <w:p w14:paraId="4B193C8A" w14:textId="77777777" w:rsidR="00974B4D" w:rsidRPr="00B26E5E" w:rsidRDefault="00974B4D" w:rsidP="00DF2591">
            <w:pPr>
              <w:spacing w:after="0" w:line="240" w:lineRule="auto"/>
              <w:jc w:val="right"/>
              <w:rPr>
                <w:rFonts w:eastAsia="Times New Roman" w:cs="Calibri"/>
                <w:color w:val="000000"/>
                <w:lang w:eastAsia="en-GB"/>
              </w:rPr>
            </w:pPr>
          </w:p>
        </w:tc>
        <w:tc>
          <w:tcPr>
            <w:tcW w:w="1680" w:type="dxa"/>
            <w:tcBorders>
              <w:top w:val="nil"/>
              <w:left w:val="nil"/>
              <w:bottom w:val="nil"/>
              <w:right w:val="nil"/>
            </w:tcBorders>
            <w:shd w:val="clear" w:color="auto" w:fill="auto"/>
            <w:vAlign w:val="center"/>
            <w:hideMark/>
          </w:tcPr>
          <w:p w14:paraId="223452ED" w14:textId="77777777" w:rsidR="00974B4D" w:rsidRPr="00B26E5E" w:rsidRDefault="00974B4D" w:rsidP="00DF2591">
            <w:pPr>
              <w:spacing w:after="0" w:line="240" w:lineRule="auto"/>
              <w:rPr>
                <w:rFonts w:ascii="Times New Roman" w:eastAsia="Times New Roman" w:hAnsi="Times New Roman"/>
                <w:sz w:val="20"/>
                <w:szCs w:val="20"/>
                <w:lang w:eastAsia="en-GB"/>
              </w:rPr>
            </w:pPr>
          </w:p>
        </w:tc>
      </w:tr>
      <w:tr w:rsidR="00974B4D" w:rsidRPr="00B26E5E" w14:paraId="2B0645AE" w14:textId="77777777" w:rsidTr="00DF2591">
        <w:trPr>
          <w:trHeight w:val="290"/>
        </w:trPr>
        <w:tc>
          <w:tcPr>
            <w:tcW w:w="6460" w:type="dxa"/>
            <w:gridSpan w:val="5"/>
            <w:tcBorders>
              <w:top w:val="nil"/>
              <w:left w:val="nil"/>
              <w:bottom w:val="nil"/>
              <w:right w:val="nil"/>
            </w:tcBorders>
            <w:shd w:val="clear" w:color="auto" w:fill="auto"/>
            <w:vAlign w:val="center"/>
            <w:hideMark/>
          </w:tcPr>
          <w:p w14:paraId="5248FE34" w14:textId="77777777" w:rsidR="00974B4D" w:rsidRPr="00B26E5E" w:rsidRDefault="00974B4D" w:rsidP="00DF2591">
            <w:pPr>
              <w:spacing w:after="0" w:line="240" w:lineRule="auto"/>
              <w:jc w:val="center"/>
              <w:rPr>
                <w:rFonts w:eastAsia="Times New Roman" w:cs="Calibri"/>
                <w:color w:val="000000"/>
                <w:lang w:eastAsia="en-GB"/>
              </w:rPr>
            </w:pPr>
            <w:r w:rsidRPr="00B26E5E">
              <w:rPr>
                <w:rFonts w:eastAsia="Times New Roman" w:cs="Calibri"/>
                <w:color w:val="000000"/>
                <w:lang w:eastAsia="en-GB"/>
              </w:rPr>
              <w:t xml:space="preserve">Total costs of audits launched </w:t>
            </w:r>
            <w:r w:rsidRPr="00B26E5E">
              <w:rPr>
                <w:rFonts w:eastAsia="Times New Roman" w:cs="Calibri"/>
                <w:i/>
                <w:iCs/>
                <w:color w:val="000000"/>
                <w:lang w:eastAsia="en-GB"/>
              </w:rPr>
              <w:t>(cumulative)</w:t>
            </w:r>
            <w:r w:rsidRPr="00B26E5E">
              <w:rPr>
                <w:rFonts w:eastAsia="Times New Roman" w:cs="Calibri"/>
                <w:color w:val="000000"/>
                <w:lang w:eastAsia="en-GB"/>
              </w:rPr>
              <w:t xml:space="preserve"> (in €) </w:t>
            </w:r>
            <w:r w:rsidRPr="00B26E5E">
              <w:rPr>
                <w:rFonts w:eastAsia="Times New Roman" w:cs="Calibri"/>
                <w:b/>
                <w:bCs/>
                <w:color w:val="000000"/>
                <w:lang w:eastAsia="en-GB"/>
              </w:rPr>
              <w:t>(B)</w:t>
            </w:r>
          </w:p>
        </w:tc>
        <w:tc>
          <w:tcPr>
            <w:tcW w:w="1400" w:type="dxa"/>
            <w:tcBorders>
              <w:top w:val="nil"/>
              <w:left w:val="nil"/>
              <w:bottom w:val="nil"/>
              <w:right w:val="nil"/>
            </w:tcBorders>
            <w:shd w:val="clear" w:color="auto" w:fill="auto"/>
            <w:vAlign w:val="center"/>
            <w:hideMark/>
          </w:tcPr>
          <w:p w14:paraId="554D010F" w14:textId="77777777" w:rsidR="00974B4D" w:rsidRPr="00B26E5E" w:rsidRDefault="00974B4D" w:rsidP="00DF2591">
            <w:pPr>
              <w:spacing w:after="0" w:line="240" w:lineRule="auto"/>
              <w:jc w:val="right"/>
              <w:rPr>
                <w:rFonts w:eastAsia="Times New Roman" w:cs="Calibri"/>
                <w:color w:val="000000"/>
                <w:lang w:eastAsia="en-GB"/>
              </w:rPr>
            </w:pPr>
            <w:r w:rsidRPr="00B26E5E">
              <w:rPr>
                <w:rFonts w:eastAsia="Times New Roman" w:cs="Calibri"/>
                <w:color w:val="000000"/>
                <w:lang w:eastAsia="en-GB"/>
              </w:rPr>
              <w:t>189,657,854</w:t>
            </w:r>
          </w:p>
        </w:tc>
        <w:tc>
          <w:tcPr>
            <w:tcW w:w="2040" w:type="dxa"/>
            <w:tcBorders>
              <w:top w:val="nil"/>
              <w:left w:val="nil"/>
              <w:bottom w:val="nil"/>
              <w:right w:val="nil"/>
            </w:tcBorders>
            <w:shd w:val="clear" w:color="auto" w:fill="auto"/>
            <w:vAlign w:val="center"/>
            <w:hideMark/>
          </w:tcPr>
          <w:p w14:paraId="062E7312" w14:textId="77777777" w:rsidR="00974B4D" w:rsidRPr="00B26E5E" w:rsidRDefault="00974B4D" w:rsidP="00DF2591">
            <w:pPr>
              <w:spacing w:after="0" w:line="240" w:lineRule="auto"/>
              <w:jc w:val="right"/>
              <w:rPr>
                <w:rFonts w:eastAsia="Times New Roman" w:cs="Calibri"/>
                <w:color w:val="000000"/>
                <w:lang w:eastAsia="en-GB"/>
              </w:rPr>
            </w:pPr>
          </w:p>
        </w:tc>
        <w:tc>
          <w:tcPr>
            <w:tcW w:w="1680" w:type="dxa"/>
            <w:tcBorders>
              <w:top w:val="nil"/>
              <w:left w:val="nil"/>
              <w:bottom w:val="nil"/>
              <w:right w:val="nil"/>
            </w:tcBorders>
            <w:shd w:val="clear" w:color="auto" w:fill="auto"/>
            <w:vAlign w:val="center"/>
            <w:hideMark/>
          </w:tcPr>
          <w:p w14:paraId="3F012C1E" w14:textId="77777777" w:rsidR="00974B4D" w:rsidRPr="00B26E5E" w:rsidRDefault="00974B4D" w:rsidP="00DF2591">
            <w:pPr>
              <w:spacing w:after="0" w:line="240" w:lineRule="auto"/>
              <w:rPr>
                <w:rFonts w:ascii="Times New Roman" w:eastAsia="Times New Roman" w:hAnsi="Times New Roman"/>
                <w:sz w:val="20"/>
                <w:szCs w:val="20"/>
                <w:lang w:eastAsia="en-GB"/>
              </w:rPr>
            </w:pPr>
          </w:p>
        </w:tc>
      </w:tr>
      <w:tr w:rsidR="00974B4D" w:rsidRPr="00B26E5E" w14:paraId="159EABC9" w14:textId="77777777" w:rsidTr="00DF2591">
        <w:trPr>
          <w:trHeight w:val="290"/>
        </w:trPr>
        <w:tc>
          <w:tcPr>
            <w:tcW w:w="6460" w:type="dxa"/>
            <w:gridSpan w:val="5"/>
            <w:tcBorders>
              <w:top w:val="nil"/>
              <w:left w:val="nil"/>
              <w:bottom w:val="nil"/>
              <w:right w:val="nil"/>
            </w:tcBorders>
            <w:shd w:val="clear" w:color="auto" w:fill="auto"/>
            <w:vAlign w:val="center"/>
            <w:hideMark/>
          </w:tcPr>
          <w:p w14:paraId="2AABE254" w14:textId="77777777" w:rsidR="00974B4D" w:rsidRPr="00B26E5E" w:rsidRDefault="00974B4D" w:rsidP="00DF2591">
            <w:pPr>
              <w:spacing w:after="0" w:line="240" w:lineRule="auto"/>
              <w:jc w:val="center"/>
              <w:rPr>
                <w:rFonts w:eastAsia="Times New Roman" w:cs="Calibri"/>
                <w:color w:val="000000"/>
                <w:lang w:eastAsia="en-GB"/>
              </w:rPr>
            </w:pPr>
            <w:r w:rsidRPr="00B26E5E">
              <w:rPr>
                <w:rFonts w:eastAsia="Times New Roman" w:cs="Calibri"/>
                <w:color w:val="000000"/>
                <w:lang w:eastAsia="en-GB"/>
              </w:rPr>
              <w:t xml:space="preserve">Total costs of audits finalised </w:t>
            </w:r>
            <w:r w:rsidRPr="00B26E5E">
              <w:rPr>
                <w:rFonts w:eastAsia="Times New Roman" w:cs="Calibri"/>
                <w:i/>
                <w:iCs/>
                <w:color w:val="000000"/>
                <w:lang w:eastAsia="en-GB"/>
              </w:rPr>
              <w:t>(cumulative)</w:t>
            </w:r>
            <w:r w:rsidRPr="00B26E5E">
              <w:rPr>
                <w:rFonts w:eastAsia="Times New Roman" w:cs="Calibri"/>
                <w:color w:val="000000"/>
                <w:lang w:eastAsia="en-GB"/>
              </w:rPr>
              <w:t xml:space="preserve"> (in €) </w:t>
            </w:r>
            <w:r w:rsidRPr="00B26E5E">
              <w:rPr>
                <w:rFonts w:eastAsia="Times New Roman" w:cs="Calibri"/>
                <w:b/>
                <w:bCs/>
                <w:color w:val="000000"/>
                <w:lang w:eastAsia="en-GB"/>
              </w:rPr>
              <w:t>(C)</w:t>
            </w:r>
          </w:p>
        </w:tc>
        <w:tc>
          <w:tcPr>
            <w:tcW w:w="1400" w:type="dxa"/>
            <w:tcBorders>
              <w:top w:val="nil"/>
              <w:left w:val="nil"/>
              <w:bottom w:val="nil"/>
              <w:right w:val="nil"/>
            </w:tcBorders>
            <w:shd w:val="clear" w:color="auto" w:fill="auto"/>
            <w:vAlign w:val="center"/>
            <w:hideMark/>
          </w:tcPr>
          <w:p w14:paraId="1F167A3F" w14:textId="77777777" w:rsidR="00974B4D" w:rsidRPr="00B26E5E" w:rsidRDefault="00974B4D" w:rsidP="00DF2591">
            <w:pPr>
              <w:spacing w:after="0" w:line="240" w:lineRule="auto"/>
              <w:jc w:val="right"/>
              <w:rPr>
                <w:rFonts w:eastAsia="Times New Roman" w:cs="Calibri"/>
                <w:color w:val="000000"/>
                <w:lang w:eastAsia="en-GB"/>
              </w:rPr>
            </w:pPr>
            <w:r w:rsidRPr="00B26E5E">
              <w:rPr>
                <w:rFonts w:eastAsia="Times New Roman" w:cs="Calibri"/>
                <w:color w:val="000000"/>
                <w:lang w:eastAsia="en-GB"/>
              </w:rPr>
              <w:t>189,657,854</w:t>
            </w:r>
          </w:p>
        </w:tc>
        <w:tc>
          <w:tcPr>
            <w:tcW w:w="2040" w:type="dxa"/>
            <w:tcBorders>
              <w:top w:val="nil"/>
              <w:left w:val="nil"/>
              <w:bottom w:val="nil"/>
              <w:right w:val="nil"/>
            </w:tcBorders>
            <w:shd w:val="clear" w:color="auto" w:fill="auto"/>
            <w:vAlign w:val="center"/>
            <w:hideMark/>
          </w:tcPr>
          <w:p w14:paraId="3C5C9289" w14:textId="77777777" w:rsidR="00974B4D" w:rsidRPr="00B26E5E" w:rsidRDefault="00974B4D" w:rsidP="00DF2591">
            <w:pPr>
              <w:spacing w:after="0" w:line="240" w:lineRule="auto"/>
              <w:jc w:val="right"/>
              <w:rPr>
                <w:rFonts w:eastAsia="Times New Roman" w:cs="Calibri"/>
                <w:color w:val="000000"/>
                <w:lang w:eastAsia="en-GB"/>
              </w:rPr>
            </w:pPr>
          </w:p>
        </w:tc>
        <w:tc>
          <w:tcPr>
            <w:tcW w:w="1680" w:type="dxa"/>
            <w:tcBorders>
              <w:top w:val="nil"/>
              <w:left w:val="nil"/>
              <w:bottom w:val="nil"/>
              <w:right w:val="nil"/>
            </w:tcBorders>
            <w:shd w:val="clear" w:color="auto" w:fill="auto"/>
            <w:vAlign w:val="center"/>
            <w:hideMark/>
          </w:tcPr>
          <w:p w14:paraId="466E6ED5" w14:textId="77777777" w:rsidR="00974B4D" w:rsidRPr="00B26E5E" w:rsidRDefault="00974B4D" w:rsidP="00DF2591">
            <w:pPr>
              <w:spacing w:after="0" w:line="240" w:lineRule="auto"/>
              <w:rPr>
                <w:rFonts w:ascii="Times New Roman" w:eastAsia="Times New Roman" w:hAnsi="Times New Roman"/>
                <w:sz w:val="20"/>
                <w:szCs w:val="20"/>
                <w:lang w:eastAsia="en-GB"/>
              </w:rPr>
            </w:pPr>
          </w:p>
        </w:tc>
      </w:tr>
      <w:tr w:rsidR="00974B4D" w:rsidRPr="00B26E5E" w14:paraId="2C04AD70" w14:textId="77777777" w:rsidTr="00DF2591">
        <w:trPr>
          <w:trHeight w:val="290"/>
        </w:trPr>
        <w:tc>
          <w:tcPr>
            <w:tcW w:w="6460" w:type="dxa"/>
            <w:gridSpan w:val="5"/>
            <w:tcBorders>
              <w:top w:val="nil"/>
              <w:left w:val="nil"/>
              <w:bottom w:val="nil"/>
              <w:right w:val="nil"/>
            </w:tcBorders>
            <w:shd w:val="clear" w:color="auto" w:fill="auto"/>
            <w:vAlign w:val="center"/>
            <w:hideMark/>
          </w:tcPr>
          <w:p w14:paraId="0330FFA9" w14:textId="77777777" w:rsidR="00974B4D" w:rsidRPr="00B26E5E" w:rsidRDefault="00974B4D" w:rsidP="00DF2591">
            <w:pPr>
              <w:spacing w:after="0" w:line="240" w:lineRule="auto"/>
              <w:jc w:val="center"/>
              <w:rPr>
                <w:rFonts w:eastAsia="Times New Roman" w:cs="Calibri"/>
                <w:color w:val="000000"/>
                <w:lang w:eastAsia="en-GB"/>
              </w:rPr>
            </w:pPr>
            <w:r w:rsidRPr="00B26E5E">
              <w:rPr>
                <w:rFonts w:eastAsia="Times New Roman" w:cs="Calibri"/>
                <w:color w:val="000000"/>
                <w:lang w:eastAsia="en-GB"/>
              </w:rPr>
              <w:t xml:space="preserve">Direct audit coverage of total audits (in %) </w:t>
            </w:r>
            <w:r w:rsidRPr="00B26E5E">
              <w:rPr>
                <w:rFonts w:eastAsia="Times New Roman" w:cs="Calibri"/>
                <w:b/>
                <w:bCs/>
                <w:color w:val="000000"/>
                <w:lang w:eastAsia="en-GB"/>
              </w:rPr>
              <w:t>(B/A)</w:t>
            </w:r>
          </w:p>
        </w:tc>
        <w:tc>
          <w:tcPr>
            <w:tcW w:w="1400" w:type="dxa"/>
            <w:tcBorders>
              <w:top w:val="nil"/>
              <w:left w:val="nil"/>
              <w:bottom w:val="nil"/>
              <w:right w:val="nil"/>
            </w:tcBorders>
            <w:shd w:val="clear" w:color="auto" w:fill="auto"/>
            <w:vAlign w:val="center"/>
            <w:hideMark/>
          </w:tcPr>
          <w:p w14:paraId="09CCAE5F" w14:textId="77777777" w:rsidR="00974B4D" w:rsidRPr="00B26E5E" w:rsidRDefault="00974B4D" w:rsidP="00DF2591">
            <w:pPr>
              <w:spacing w:after="0" w:line="240" w:lineRule="auto"/>
              <w:jc w:val="center"/>
              <w:rPr>
                <w:rFonts w:eastAsia="Times New Roman" w:cs="Calibri"/>
                <w:color w:val="000000"/>
                <w:lang w:eastAsia="en-GB"/>
              </w:rPr>
            </w:pPr>
            <w:r w:rsidRPr="00B26E5E">
              <w:rPr>
                <w:rFonts w:eastAsia="Times New Roman" w:cs="Calibri"/>
                <w:color w:val="000000"/>
                <w:lang w:eastAsia="en-GB"/>
              </w:rPr>
              <w:t>2</w:t>
            </w:r>
            <w:r>
              <w:rPr>
                <w:rFonts w:eastAsia="Times New Roman" w:cs="Calibri"/>
                <w:color w:val="000000"/>
                <w:lang w:eastAsia="en-GB"/>
              </w:rPr>
              <w:t>2</w:t>
            </w:r>
            <w:r w:rsidRPr="00B26E5E">
              <w:rPr>
                <w:rFonts w:eastAsia="Times New Roman" w:cs="Calibri"/>
                <w:color w:val="000000"/>
                <w:lang w:eastAsia="en-GB"/>
              </w:rPr>
              <w:t>%</w:t>
            </w:r>
          </w:p>
        </w:tc>
        <w:tc>
          <w:tcPr>
            <w:tcW w:w="2040" w:type="dxa"/>
            <w:tcBorders>
              <w:top w:val="nil"/>
              <w:left w:val="nil"/>
              <w:bottom w:val="nil"/>
              <w:right w:val="nil"/>
            </w:tcBorders>
            <w:shd w:val="clear" w:color="auto" w:fill="auto"/>
            <w:vAlign w:val="center"/>
            <w:hideMark/>
          </w:tcPr>
          <w:p w14:paraId="0C4A19EE" w14:textId="77777777" w:rsidR="00974B4D" w:rsidRPr="00B26E5E" w:rsidRDefault="00974B4D" w:rsidP="00DF2591">
            <w:pPr>
              <w:spacing w:after="0" w:line="240" w:lineRule="auto"/>
              <w:jc w:val="center"/>
              <w:rPr>
                <w:rFonts w:eastAsia="Times New Roman" w:cs="Calibri"/>
                <w:color w:val="000000"/>
                <w:lang w:eastAsia="en-GB"/>
              </w:rPr>
            </w:pPr>
          </w:p>
        </w:tc>
        <w:tc>
          <w:tcPr>
            <w:tcW w:w="1680" w:type="dxa"/>
            <w:tcBorders>
              <w:top w:val="nil"/>
              <w:left w:val="nil"/>
              <w:bottom w:val="nil"/>
              <w:right w:val="nil"/>
            </w:tcBorders>
            <w:shd w:val="clear" w:color="auto" w:fill="auto"/>
            <w:vAlign w:val="center"/>
            <w:hideMark/>
          </w:tcPr>
          <w:p w14:paraId="11D17866" w14:textId="77777777" w:rsidR="00974B4D" w:rsidRPr="00B26E5E" w:rsidRDefault="00974B4D" w:rsidP="00DF2591">
            <w:pPr>
              <w:spacing w:after="0" w:line="240" w:lineRule="auto"/>
              <w:rPr>
                <w:rFonts w:ascii="Times New Roman" w:eastAsia="Times New Roman" w:hAnsi="Times New Roman"/>
                <w:sz w:val="20"/>
                <w:szCs w:val="20"/>
                <w:lang w:eastAsia="en-GB"/>
              </w:rPr>
            </w:pPr>
          </w:p>
        </w:tc>
      </w:tr>
      <w:tr w:rsidR="00974B4D" w:rsidRPr="00B26E5E" w14:paraId="37B96FBB" w14:textId="77777777" w:rsidTr="00DF2591">
        <w:trPr>
          <w:trHeight w:val="290"/>
        </w:trPr>
        <w:tc>
          <w:tcPr>
            <w:tcW w:w="6460" w:type="dxa"/>
            <w:gridSpan w:val="5"/>
            <w:tcBorders>
              <w:top w:val="nil"/>
              <w:left w:val="nil"/>
              <w:bottom w:val="nil"/>
              <w:right w:val="nil"/>
            </w:tcBorders>
            <w:shd w:val="clear" w:color="auto" w:fill="auto"/>
            <w:vAlign w:val="center"/>
            <w:hideMark/>
          </w:tcPr>
          <w:p w14:paraId="4A7E601A" w14:textId="77777777" w:rsidR="00974B4D" w:rsidRPr="00B26E5E" w:rsidRDefault="00974B4D" w:rsidP="00DF2591">
            <w:pPr>
              <w:spacing w:after="0" w:line="240" w:lineRule="auto"/>
              <w:jc w:val="center"/>
              <w:rPr>
                <w:rFonts w:eastAsia="Times New Roman" w:cs="Calibri"/>
                <w:color w:val="000000"/>
                <w:lang w:eastAsia="en-GB"/>
              </w:rPr>
            </w:pPr>
            <w:r w:rsidRPr="00B26E5E">
              <w:rPr>
                <w:rFonts w:eastAsia="Times New Roman" w:cs="Calibri"/>
                <w:color w:val="000000"/>
                <w:lang w:eastAsia="en-GB"/>
              </w:rPr>
              <w:t xml:space="preserve">Direct audit coverage of finalised audits (in %) </w:t>
            </w:r>
            <w:r w:rsidRPr="00B26E5E">
              <w:rPr>
                <w:rFonts w:eastAsia="Times New Roman" w:cs="Calibri"/>
                <w:b/>
                <w:bCs/>
                <w:color w:val="000000"/>
                <w:lang w:eastAsia="en-GB"/>
              </w:rPr>
              <w:t>(C/A)</w:t>
            </w:r>
          </w:p>
        </w:tc>
        <w:tc>
          <w:tcPr>
            <w:tcW w:w="1400" w:type="dxa"/>
            <w:tcBorders>
              <w:top w:val="nil"/>
              <w:left w:val="nil"/>
              <w:bottom w:val="nil"/>
              <w:right w:val="nil"/>
            </w:tcBorders>
            <w:shd w:val="clear" w:color="auto" w:fill="auto"/>
            <w:vAlign w:val="center"/>
            <w:hideMark/>
          </w:tcPr>
          <w:p w14:paraId="6D39AB0C" w14:textId="77777777" w:rsidR="00974B4D" w:rsidRPr="00B26E5E" w:rsidRDefault="00974B4D" w:rsidP="00DF2591">
            <w:pPr>
              <w:spacing w:after="0" w:line="240" w:lineRule="auto"/>
              <w:jc w:val="center"/>
              <w:rPr>
                <w:rFonts w:eastAsia="Times New Roman" w:cs="Calibri"/>
                <w:color w:val="000000"/>
                <w:lang w:eastAsia="en-GB"/>
              </w:rPr>
            </w:pPr>
            <w:r w:rsidRPr="00B26E5E">
              <w:rPr>
                <w:rFonts w:eastAsia="Times New Roman" w:cs="Calibri"/>
                <w:color w:val="000000"/>
                <w:lang w:eastAsia="en-GB"/>
              </w:rPr>
              <w:t>2</w:t>
            </w:r>
            <w:r>
              <w:rPr>
                <w:rFonts w:eastAsia="Times New Roman" w:cs="Calibri"/>
                <w:color w:val="000000"/>
                <w:lang w:eastAsia="en-GB"/>
              </w:rPr>
              <w:t>2</w:t>
            </w:r>
            <w:r w:rsidRPr="00B26E5E">
              <w:rPr>
                <w:rFonts w:eastAsia="Times New Roman" w:cs="Calibri"/>
                <w:color w:val="000000"/>
                <w:lang w:eastAsia="en-GB"/>
              </w:rPr>
              <w:t>%</w:t>
            </w:r>
          </w:p>
        </w:tc>
        <w:tc>
          <w:tcPr>
            <w:tcW w:w="2040" w:type="dxa"/>
            <w:tcBorders>
              <w:top w:val="nil"/>
              <w:left w:val="nil"/>
              <w:bottom w:val="nil"/>
              <w:right w:val="nil"/>
            </w:tcBorders>
            <w:shd w:val="clear" w:color="auto" w:fill="auto"/>
            <w:vAlign w:val="center"/>
            <w:hideMark/>
          </w:tcPr>
          <w:p w14:paraId="5863D0E3" w14:textId="77777777" w:rsidR="00974B4D" w:rsidRPr="00B26E5E" w:rsidRDefault="00974B4D" w:rsidP="00DF2591">
            <w:pPr>
              <w:spacing w:after="0" w:line="240" w:lineRule="auto"/>
              <w:jc w:val="center"/>
              <w:rPr>
                <w:rFonts w:eastAsia="Times New Roman" w:cs="Calibri"/>
                <w:color w:val="000000"/>
                <w:lang w:eastAsia="en-GB"/>
              </w:rPr>
            </w:pPr>
          </w:p>
        </w:tc>
        <w:tc>
          <w:tcPr>
            <w:tcW w:w="1680" w:type="dxa"/>
            <w:tcBorders>
              <w:top w:val="nil"/>
              <w:left w:val="nil"/>
              <w:bottom w:val="nil"/>
              <w:right w:val="nil"/>
            </w:tcBorders>
            <w:shd w:val="clear" w:color="auto" w:fill="auto"/>
            <w:vAlign w:val="center"/>
            <w:hideMark/>
          </w:tcPr>
          <w:p w14:paraId="0851731A" w14:textId="77777777" w:rsidR="00974B4D" w:rsidRPr="00B26E5E" w:rsidRDefault="00974B4D" w:rsidP="00DF2591">
            <w:pPr>
              <w:spacing w:after="0" w:line="240" w:lineRule="auto"/>
              <w:rPr>
                <w:rFonts w:ascii="Times New Roman" w:eastAsia="Times New Roman" w:hAnsi="Times New Roman"/>
                <w:sz w:val="20"/>
                <w:szCs w:val="20"/>
                <w:lang w:eastAsia="en-GB"/>
              </w:rPr>
            </w:pPr>
          </w:p>
        </w:tc>
      </w:tr>
      <w:tr w:rsidR="00974B4D" w:rsidRPr="00B26E5E" w14:paraId="611C4EC0" w14:textId="77777777" w:rsidTr="00DF2591">
        <w:trPr>
          <w:trHeight w:val="290"/>
        </w:trPr>
        <w:tc>
          <w:tcPr>
            <w:tcW w:w="6460" w:type="dxa"/>
            <w:gridSpan w:val="5"/>
            <w:tcBorders>
              <w:top w:val="nil"/>
              <w:left w:val="nil"/>
              <w:bottom w:val="nil"/>
              <w:right w:val="nil"/>
            </w:tcBorders>
            <w:shd w:val="clear" w:color="auto" w:fill="auto"/>
            <w:vAlign w:val="center"/>
            <w:hideMark/>
          </w:tcPr>
          <w:p w14:paraId="6000371E" w14:textId="77777777" w:rsidR="00974B4D" w:rsidRPr="00B26E5E" w:rsidRDefault="00974B4D" w:rsidP="00DF2591">
            <w:pPr>
              <w:spacing w:after="0" w:line="240" w:lineRule="auto"/>
              <w:jc w:val="center"/>
              <w:rPr>
                <w:rFonts w:eastAsia="Times New Roman" w:cs="Calibri"/>
                <w:color w:val="000000"/>
                <w:lang w:eastAsia="en-GB"/>
              </w:rPr>
            </w:pPr>
            <w:r w:rsidRPr="00B26E5E">
              <w:rPr>
                <w:rFonts w:eastAsia="Times New Roman" w:cs="Calibri"/>
                <w:color w:val="000000"/>
                <w:lang w:eastAsia="en-GB"/>
              </w:rPr>
              <w:t xml:space="preserve">Total FCH JU beneficiaries </w:t>
            </w:r>
            <w:r w:rsidRPr="00B26E5E">
              <w:rPr>
                <w:rFonts w:eastAsia="Times New Roman" w:cs="Calibri"/>
                <w:b/>
                <w:bCs/>
                <w:color w:val="000000"/>
                <w:lang w:eastAsia="en-GB"/>
              </w:rPr>
              <w:t>(D)</w:t>
            </w:r>
          </w:p>
        </w:tc>
        <w:tc>
          <w:tcPr>
            <w:tcW w:w="1400" w:type="dxa"/>
            <w:tcBorders>
              <w:top w:val="nil"/>
              <w:left w:val="nil"/>
              <w:bottom w:val="nil"/>
              <w:right w:val="nil"/>
            </w:tcBorders>
            <w:shd w:val="clear" w:color="auto" w:fill="auto"/>
            <w:vAlign w:val="center"/>
            <w:hideMark/>
          </w:tcPr>
          <w:p w14:paraId="034F601B" w14:textId="77777777" w:rsidR="00974B4D" w:rsidRPr="00B26E5E" w:rsidRDefault="00974B4D" w:rsidP="00DF2591">
            <w:pPr>
              <w:spacing w:after="0" w:line="240" w:lineRule="auto"/>
              <w:jc w:val="center"/>
              <w:rPr>
                <w:rFonts w:eastAsia="Times New Roman" w:cs="Calibri"/>
                <w:color w:val="000000"/>
                <w:lang w:eastAsia="en-GB"/>
              </w:rPr>
            </w:pPr>
            <w:r w:rsidRPr="00B26E5E">
              <w:rPr>
                <w:rFonts w:eastAsia="Times New Roman" w:cs="Calibri"/>
                <w:color w:val="000000"/>
                <w:lang w:eastAsia="en-GB"/>
              </w:rPr>
              <w:t>561</w:t>
            </w:r>
          </w:p>
        </w:tc>
        <w:tc>
          <w:tcPr>
            <w:tcW w:w="2040" w:type="dxa"/>
            <w:tcBorders>
              <w:top w:val="nil"/>
              <w:left w:val="nil"/>
              <w:bottom w:val="nil"/>
              <w:right w:val="nil"/>
            </w:tcBorders>
            <w:shd w:val="clear" w:color="auto" w:fill="auto"/>
            <w:noWrap/>
            <w:vAlign w:val="bottom"/>
            <w:hideMark/>
          </w:tcPr>
          <w:p w14:paraId="172695FF" w14:textId="77777777" w:rsidR="00974B4D" w:rsidRPr="00B26E5E" w:rsidRDefault="00974B4D" w:rsidP="00DF2591">
            <w:pPr>
              <w:spacing w:after="0" w:line="240" w:lineRule="auto"/>
              <w:jc w:val="center"/>
              <w:rPr>
                <w:rFonts w:eastAsia="Times New Roman" w:cs="Calibri"/>
                <w:color w:val="000000"/>
                <w:lang w:eastAsia="en-GB"/>
              </w:rPr>
            </w:pPr>
          </w:p>
        </w:tc>
        <w:tc>
          <w:tcPr>
            <w:tcW w:w="1680" w:type="dxa"/>
            <w:tcBorders>
              <w:top w:val="nil"/>
              <w:left w:val="nil"/>
              <w:bottom w:val="nil"/>
              <w:right w:val="nil"/>
            </w:tcBorders>
            <w:shd w:val="clear" w:color="auto" w:fill="auto"/>
            <w:noWrap/>
            <w:vAlign w:val="bottom"/>
            <w:hideMark/>
          </w:tcPr>
          <w:p w14:paraId="3E55153B" w14:textId="77777777" w:rsidR="00974B4D" w:rsidRPr="00B26E5E" w:rsidRDefault="00974B4D" w:rsidP="00DF2591">
            <w:pPr>
              <w:spacing w:after="0" w:line="240" w:lineRule="auto"/>
              <w:rPr>
                <w:rFonts w:ascii="Times New Roman" w:eastAsia="Times New Roman" w:hAnsi="Times New Roman"/>
                <w:sz w:val="20"/>
                <w:szCs w:val="20"/>
                <w:lang w:eastAsia="en-GB"/>
              </w:rPr>
            </w:pPr>
          </w:p>
        </w:tc>
      </w:tr>
      <w:tr w:rsidR="00974B4D" w:rsidRPr="00B26E5E" w14:paraId="77D01F13" w14:textId="77777777" w:rsidTr="00DF2591">
        <w:trPr>
          <w:trHeight w:val="290"/>
        </w:trPr>
        <w:tc>
          <w:tcPr>
            <w:tcW w:w="6460" w:type="dxa"/>
            <w:gridSpan w:val="5"/>
            <w:tcBorders>
              <w:top w:val="nil"/>
              <w:left w:val="nil"/>
              <w:bottom w:val="nil"/>
              <w:right w:val="nil"/>
            </w:tcBorders>
            <w:shd w:val="clear" w:color="auto" w:fill="auto"/>
            <w:vAlign w:val="center"/>
            <w:hideMark/>
          </w:tcPr>
          <w:p w14:paraId="1605FF2F" w14:textId="77777777" w:rsidR="00974B4D" w:rsidRPr="00B26E5E" w:rsidRDefault="00974B4D" w:rsidP="00DF2591">
            <w:pPr>
              <w:spacing w:after="0" w:line="240" w:lineRule="auto"/>
              <w:jc w:val="center"/>
              <w:rPr>
                <w:rFonts w:eastAsia="Times New Roman" w:cs="Calibri"/>
                <w:color w:val="000000"/>
                <w:lang w:eastAsia="en-GB"/>
              </w:rPr>
            </w:pPr>
            <w:r w:rsidRPr="00B26E5E">
              <w:rPr>
                <w:rFonts w:eastAsia="Times New Roman" w:cs="Calibri"/>
                <w:color w:val="000000"/>
                <w:lang w:eastAsia="en-GB"/>
              </w:rPr>
              <w:t xml:space="preserve">FCH JU beneficiaries audited </w:t>
            </w:r>
            <w:r w:rsidRPr="00B26E5E">
              <w:rPr>
                <w:rFonts w:eastAsia="Times New Roman" w:cs="Calibri"/>
                <w:b/>
                <w:bCs/>
                <w:color w:val="000000"/>
                <w:lang w:eastAsia="en-GB"/>
              </w:rPr>
              <w:t>(E)</w:t>
            </w:r>
          </w:p>
        </w:tc>
        <w:tc>
          <w:tcPr>
            <w:tcW w:w="1400" w:type="dxa"/>
            <w:tcBorders>
              <w:top w:val="nil"/>
              <w:left w:val="nil"/>
              <w:bottom w:val="nil"/>
              <w:right w:val="nil"/>
            </w:tcBorders>
            <w:shd w:val="clear" w:color="auto" w:fill="auto"/>
            <w:vAlign w:val="center"/>
            <w:hideMark/>
          </w:tcPr>
          <w:p w14:paraId="7F1B62F8" w14:textId="77777777" w:rsidR="00974B4D" w:rsidRPr="00B26E5E" w:rsidRDefault="00974B4D" w:rsidP="00DF2591">
            <w:pPr>
              <w:spacing w:after="0" w:line="240" w:lineRule="auto"/>
              <w:jc w:val="center"/>
              <w:rPr>
                <w:rFonts w:eastAsia="Times New Roman" w:cs="Calibri"/>
                <w:color w:val="000000"/>
                <w:lang w:eastAsia="en-GB"/>
              </w:rPr>
            </w:pPr>
            <w:r w:rsidRPr="00B26E5E">
              <w:rPr>
                <w:rFonts w:eastAsia="Times New Roman" w:cs="Calibri"/>
                <w:color w:val="000000"/>
                <w:lang w:eastAsia="en-GB"/>
              </w:rPr>
              <w:t>14</w:t>
            </w:r>
            <w:r>
              <w:rPr>
                <w:rFonts w:eastAsia="Times New Roman" w:cs="Calibri"/>
                <w:color w:val="000000"/>
                <w:lang w:eastAsia="en-GB"/>
              </w:rPr>
              <w:t>2</w:t>
            </w:r>
          </w:p>
        </w:tc>
        <w:tc>
          <w:tcPr>
            <w:tcW w:w="2040" w:type="dxa"/>
            <w:tcBorders>
              <w:top w:val="nil"/>
              <w:left w:val="nil"/>
              <w:bottom w:val="nil"/>
              <w:right w:val="nil"/>
            </w:tcBorders>
            <w:shd w:val="clear" w:color="auto" w:fill="auto"/>
            <w:noWrap/>
            <w:vAlign w:val="bottom"/>
            <w:hideMark/>
          </w:tcPr>
          <w:p w14:paraId="58B0CD70" w14:textId="77777777" w:rsidR="00974B4D" w:rsidRPr="00B26E5E" w:rsidRDefault="00974B4D" w:rsidP="00DF2591">
            <w:pPr>
              <w:spacing w:after="0" w:line="240" w:lineRule="auto"/>
              <w:jc w:val="center"/>
              <w:rPr>
                <w:rFonts w:eastAsia="Times New Roman" w:cs="Calibri"/>
                <w:color w:val="000000"/>
                <w:lang w:eastAsia="en-GB"/>
              </w:rPr>
            </w:pPr>
          </w:p>
        </w:tc>
        <w:tc>
          <w:tcPr>
            <w:tcW w:w="1680" w:type="dxa"/>
            <w:tcBorders>
              <w:top w:val="nil"/>
              <w:left w:val="nil"/>
              <w:bottom w:val="nil"/>
              <w:right w:val="nil"/>
            </w:tcBorders>
            <w:shd w:val="clear" w:color="auto" w:fill="auto"/>
            <w:noWrap/>
            <w:vAlign w:val="bottom"/>
            <w:hideMark/>
          </w:tcPr>
          <w:p w14:paraId="11C61995" w14:textId="77777777" w:rsidR="00974B4D" w:rsidRPr="00B26E5E" w:rsidRDefault="00974B4D" w:rsidP="00DF2591">
            <w:pPr>
              <w:spacing w:after="0" w:line="240" w:lineRule="auto"/>
              <w:rPr>
                <w:rFonts w:ascii="Times New Roman" w:eastAsia="Times New Roman" w:hAnsi="Times New Roman"/>
                <w:sz w:val="20"/>
                <w:szCs w:val="20"/>
                <w:lang w:eastAsia="en-GB"/>
              </w:rPr>
            </w:pPr>
          </w:p>
        </w:tc>
      </w:tr>
      <w:tr w:rsidR="00974B4D" w:rsidRPr="00B26E5E" w14:paraId="42DD349E" w14:textId="77777777" w:rsidTr="00DF2591">
        <w:trPr>
          <w:trHeight w:val="290"/>
        </w:trPr>
        <w:tc>
          <w:tcPr>
            <w:tcW w:w="6460" w:type="dxa"/>
            <w:gridSpan w:val="5"/>
            <w:tcBorders>
              <w:top w:val="nil"/>
              <w:left w:val="nil"/>
              <w:bottom w:val="nil"/>
              <w:right w:val="nil"/>
            </w:tcBorders>
            <w:shd w:val="clear" w:color="auto" w:fill="auto"/>
            <w:vAlign w:val="center"/>
            <w:hideMark/>
          </w:tcPr>
          <w:p w14:paraId="064513B7" w14:textId="77777777" w:rsidR="00974B4D" w:rsidRPr="00B26E5E" w:rsidRDefault="00974B4D" w:rsidP="00DF2591">
            <w:pPr>
              <w:spacing w:after="0" w:line="240" w:lineRule="auto"/>
              <w:jc w:val="center"/>
              <w:rPr>
                <w:rFonts w:eastAsia="Times New Roman" w:cs="Calibri"/>
                <w:color w:val="000000"/>
                <w:lang w:eastAsia="en-GB"/>
              </w:rPr>
            </w:pPr>
            <w:r w:rsidRPr="00B26E5E">
              <w:rPr>
                <w:rFonts w:eastAsia="Times New Roman" w:cs="Calibri"/>
                <w:color w:val="000000"/>
                <w:lang w:eastAsia="en-GB"/>
              </w:rPr>
              <w:t xml:space="preserve">Audit coverage (number of benef.) of total audits (in %) </w:t>
            </w:r>
            <w:r w:rsidRPr="00B26E5E">
              <w:rPr>
                <w:rFonts w:eastAsia="Times New Roman" w:cs="Calibri"/>
                <w:b/>
                <w:bCs/>
                <w:color w:val="000000"/>
                <w:lang w:eastAsia="en-GB"/>
              </w:rPr>
              <w:t>(E/D)</w:t>
            </w:r>
          </w:p>
        </w:tc>
        <w:tc>
          <w:tcPr>
            <w:tcW w:w="1400" w:type="dxa"/>
            <w:tcBorders>
              <w:top w:val="nil"/>
              <w:left w:val="nil"/>
              <w:bottom w:val="nil"/>
              <w:right w:val="nil"/>
            </w:tcBorders>
            <w:shd w:val="clear" w:color="auto" w:fill="auto"/>
            <w:vAlign w:val="center"/>
            <w:hideMark/>
          </w:tcPr>
          <w:p w14:paraId="2312180B" w14:textId="77777777" w:rsidR="00974B4D" w:rsidRPr="00B26E5E" w:rsidRDefault="00974B4D" w:rsidP="00DF2591">
            <w:pPr>
              <w:spacing w:after="0" w:line="240" w:lineRule="auto"/>
              <w:jc w:val="center"/>
              <w:rPr>
                <w:rFonts w:eastAsia="Times New Roman" w:cs="Calibri"/>
                <w:color w:val="000000"/>
                <w:lang w:eastAsia="en-GB"/>
              </w:rPr>
            </w:pPr>
            <w:r w:rsidRPr="00B26E5E">
              <w:rPr>
                <w:rFonts w:eastAsia="Times New Roman" w:cs="Calibri"/>
                <w:color w:val="000000"/>
                <w:lang w:eastAsia="en-GB"/>
              </w:rPr>
              <w:t>25%</w:t>
            </w:r>
          </w:p>
        </w:tc>
        <w:tc>
          <w:tcPr>
            <w:tcW w:w="2040" w:type="dxa"/>
            <w:tcBorders>
              <w:top w:val="nil"/>
              <w:left w:val="nil"/>
              <w:bottom w:val="nil"/>
              <w:right w:val="nil"/>
            </w:tcBorders>
            <w:shd w:val="clear" w:color="auto" w:fill="auto"/>
            <w:noWrap/>
            <w:vAlign w:val="bottom"/>
            <w:hideMark/>
          </w:tcPr>
          <w:p w14:paraId="08311931" w14:textId="77777777" w:rsidR="00974B4D" w:rsidRPr="00B26E5E" w:rsidRDefault="00974B4D" w:rsidP="00DF2591">
            <w:pPr>
              <w:spacing w:after="0" w:line="240" w:lineRule="auto"/>
              <w:jc w:val="center"/>
              <w:rPr>
                <w:rFonts w:eastAsia="Times New Roman" w:cs="Calibri"/>
                <w:color w:val="000000"/>
                <w:lang w:eastAsia="en-GB"/>
              </w:rPr>
            </w:pPr>
          </w:p>
        </w:tc>
        <w:tc>
          <w:tcPr>
            <w:tcW w:w="1680" w:type="dxa"/>
            <w:tcBorders>
              <w:top w:val="nil"/>
              <w:left w:val="nil"/>
              <w:bottom w:val="nil"/>
              <w:right w:val="nil"/>
            </w:tcBorders>
            <w:shd w:val="clear" w:color="auto" w:fill="auto"/>
            <w:noWrap/>
            <w:vAlign w:val="bottom"/>
            <w:hideMark/>
          </w:tcPr>
          <w:p w14:paraId="5EA0334F" w14:textId="77777777" w:rsidR="00974B4D" w:rsidRPr="00B26E5E" w:rsidRDefault="00974B4D" w:rsidP="00DF2591">
            <w:pPr>
              <w:spacing w:after="0" w:line="240" w:lineRule="auto"/>
              <w:rPr>
                <w:rFonts w:ascii="Times New Roman" w:eastAsia="Times New Roman" w:hAnsi="Times New Roman"/>
                <w:sz w:val="20"/>
                <w:szCs w:val="20"/>
                <w:lang w:eastAsia="en-GB"/>
              </w:rPr>
            </w:pPr>
          </w:p>
        </w:tc>
      </w:tr>
    </w:tbl>
    <w:p w14:paraId="3B385FD9" w14:textId="77777777" w:rsidR="00974B4D" w:rsidRDefault="00974B4D" w:rsidP="00974B4D">
      <w:pPr>
        <w:ind w:left="10" w:right="18"/>
        <w:jc w:val="both"/>
        <w:rPr>
          <w:b/>
        </w:rPr>
      </w:pPr>
    </w:p>
    <w:p w14:paraId="7CC1E87C" w14:textId="77777777" w:rsidR="00974B4D" w:rsidRDefault="00974B4D" w:rsidP="00974B4D">
      <w:pPr>
        <w:ind w:left="10" w:right="18"/>
        <w:jc w:val="both"/>
      </w:pPr>
      <w:r>
        <w:rPr>
          <w:b/>
        </w:rPr>
        <w:t>In conclusion</w:t>
      </w:r>
      <w:r>
        <w:t>, for the whole Programme FP7, 145 ex-post audits have been launched of which 120 were representative and 25 risk-based, covering in total EUR 189.66 million of accepted costs declared by the beneficiaries, with an average sum of EUR 1.31 million of accepted costs per individual audit.</w:t>
      </w:r>
    </w:p>
    <w:p w14:paraId="3600E963" w14:textId="77777777" w:rsidR="00974B4D" w:rsidRDefault="00974B4D" w:rsidP="00974B4D">
      <w:pPr>
        <w:ind w:left="10" w:right="18"/>
        <w:jc w:val="both"/>
      </w:pPr>
      <w:r w:rsidRPr="00091714">
        <w:lastRenderedPageBreak/>
        <w:t>This resulted in direct audit coverage of 2</w:t>
      </w:r>
      <w:r>
        <w:t>5</w:t>
      </w:r>
      <w:r w:rsidRPr="00091714">
        <w:t xml:space="preserve"> %, from all validated costs claims by the FCH for all 155 projects totalling EUR </w:t>
      </w:r>
      <w:r w:rsidRPr="00C30BB6">
        <w:t xml:space="preserve">852.33 million since the beginning of the FP7 Programme (as </w:t>
      </w:r>
      <w:proofErr w:type="gramStart"/>
      <w:r w:rsidRPr="00C30BB6">
        <w:t>at</w:t>
      </w:r>
      <w:proofErr w:type="gramEnd"/>
      <w:r w:rsidRPr="00C30BB6" w:rsidDel="003350BB">
        <w:t xml:space="preserve"> </w:t>
      </w:r>
      <w:r w:rsidRPr="00C30BB6">
        <w:t>31 December 2021).</w:t>
      </w:r>
    </w:p>
    <w:p w14:paraId="5C065D0B" w14:textId="77777777" w:rsidR="00974B4D" w:rsidRDefault="00974B4D" w:rsidP="00974B4D">
      <w:pPr>
        <w:spacing w:after="215" w:line="259" w:lineRule="auto"/>
        <w:ind w:left="2" w:hanging="10"/>
        <w:jc w:val="both"/>
      </w:pPr>
      <w:r w:rsidRPr="00882761">
        <w:rPr>
          <w:i/>
          <w:color w:val="3A5FAC"/>
        </w:rPr>
        <w:t>Ex</w:t>
      </w:r>
      <w:r>
        <w:rPr>
          <w:i/>
          <w:color w:val="3A5FAC"/>
        </w:rPr>
        <w:t>-</w:t>
      </w:r>
      <w:r w:rsidRPr="00882761">
        <w:rPr>
          <w:i/>
          <w:color w:val="3A5FAC"/>
        </w:rPr>
        <w:t>post</w:t>
      </w:r>
      <w:r>
        <w:rPr>
          <w:color w:val="3A5FAC"/>
        </w:rPr>
        <w:t xml:space="preserve"> audits – error rates</w:t>
      </w:r>
    </w:p>
    <w:p w14:paraId="7B2C6647" w14:textId="77777777" w:rsidR="00974B4D" w:rsidRDefault="00974B4D" w:rsidP="00974B4D">
      <w:pPr>
        <w:ind w:left="10" w:right="18"/>
        <w:jc w:val="both"/>
      </w:pPr>
      <w:r w:rsidRPr="00091714">
        <w:t>The error rates resulting from the 145 finalised audits are as follows:</w:t>
      </w:r>
    </w:p>
    <w:p w14:paraId="715CB896" w14:textId="77777777" w:rsidR="00974B4D" w:rsidRDefault="00974B4D" w:rsidP="00974B4D">
      <w:pPr>
        <w:tabs>
          <w:tab w:val="left" w:pos="5415"/>
        </w:tabs>
        <w:ind w:left="10" w:right="18"/>
        <w:jc w:val="both"/>
      </w:pPr>
      <w:r>
        <w:t>R</w:t>
      </w:r>
      <w:r w:rsidRPr="008B64AE">
        <w:t>epresentative error rate on the FCH contribution</w:t>
      </w:r>
      <w:r>
        <w:t>:</w:t>
      </w:r>
      <w:r>
        <w:tab/>
        <w:t xml:space="preserve"> -1.97%</w:t>
      </w:r>
    </w:p>
    <w:p w14:paraId="0D224A02" w14:textId="77777777" w:rsidR="00974B4D" w:rsidRPr="001B0E42" w:rsidRDefault="00974B4D" w:rsidP="00974B4D">
      <w:pPr>
        <w:ind w:left="10" w:right="18"/>
        <w:jc w:val="both"/>
        <w:rPr>
          <w:b/>
        </w:rPr>
      </w:pPr>
      <w:r w:rsidRPr="001B0E42">
        <w:rPr>
          <w:b/>
        </w:rPr>
        <w:t>Residual error rate on the FCH contribution:</w:t>
      </w:r>
      <w:r w:rsidRPr="001B0E42">
        <w:rPr>
          <w:b/>
        </w:rPr>
        <w:tab/>
      </w:r>
      <w:r w:rsidRPr="001B0E42">
        <w:rPr>
          <w:b/>
        </w:rPr>
        <w:tab/>
        <w:t xml:space="preserve">         </w:t>
      </w:r>
      <w:r w:rsidRPr="00C30BB6">
        <w:rPr>
          <w:b/>
        </w:rPr>
        <w:t>-1.11%</w:t>
      </w:r>
    </w:p>
    <w:bookmarkEnd w:id="186"/>
    <w:p w14:paraId="777DD769" w14:textId="77777777" w:rsidR="00974B4D" w:rsidRDefault="00974B4D" w:rsidP="00974B4D">
      <w:pPr>
        <w:ind w:left="10" w:right="18"/>
        <w:jc w:val="both"/>
      </w:pPr>
      <w:r>
        <w:t xml:space="preserve"> </w:t>
      </w:r>
      <w:r>
        <w:rPr>
          <w:color w:val="3A5FAC"/>
        </w:rPr>
        <w:t>Implementation of audit results</w:t>
      </w:r>
    </w:p>
    <w:p w14:paraId="31BDC930" w14:textId="131050D1" w:rsidR="00974B4D" w:rsidRDefault="00974B4D" w:rsidP="00974B4D">
      <w:pPr>
        <w:ind w:left="10" w:right="18"/>
        <w:jc w:val="both"/>
      </w:pPr>
      <w:r>
        <w:t>The JU has implemented the necessary controls and monitoring mechanisms to ensure that all errors detected in favour of the JU are corrected in due course (either through a recovery order or by offsetting a future payment).</w:t>
      </w:r>
    </w:p>
    <w:p w14:paraId="58DBFB98" w14:textId="77777777" w:rsidR="00974B4D" w:rsidRDefault="00974B4D" w:rsidP="00974B4D">
      <w:pPr>
        <w:ind w:right="18"/>
        <w:jc w:val="both"/>
      </w:pPr>
      <w:r>
        <w:t xml:space="preserve">Since the last FP7 audits were finalised in the end of the year 2020, implementation of the audit results was still ongoing in 2021 in line with the implementation rules and legal deadlines for the FP7 programme. </w:t>
      </w:r>
    </w:p>
    <w:p w14:paraId="0A4FE92A" w14:textId="366BF9F1" w:rsidR="00974B4D" w:rsidRDefault="00974B4D" w:rsidP="00974B4D">
      <w:pPr>
        <w:ind w:right="18"/>
        <w:jc w:val="both"/>
      </w:pPr>
      <w:r w:rsidRPr="004661AB">
        <w:t xml:space="preserve">As </w:t>
      </w:r>
      <w:proofErr w:type="gramStart"/>
      <w:r w:rsidRPr="004661AB">
        <w:t>at</w:t>
      </w:r>
      <w:proofErr w:type="gramEnd"/>
      <w:r w:rsidRPr="004661AB">
        <w:t xml:space="preserve"> 31 December 2021, JU has cumulatively implemented positive adjustments on JU contribution at the amount of EUR 2.24 million, stemming from the results of 145 FP 7 ex-post audits.</w:t>
      </w:r>
    </w:p>
    <w:p w14:paraId="36B095CC" w14:textId="77777777" w:rsidR="00974B4D" w:rsidRDefault="00974B4D" w:rsidP="00974B4D">
      <w:pPr>
        <w:ind w:left="10" w:right="18"/>
        <w:jc w:val="both"/>
      </w:pPr>
      <w:r>
        <w:rPr>
          <w:color w:val="3A5FAC"/>
        </w:rPr>
        <w:t>Implementation of extrapolation/’extension of audit findings’</w:t>
      </w:r>
    </w:p>
    <w:p w14:paraId="2F6F8D06" w14:textId="676074EE" w:rsidR="00974B4D" w:rsidRDefault="00974B4D" w:rsidP="00974B4D">
      <w:pPr>
        <w:ind w:left="10" w:right="18"/>
        <w:jc w:val="both"/>
      </w:pPr>
      <w:r>
        <w:t>Extension of the audit findings (formerly known as ‘extrapolation’) is the process whereby ‘systematic’ errors detected in audited cost claims are ‘extrapolated’ to all other non-audited JU claims from the same audited beneficiary. The timely implementation of extension of audit findings relies on beneficiaries preparing and submitting revised cost claims from which the effect of any systematic error(s) detected in audits has been eradicated.</w:t>
      </w:r>
    </w:p>
    <w:p w14:paraId="6581F7D1" w14:textId="77777777" w:rsidR="00974B4D" w:rsidRDefault="00974B4D" w:rsidP="00974B4D">
      <w:pPr>
        <w:ind w:left="10" w:right="18"/>
        <w:jc w:val="both"/>
      </w:pPr>
      <w:r>
        <w:t>The overall situation on the implementation of the extension of audit findings in the FP7 programme, is the following:</w:t>
      </w:r>
    </w:p>
    <w:p w14:paraId="460D088F" w14:textId="77777777" w:rsidR="00974B4D" w:rsidRDefault="00974B4D" w:rsidP="002672A0">
      <w:pPr>
        <w:pStyle w:val="ListParagraph"/>
        <w:numPr>
          <w:ilvl w:val="0"/>
          <w:numId w:val="34"/>
        </w:numPr>
        <w:ind w:right="18"/>
        <w:jc w:val="both"/>
      </w:pPr>
      <w:r>
        <w:t xml:space="preserve">From 145 finalised FP7 audits, 44 audits (81 projects) were concerned by extrapolation (30%), in other words, one out of 3 audits included findings of potentially systemic </w:t>
      </w:r>
      <w:proofErr w:type="gramStart"/>
      <w:r>
        <w:t>nature;</w:t>
      </w:r>
      <w:proofErr w:type="gramEnd"/>
    </w:p>
    <w:p w14:paraId="7D0E248C" w14:textId="7A72BB41" w:rsidR="00974B4D" w:rsidRDefault="00974B4D" w:rsidP="002672A0">
      <w:pPr>
        <w:pStyle w:val="ListParagraph"/>
        <w:numPr>
          <w:ilvl w:val="0"/>
          <w:numId w:val="34"/>
        </w:numPr>
        <w:ind w:right="18"/>
        <w:jc w:val="both"/>
      </w:pPr>
      <w:r>
        <w:t>As part of the FP7 audit engagements with the external audit firms, all the cost claims potentially impacted by the extrapolation were assessed by the audit firm and the results were presented to JU for the implementation.</w:t>
      </w:r>
    </w:p>
    <w:p w14:paraId="711CC4DC" w14:textId="38210515" w:rsidR="00D261EB" w:rsidRDefault="00D261EB" w:rsidP="00D261EB">
      <w:pPr>
        <w:ind w:right="18"/>
        <w:jc w:val="both"/>
      </w:pPr>
    </w:p>
    <w:p w14:paraId="7E29D478" w14:textId="77777777" w:rsidR="00D261EB" w:rsidRDefault="00D261EB" w:rsidP="00D261EB">
      <w:pPr>
        <w:spacing w:after="479" w:line="237" w:lineRule="auto"/>
        <w:ind w:left="2" w:hanging="10"/>
        <w:jc w:val="both"/>
        <w:rPr>
          <w:b/>
        </w:rPr>
      </w:pPr>
      <w:r w:rsidRPr="005E7D4A">
        <w:rPr>
          <w:b/>
        </w:rPr>
        <w:t>ECA audits</w:t>
      </w:r>
    </w:p>
    <w:p w14:paraId="25C8F3A9" w14:textId="77777777" w:rsidR="00D261EB" w:rsidRDefault="00D261EB" w:rsidP="00D261EB">
      <w:pPr>
        <w:spacing w:after="479" w:line="237" w:lineRule="auto"/>
        <w:ind w:left="2" w:hanging="10"/>
        <w:jc w:val="both"/>
      </w:pPr>
      <w:r>
        <w:t xml:space="preserve">In 2020, the ECA started to perform additional systems testing at the relevant JU. </w:t>
      </w:r>
    </w:p>
    <w:p w14:paraId="29385BCF" w14:textId="77777777" w:rsidR="00D261EB" w:rsidRDefault="00D261EB" w:rsidP="00D261EB">
      <w:pPr>
        <w:spacing w:after="479" w:line="237" w:lineRule="auto"/>
        <w:ind w:left="2" w:hanging="10"/>
        <w:jc w:val="both"/>
      </w:pPr>
      <w:r>
        <w:lastRenderedPageBreak/>
        <w:t xml:space="preserve">This additional testing, based on a MUS sample of 30 transactions should provide the additional assurance required to assess the implementation of H2020 and FP7 projects, and ensure the quality of the audit opinion, in line with auditing standards. In view of COVID-19 situation, and to ensure the efficient use of audit resources, ECA have requested that the necessary supporting documents be provided by the JU or final beneficiary, to perform desk reviews, rather than on-site visits. </w:t>
      </w:r>
    </w:p>
    <w:p w14:paraId="7226DDA0" w14:textId="77777777" w:rsidR="00D261EB" w:rsidRDefault="00D261EB" w:rsidP="00D261EB">
      <w:pPr>
        <w:spacing w:after="479" w:line="237" w:lineRule="auto"/>
        <w:ind w:left="2" w:hanging="10"/>
        <w:jc w:val="both"/>
      </w:pPr>
      <w:r>
        <w:t xml:space="preserve">In respect of the individual discharge for each of the JUs, ECA will continue to provide each JU with a separate audit opinion. </w:t>
      </w:r>
    </w:p>
    <w:p w14:paraId="581143A0" w14:textId="77777777" w:rsidR="00D261EB" w:rsidRDefault="00D261EB" w:rsidP="00D261EB">
      <w:pPr>
        <w:spacing w:after="479" w:line="237" w:lineRule="auto"/>
        <w:ind w:left="2" w:hanging="10"/>
        <w:jc w:val="both"/>
      </w:pPr>
      <w:r>
        <w:t xml:space="preserve">The opinion on the legality and regularity of underlying transactions will be assessed separately </w:t>
      </w:r>
      <w:proofErr w:type="gramStart"/>
      <w:r>
        <w:t>taking into account</w:t>
      </w:r>
      <w:proofErr w:type="gramEnd"/>
      <w:r>
        <w:t xml:space="preserve"> the following elements:</w:t>
      </w:r>
    </w:p>
    <w:p w14:paraId="295C3EBF" w14:textId="77777777" w:rsidR="00D261EB" w:rsidRDefault="00D261EB" w:rsidP="00D261EB">
      <w:pPr>
        <w:spacing w:after="479" w:line="237" w:lineRule="auto"/>
        <w:ind w:left="2" w:hanging="10"/>
        <w:jc w:val="both"/>
      </w:pPr>
      <w:r>
        <w:t xml:space="preserve"> - the JU individual error rate of the ex-post </w:t>
      </w:r>
      <w:proofErr w:type="gramStart"/>
      <w:r>
        <w:t>audits;</w:t>
      </w:r>
      <w:proofErr w:type="gramEnd"/>
      <w:r>
        <w:t xml:space="preserve"> </w:t>
      </w:r>
    </w:p>
    <w:p w14:paraId="52DFF542" w14:textId="77777777" w:rsidR="00D261EB" w:rsidRDefault="00D261EB" w:rsidP="00D261EB">
      <w:pPr>
        <w:spacing w:after="479" w:line="237" w:lineRule="auto"/>
        <w:ind w:left="2" w:hanging="10"/>
        <w:jc w:val="both"/>
      </w:pPr>
      <w:r>
        <w:t xml:space="preserve">- the common error rate based on the results of our substantive </w:t>
      </w:r>
      <w:proofErr w:type="gramStart"/>
      <w:r>
        <w:t>testing;</w:t>
      </w:r>
      <w:proofErr w:type="gramEnd"/>
      <w:r>
        <w:t xml:space="preserve"> </w:t>
      </w:r>
    </w:p>
    <w:p w14:paraId="74D0D6F1" w14:textId="77777777" w:rsidR="00D261EB" w:rsidRDefault="00D261EB" w:rsidP="00D261EB">
      <w:pPr>
        <w:spacing w:after="479" w:line="237" w:lineRule="auto"/>
        <w:ind w:left="2" w:hanging="10"/>
        <w:jc w:val="both"/>
      </w:pPr>
      <w:r>
        <w:t xml:space="preserve">- the error rate related to the transactions of a specific JU within our substantive testing; and </w:t>
      </w:r>
    </w:p>
    <w:p w14:paraId="0AD2BFF5" w14:textId="77777777" w:rsidR="00D261EB" w:rsidRDefault="00D261EB" w:rsidP="00D261EB">
      <w:pPr>
        <w:spacing w:after="479" w:line="237" w:lineRule="auto"/>
        <w:ind w:left="2" w:hanging="10"/>
        <w:jc w:val="both"/>
      </w:pPr>
      <w:r>
        <w:t>- the correctness of the calculation of the residual error rate reported by the JUs, based on the ex-post audit results for their grant payments.</w:t>
      </w:r>
    </w:p>
    <w:p w14:paraId="521ADCC4" w14:textId="1E86A2ED" w:rsidR="00D261EB" w:rsidRDefault="00D261EB" w:rsidP="00D261EB">
      <w:pPr>
        <w:spacing w:after="479" w:line="237" w:lineRule="auto"/>
        <w:ind w:left="2" w:hanging="10"/>
        <w:jc w:val="both"/>
      </w:pPr>
      <w:r w:rsidRPr="00104962">
        <w:rPr>
          <w:b/>
          <w:bCs/>
        </w:rPr>
        <w:t>In 202</w:t>
      </w:r>
      <w:r w:rsidR="00104962" w:rsidRPr="00104962">
        <w:rPr>
          <w:b/>
          <w:bCs/>
        </w:rPr>
        <w:t>1</w:t>
      </w:r>
      <w:r w:rsidR="00104962">
        <w:rPr>
          <w:b/>
          <w:bCs/>
        </w:rPr>
        <w:t xml:space="preserve"> and early in 2022</w:t>
      </w:r>
      <w:r>
        <w:t xml:space="preserve">, ECA has selected and reviewed 4 transactions (out of 30) from </w:t>
      </w:r>
      <w:r w:rsidR="00104962">
        <w:t>JU</w:t>
      </w:r>
      <w:r>
        <w:t xml:space="preserve"> participations </w:t>
      </w:r>
      <w:r w:rsidR="00104962">
        <w:t>validated in 2021</w:t>
      </w:r>
      <w:r>
        <w:t xml:space="preserve">. </w:t>
      </w:r>
    </w:p>
    <w:p w14:paraId="2C751325" w14:textId="77777777" w:rsidR="00D261EB" w:rsidRDefault="00D261EB" w:rsidP="00D261EB">
      <w:pPr>
        <w:spacing w:after="479" w:line="237" w:lineRule="auto"/>
        <w:ind w:left="2" w:hanging="10"/>
        <w:jc w:val="both"/>
        <w:rPr>
          <w:b/>
        </w:rPr>
      </w:pPr>
      <w:r w:rsidRPr="00391729">
        <w:rPr>
          <w:b/>
        </w:rPr>
        <w:t>COVID-19 considerations in H2020 ex-post audits</w:t>
      </w:r>
    </w:p>
    <w:p w14:paraId="577021EE" w14:textId="03D8CDFC" w:rsidR="00974B4D" w:rsidRPr="00896AB4" w:rsidRDefault="00D261EB" w:rsidP="00104962">
      <w:pPr>
        <w:spacing w:after="479" w:line="237" w:lineRule="auto"/>
        <w:ind w:left="2" w:hanging="10"/>
        <w:jc w:val="both"/>
        <w:rPr>
          <w:rFonts w:asciiTheme="minorHAnsi" w:hAnsiTheme="minorHAnsi"/>
        </w:rPr>
      </w:pPr>
      <w:r w:rsidRPr="00391729">
        <w:t>As a result of the COVID-19 pandemic crisis and related travel limitations during 2020</w:t>
      </w:r>
      <w:r w:rsidR="00104962">
        <w:t xml:space="preserve"> and in 2021</w:t>
      </w:r>
      <w:r w:rsidRPr="00391729">
        <w:t xml:space="preserve">, the Common Audit Service (CAS) – in line with the instructions of the Commission – had to postpone on-the-spot missions until further notice. To minimise the impact of COVID-19 on the implementation of the audit campaign, the CAS converted traditional in-house audit assignments into desk </w:t>
      </w:r>
      <w:r>
        <w:t>reviews</w:t>
      </w:r>
      <w:r w:rsidRPr="00391729">
        <w:t xml:space="preserve">, in line with international best practice and auditing standards. Regarding outsourced audits, the CAS instructed the audit firms to perform remotely the maximum possible amount of audit tests while complementing those with on-the-spot audit missions once travel restrictions were eased. </w:t>
      </w:r>
    </w:p>
    <w:p w14:paraId="5B843ECB" w14:textId="77777777" w:rsidR="00375B8D" w:rsidRPr="00896AB4" w:rsidRDefault="008154CC" w:rsidP="00864737">
      <w:pPr>
        <w:pStyle w:val="Heading3"/>
        <w:numPr>
          <w:ilvl w:val="1"/>
          <w:numId w:val="1"/>
        </w:numPr>
        <w:jc w:val="both"/>
        <w:rPr>
          <w:rFonts w:asciiTheme="minorHAnsi" w:hAnsiTheme="minorHAnsi"/>
        </w:rPr>
      </w:pPr>
      <w:r>
        <w:rPr>
          <w:rFonts w:asciiTheme="minorHAnsi" w:hAnsiTheme="minorHAnsi"/>
        </w:rPr>
        <w:t xml:space="preserve"> </w:t>
      </w:r>
      <w:bookmarkStart w:id="187" w:name="_Toc98496369"/>
      <w:bookmarkStart w:id="188" w:name="_Toc101516089"/>
      <w:r w:rsidR="004E576F" w:rsidRPr="00896AB4">
        <w:rPr>
          <w:rFonts w:asciiTheme="minorHAnsi" w:hAnsiTheme="minorHAnsi"/>
        </w:rPr>
        <w:t>Audit of the European Court of Auditors</w:t>
      </w:r>
      <w:bookmarkEnd w:id="187"/>
      <w:bookmarkEnd w:id="188"/>
      <w:r w:rsidR="004E576F" w:rsidRPr="00896AB4">
        <w:rPr>
          <w:rFonts w:asciiTheme="minorHAnsi" w:hAnsiTheme="minorHAnsi"/>
        </w:rPr>
        <w:t xml:space="preserve"> </w:t>
      </w:r>
    </w:p>
    <w:p w14:paraId="12125742" w14:textId="64AA41BC" w:rsidR="00CF6773" w:rsidRDefault="00CF6773" w:rsidP="00641434">
      <w:pPr>
        <w:ind w:left="720"/>
        <w:jc w:val="both"/>
        <w:rPr>
          <w:rFonts w:asciiTheme="minorHAnsi" w:hAnsiTheme="minorHAnsi"/>
          <w:color w:val="0070C0"/>
        </w:rPr>
      </w:pPr>
    </w:p>
    <w:p w14:paraId="4699A079" w14:textId="63CBD046" w:rsidR="00CF6773" w:rsidRDefault="00CF6773" w:rsidP="00CF6773">
      <w:pPr>
        <w:ind w:left="10" w:right="18"/>
      </w:pPr>
      <w:r>
        <w:t>In 2021, the JU:</w:t>
      </w:r>
    </w:p>
    <w:p w14:paraId="0EAE2AEF" w14:textId="6ECCBFD2" w:rsidR="00CF6773" w:rsidRDefault="00CF6773" w:rsidP="002672A0">
      <w:pPr>
        <w:numPr>
          <w:ilvl w:val="0"/>
          <w:numId w:val="43"/>
        </w:numPr>
        <w:spacing w:after="231" w:line="247" w:lineRule="auto"/>
        <w:ind w:right="18"/>
        <w:jc w:val="both"/>
      </w:pPr>
      <w:r>
        <w:t xml:space="preserve">Continued its cooperation with an independent auditor to audit </w:t>
      </w:r>
      <w:r w:rsidR="00104962">
        <w:t>JU</w:t>
      </w:r>
      <w:r>
        <w:t xml:space="preserve"> accounts, as required by the </w:t>
      </w:r>
      <w:r w:rsidR="00104962">
        <w:t>JU</w:t>
      </w:r>
      <w:r>
        <w:t xml:space="preserve"> financial </w:t>
      </w:r>
      <w:proofErr w:type="gramStart"/>
      <w:r>
        <w:t>rules;</w:t>
      </w:r>
      <w:proofErr w:type="gramEnd"/>
      <w:r>
        <w:t xml:space="preserve"> </w:t>
      </w:r>
    </w:p>
    <w:p w14:paraId="4AB1D8A8" w14:textId="14232F28" w:rsidR="00CF6773" w:rsidRDefault="00CF6773" w:rsidP="002672A0">
      <w:pPr>
        <w:numPr>
          <w:ilvl w:val="0"/>
          <w:numId w:val="43"/>
        </w:numPr>
        <w:spacing w:after="231" w:line="247" w:lineRule="auto"/>
        <w:ind w:right="18"/>
        <w:jc w:val="both"/>
      </w:pPr>
      <w:r>
        <w:t>Provided support for the ECA auditors in the framework of their audit on the 20</w:t>
      </w:r>
      <w:r w:rsidR="00104962">
        <w:t>20</w:t>
      </w:r>
      <w:r>
        <w:t xml:space="preserve"> </w:t>
      </w:r>
      <w:proofErr w:type="gramStart"/>
      <w:r>
        <w:t>accounts;</w:t>
      </w:r>
      <w:proofErr w:type="gramEnd"/>
    </w:p>
    <w:p w14:paraId="23D189F6" w14:textId="3FE7C636" w:rsidR="00CF6773" w:rsidRDefault="00CF6773" w:rsidP="002672A0">
      <w:pPr>
        <w:numPr>
          <w:ilvl w:val="0"/>
          <w:numId w:val="43"/>
        </w:numPr>
        <w:spacing w:after="231" w:line="247" w:lineRule="auto"/>
        <w:ind w:right="18"/>
        <w:jc w:val="both"/>
      </w:pPr>
      <w:r>
        <w:lastRenderedPageBreak/>
        <w:t xml:space="preserve">Liaised with ECA in their review of </w:t>
      </w:r>
      <w:r w:rsidR="00104962">
        <w:t xml:space="preserve">4 transactions selected for the on-the-spot checks with the JU </w:t>
      </w:r>
      <w:proofErr w:type="gramStart"/>
      <w:r w:rsidR="00104962">
        <w:t>beneficiaries;</w:t>
      </w:r>
      <w:proofErr w:type="gramEnd"/>
      <w:r w:rsidR="00104962">
        <w:t xml:space="preserve"> </w:t>
      </w:r>
    </w:p>
    <w:p w14:paraId="38A66F8B" w14:textId="39ABE740" w:rsidR="00CF6773" w:rsidRDefault="00CF6773" w:rsidP="002672A0">
      <w:pPr>
        <w:numPr>
          <w:ilvl w:val="0"/>
          <w:numId w:val="43"/>
        </w:numPr>
        <w:spacing w:after="231" w:line="247" w:lineRule="auto"/>
        <w:ind w:right="18"/>
        <w:jc w:val="both"/>
      </w:pPr>
      <w:r>
        <w:t xml:space="preserve">Followed up and implemented the recommendations made in the European Court of Auditors’ reports on the </w:t>
      </w:r>
      <w:r w:rsidR="00104962">
        <w:t xml:space="preserve">2020 </w:t>
      </w:r>
      <w:r>
        <w:t xml:space="preserve">JU annual </w:t>
      </w:r>
      <w:proofErr w:type="gramStart"/>
      <w:r>
        <w:t>accounts</w:t>
      </w:r>
      <w:r w:rsidR="00104962">
        <w:t>;</w:t>
      </w:r>
      <w:proofErr w:type="gramEnd"/>
    </w:p>
    <w:p w14:paraId="19E268CD" w14:textId="11618979" w:rsidR="00104962" w:rsidRDefault="00104962" w:rsidP="002672A0">
      <w:pPr>
        <w:numPr>
          <w:ilvl w:val="0"/>
          <w:numId w:val="43"/>
        </w:numPr>
        <w:spacing w:after="231" w:line="247" w:lineRule="auto"/>
        <w:ind w:right="18"/>
        <w:jc w:val="both"/>
      </w:pPr>
      <w:r>
        <w:t xml:space="preserve">Assisted ECA in their preliminary review of the accounts and legality and regularity checks conducted in connection with the 2021 annual </w:t>
      </w:r>
      <w:proofErr w:type="gramStart"/>
      <w:r>
        <w:t>account;</w:t>
      </w:r>
      <w:proofErr w:type="gramEnd"/>
    </w:p>
    <w:p w14:paraId="65E3982F" w14:textId="52D6BA19" w:rsidR="00104962" w:rsidRDefault="00104962" w:rsidP="002672A0">
      <w:pPr>
        <w:numPr>
          <w:ilvl w:val="0"/>
          <w:numId w:val="43"/>
        </w:numPr>
        <w:spacing w:after="231" w:line="247" w:lineRule="auto"/>
        <w:ind w:right="18"/>
        <w:jc w:val="both"/>
      </w:pPr>
      <w:r>
        <w:t xml:space="preserve">Assisted ECA in their newly announced horizontal audit </w:t>
      </w:r>
      <w:r w:rsidR="00D15955" w:rsidRPr="00D15955">
        <w:t>on Commission’s staff planning for JUs under the new programme Horizon Europe (HE) and the consequences and risks for the JU</w:t>
      </w:r>
      <w:r w:rsidR="00D15955">
        <w:t xml:space="preserve"> which was announced in December 2021.</w:t>
      </w:r>
    </w:p>
    <w:p w14:paraId="72A8C36D" w14:textId="77777777" w:rsidR="00CF6773" w:rsidRPr="00824583" w:rsidRDefault="00CF6773" w:rsidP="00641434">
      <w:pPr>
        <w:ind w:left="720"/>
        <w:jc w:val="both"/>
        <w:rPr>
          <w:rFonts w:asciiTheme="minorHAnsi" w:hAnsiTheme="minorHAnsi"/>
          <w:color w:val="0070C0"/>
        </w:rPr>
      </w:pPr>
    </w:p>
    <w:p w14:paraId="26E1B214" w14:textId="77777777" w:rsidR="00D03635" w:rsidRDefault="008154CC" w:rsidP="00864737">
      <w:pPr>
        <w:pStyle w:val="Heading3"/>
        <w:numPr>
          <w:ilvl w:val="1"/>
          <w:numId w:val="1"/>
        </w:numPr>
        <w:jc w:val="both"/>
        <w:rPr>
          <w:rFonts w:asciiTheme="minorHAnsi" w:hAnsiTheme="minorHAnsi"/>
        </w:rPr>
      </w:pPr>
      <w:r>
        <w:rPr>
          <w:rFonts w:asciiTheme="minorHAnsi" w:hAnsiTheme="minorHAnsi"/>
        </w:rPr>
        <w:t xml:space="preserve"> </w:t>
      </w:r>
      <w:bookmarkStart w:id="189" w:name="_Toc98496370"/>
      <w:bookmarkStart w:id="190" w:name="_Toc101516090"/>
      <w:r w:rsidR="004E576F" w:rsidRPr="00896AB4">
        <w:rPr>
          <w:rFonts w:asciiTheme="minorHAnsi" w:hAnsiTheme="minorHAnsi"/>
        </w:rPr>
        <w:t>Internal Audit</w:t>
      </w:r>
      <w:bookmarkEnd w:id="189"/>
      <w:bookmarkEnd w:id="190"/>
      <w:r w:rsidR="003949A4" w:rsidRPr="00896AB4">
        <w:rPr>
          <w:rFonts w:asciiTheme="minorHAnsi" w:hAnsiTheme="minorHAnsi"/>
        </w:rPr>
        <w:t xml:space="preserve"> </w:t>
      </w:r>
    </w:p>
    <w:p w14:paraId="7A883964" w14:textId="2F054E98" w:rsidR="002A2768" w:rsidRDefault="002A2768" w:rsidP="002A2768">
      <w:r>
        <w:t>The internal audit is carried out according to</w:t>
      </w:r>
      <w:r w:rsidRPr="00896AB4">
        <w:t xml:space="preserve"> </w:t>
      </w:r>
      <w:r>
        <w:t xml:space="preserve">Article </w:t>
      </w:r>
      <w:r w:rsidRPr="00896AB4">
        <w:t xml:space="preserve">20 of the </w:t>
      </w:r>
      <w:r>
        <w:t>JU financial</w:t>
      </w:r>
      <w:r w:rsidR="007F5917">
        <w:t xml:space="preserve"> rules</w:t>
      </w:r>
      <w:r>
        <w:t>.</w:t>
      </w:r>
    </w:p>
    <w:p w14:paraId="5C6D454E" w14:textId="79A4EE96" w:rsidR="00446F8E" w:rsidRDefault="002509C1" w:rsidP="00446F8E">
      <w:pPr>
        <w:jc w:val="both"/>
      </w:pPr>
      <w:r>
        <w:t>In 2021,</w:t>
      </w:r>
      <w:r w:rsidR="00446F8E">
        <w:t xml:space="preserve"> the Internal Audit Service (IAS) </w:t>
      </w:r>
      <w:r>
        <w:t>accepted an action plan developed by the JU to address two important recommendations stemming from the I</w:t>
      </w:r>
      <w:r w:rsidRPr="00446F8E">
        <w:t>AS Audit on Horizon 2020 grant implementation in the Fuel Cells and Hydrogen 2 Joint Undertaking</w:t>
      </w:r>
      <w:r>
        <w:t xml:space="preserve"> and </w:t>
      </w:r>
      <w:r w:rsidR="00446F8E">
        <w:t>concluded that the action plan is adequate to mitigate the risks identified.</w:t>
      </w:r>
    </w:p>
    <w:p w14:paraId="320FE720" w14:textId="4761FABC" w:rsidR="00446F8E" w:rsidRDefault="00446F8E" w:rsidP="002509C1">
      <w:pPr>
        <w:jc w:val="both"/>
      </w:pPr>
      <w:r>
        <w:t xml:space="preserve">In 2021, </w:t>
      </w:r>
      <w:r w:rsidR="00543013">
        <w:t xml:space="preserve">in line with the agreed action plan, </w:t>
      </w:r>
      <w:r w:rsidR="007F5917">
        <w:t>the</w:t>
      </w:r>
      <w:r>
        <w:t xml:space="preserve"> JU </w:t>
      </w:r>
      <w:r w:rsidR="002509C1">
        <w:t>formalised the current monitoring practices regarding risks and complexity of the grant agreements and has developed an internal guidance for monitoring D&amp;E of the H2020 project results</w:t>
      </w:r>
      <w:r w:rsidR="00543013">
        <w:t xml:space="preserve"> – mostly </w:t>
      </w:r>
      <w:r w:rsidR="002509C1" w:rsidRPr="002509C1">
        <w:t>refer</w:t>
      </w:r>
      <w:r w:rsidR="00543013">
        <w:t>ring</w:t>
      </w:r>
      <w:r w:rsidR="002509C1" w:rsidRPr="002509C1">
        <w:t xml:space="preserve"> to the D&amp;E monitoring after the end of the projects lifetime.</w:t>
      </w:r>
    </w:p>
    <w:p w14:paraId="0134CDDA" w14:textId="14DCDD16" w:rsidR="002509C1" w:rsidRDefault="001731C4" w:rsidP="002509C1">
      <w:pPr>
        <w:jc w:val="both"/>
      </w:pPr>
      <w:r>
        <w:t xml:space="preserve">The </w:t>
      </w:r>
      <w:r w:rsidR="002509C1" w:rsidRPr="002509C1">
        <w:t>JU shared general observations and recommendations (including the recommendations as raised by the IAS) concerning the implementation of the D&amp;E plan in the letter to the director of the CIC</w:t>
      </w:r>
      <w:r w:rsidR="00543013">
        <w:t xml:space="preserve"> to which we have also obtained a reply.</w:t>
      </w:r>
    </w:p>
    <w:p w14:paraId="6694CA9A" w14:textId="22106424" w:rsidR="002509C1" w:rsidRPr="00446F8E" w:rsidRDefault="002509C1" w:rsidP="002509C1">
      <w:pPr>
        <w:jc w:val="both"/>
      </w:pPr>
      <w:r>
        <w:t xml:space="preserve">By the end of 2021, </w:t>
      </w:r>
      <w:r w:rsidR="007F5917">
        <w:t>the</w:t>
      </w:r>
      <w:r w:rsidR="00543013">
        <w:t xml:space="preserve"> JU considered</w:t>
      </w:r>
      <w:r>
        <w:t xml:space="preserve"> all action plan</w:t>
      </w:r>
      <w:r w:rsidR="00543013">
        <w:t>s as</w:t>
      </w:r>
      <w:r>
        <w:t xml:space="preserve"> fully implemented</w:t>
      </w:r>
      <w:r w:rsidR="00543013">
        <w:t xml:space="preserve">. </w:t>
      </w:r>
    </w:p>
    <w:p w14:paraId="3F0E4A81" w14:textId="752D7180" w:rsidR="002509C1" w:rsidRDefault="002509C1" w:rsidP="002509C1">
      <w:pPr>
        <w:jc w:val="both"/>
      </w:pPr>
    </w:p>
    <w:p w14:paraId="3AC22CDE" w14:textId="585574FC" w:rsidR="00375B8D" w:rsidRPr="00896AB4" w:rsidRDefault="008E52B2" w:rsidP="00864737">
      <w:pPr>
        <w:pStyle w:val="Heading3"/>
        <w:numPr>
          <w:ilvl w:val="1"/>
          <w:numId w:val="1"/>
        </w:numPr>
        <w:jc w:val="both"/>
        <w:rPr>
          <w:rFonts w:asciiTheme="minorHAnsi" w:hAnsiTheme="minorHAnsi"/>
        </w:rPr>
      </w:pPr>
      <w:bookmarkStart w:id="191" w:name="_Toc98496372"/>
      <w:bookmarkStart w:id="192" w:name="_Toc101516091"/>
      <w:r w:rsidRPr="00896AB4">
        <w:rPr>
          <w:rFonts w:asciiTheme="minorHAnsi" w:hAnsiTheme="minorHAnsi"/>
        </w:rPr>
        <w:t>Risk management</w:t>
      </w:r>
      <w:r w:rsidR="00280540" w:rsidRPr="00896AB4">
        <w:rPr>
          <w:rFonts w:asciiTheme="minorHAnsi" w:hAnsiTheme="minorHAnsi"/>
        </w:rPr>
        <w:t xml:space="preserve"> </w:t>
      </w:r>
      <w:r w:rsidR="00D24B5B">
        <w:rPr>
          <w:rFonts w:asciiTheme="minorHAnsi" w:hAnsiTheme="minorHAnsi"/>
        </w:rPr>
        <w:t xml:space="preserve">and </w:t>
      </w:r>
      <w:r w:rsidR="00161116">
        <w:rPr>
          <w:rFonts w:asciiTheme="minorHAnsi" w:hAnsiTheme="minorHAnsi"/>
        </w:rPr>
        <w:t>Conflict of Interest</w:t>
      </w:r>
      <w:bookmarkEnd w:id="191"/>
      <w:bookmarkEnd w:id="192"/>
    </w:p>
    <w:p w14:paraId="5CAE0E81" w14:textId="77777777" w:rsidR="009C2A11" w:rsidRDefault="009C2A11" w:rsidP="009C2A11">
      <w:pPr>
        <w:spacing w:after="215" w:line="259" w:lineRule="auto"/>
        <w:ind w:left="2" w:hanging="10"/>
      </w:pPr>
      <w:r>
        <w:rPr>
          <w:color w:val="3A5FAC"/>
        </w:rPr>
        <w:t>Risk management</w:t>
      </w:r>
    </w:p>
    <w:p w14:paraId="1C6F3FFC" w14:textId="16F13E80" w:rsidR="009C2A11" w:rsidRDefault="009C2A11" w:rsidP="009C2A11">
      <w:pPr>
        <w:ind w:left="10" w:right="18"/>
        <w:jc w:val="both"/>
      </w:pPr>
      <w:r>
        <w:t>During the annual risk assessment workshop, held in October 202</w:t>
      </w:r>
      <w:r w:rsidR="009E7579">
        <w:t>1</w:t>
      </w:r>
      <w:r>
        <w:t xml:space="preserve">, the JU team focused on critical risks affecting the achievement of </w:t>
      </w:r>
      <w:r w:rsidR="001731C4">
        <w:t xml:space="preserve">the </w:t>
      </w:r>
      <w:r>
        <w:t>JU objectives as well as action plans that had been identified in the previous year, and assessed their adequacy and relevance for 2020 and 2021</w:t>
      </w:r>
      <w:r w:rsidR="009E7579">
        <w:t xml:space="preserve"> – for the activities of H2020 programme which would continue also in the year 2022</w:t>
      </w:r>
      <w:r>
        <w:t>.</w:t>
      </w:r>
    </w:p>
    <w:p w14:paraId="5644E7DA" w14:textId="348A4507" w:rsidR="009E7579" w:rsidRDefault="009E7579" w:rsidP="009C2A11">
      <w:pPr>
        <w:ind w:left="10" w:right="18"/>
        <w:jc w:val="both"/>
      </w:pPr>
      <w:r>
        <w:t xml:space="preserve">Additionally, in preparing for the transition to the next Clean Hydrogen Partnership/JU, there were other transitional risks already identified. Early in 2022, an additional risk assessment exercise was conducted </w:t>
      </w:r>
      <w:proofErr w:type="gramStart"/>
      <w:r>
        <w:t>in order to</w:t>
      </w:r>
      <w:proofErr w:type="gramEnd"/>
      <w:r>
        <w:t xml:space="preserve"> prepare a new input for an updated version of the AWP 2022, including objectives and activities under the new partnership.</w:t>
      </w:r>
    </w:p>
    <w:p w14:paraId="71E25316" w14:textId="4DE49242" w:rsidR="009C2A11" w:rsidRDefault="009C2A11" w:rsidP="009C2A11">
      <w:pPr>
        <w:ind w:left="10" w:right="18"/>
        <w:jc w:val="both"/>
      </w:pPr>
      <w:r>
        <w:lastRenderedPageBreak/>
        <w:t>The full list of important risks and related action plans identified can be found in the AWP 202</w:t>
      </w:r>
      <w:r w:rsidR="009E7579">
        <w:t>2</w:t>
      </w:r>
      <w:r>
        <w:t xml:space="preserve">. </w:t>
      </w:r>
    </w:p>
    <w:p w14:paraId="4AC09138" w14:textId="11D56E10" w:rsidR="009C2A11" w:rsidRDefault="009C2A11" w:rsidP="009C2A11">
      <w:pPr>
        <w:ind w:left="10" w:right="18"/>
        <w:jc w:val="both"/>
      </w:pPr>
      <w:r>
        <w:t xml:space="preserve">A complete risk matrix (including lower-priority risks) is regularly assessed and discussed by management, as part of an ongoing risk assessment process, to reflect on any changes in the organisation’s internal and external environment. This exercise, part of the internal control system, is designed to capture, in a timely way, any new and emerging risks that could potentially influence the achievement of the </w:t>
      </w:r>
      <w:r w:rsidR="009E7579">
        <w:t>JU</w:t>
      </w:r>
      <w:r>
        <w:t xml:space="preserve"> objectives, as well as to provide timely reflection on the rating and relevance of the existing risks to ensure that appropriate actions and mitigating measures are put in place.</w:t>
      </w:r>
    </w:p>
    <w:p w14:paraId="4DDAEBAF" w14:textId="43EC2192" w:rsidR="009E7579" w:rsidRDefault="009E7579" w:rsidP="009C2A11">
      <w:pPr>
        <w:ind w:left="10" w:right="18"/>
        <w:jc w:val="both"/>
      </w:pPr>
      <w:r>
        <w:t xml:space="preserve">The revision of the entire risk matrix is planned for Q2 of 2022, during which also newly emerged situation - </w:t>
      </w:r>
      <w:r w:rsidRPr="009E7579">
        <w:t xml:space="preserve">Ukrainian war and </w:t>
      </w:r>
      <w:r>
        <w:t xml:space="preserve">its </w:t>
      </w:r>
      <w:r w:rsidRPr="009E7579">
        <w:t xml:space="preserve">impact on the </w:t>
      </w:r>
      <w:r>
        <w:t>JU work plan and its activities will be considered.</w:t>
      </w:r>
    </w:p>
    <w:p w14:paraId="588FFC31" w14:textId="77777777" w:rsidR="009C2A11" w:rsidRPr="0042397B" w:rsidRDefault="009C2A11" w:rsidP="009C2A11">
      <w:pPr>
        <w:spacing w:after="215" w:line="259" w:lineRule="auto"/>
        <w:ind w:left="2" w:hanging="10"/>
        <w:rPr>
          <w:i/>
        </w:rPr>
      </w:pPr>
      <w:r>
        <w:rPr>
          <w:i/>
        </w:rPr>
        <w:t>Managing</w:t>
      </w:r>
      <w:r w:rsidRPr="0042397B">
        <w:rPr>
          <w:i/>
        </w:rPr>
        <w:t xml:space="preserve"> potential conflict of interest</w:t>
      </w:r>
    </w:p>
    <w:p w14:paraId="26CABE64" w14:textId="77777777" w:rsidR="009C2A11" w:rsidRPr="0042397B" w:rsidRDefault="009C2A11" w:rsidP="009C2A11">
      <w:pPr>
        <w:spacing w:after="466"/>
        <w:ind w:left="10" w:right="18"/>
        <w:jc w:val="both"/>
      </w:pPr>
      <w:r w:rsidRPr="0042397B">
        <w:t xml:space="preserve">The </w:t>
      </w:r>
      <w:r>
        <w:t>Programme Office</w:t>
      </w:r>
      <w:r w:rsidRPr="0042397B">
        <w:t xml:space="preserve"> has developed a comprehensive set of rules and procedures that are effectively</w:t>
      </w:r>
      <w:r>
        <w:t xml:space="preserve"> </w:t>
      </w:r>
      <w:r w:rsidRPr="0042397B">
        <w:t>implemented across its entire governance structure</w:t>
      </w:r>
      <w:r>
        <w:t>,</w:t>
      </w:r>
      <w:r w:rsidRPr="0042397B">
        <w:t xml:space="preserve"> as follows:</w:t>
      </w:r>
    </w:p>
    <w:p w14:paraId="4AF6CCF5" w14:textId="77777777" w:rsidR="009C2A11" w:rsidRDefault="009C2A11" w:rsidP="002672A0">
      <w:pPr>
        <w:pStyle w:val="ListParagraph"/>
        <w:numPr>
          <w:ilvl w:val="0"/>
          <w:numId w:val="44"/>
        </w:numPr>
        <w:spacing w:after="466"/>
        <w:ind w:left="851" w:right="18"/>
        <w:jc w:val="both"/>
      </w:pPr>
      <w:r w:rsidRPr="0042397B">
        <w:t xml:space="preserve">When joining the </w:t>
      </w:r>
      <w:r>
        <w:t>Programme Office</w:t>
      </w:r>
      <w:r w:rsidRPr="0042397B">
        <w:t xml:space="preserve"> team, each staff member agrees </w:t>
      </w:r>
      <w:r>
        <w:t>to</w:t>
      </w:r>
      <w:r w:rsidRPr="0042397B">
        <w:t xml:space="preserve"> the application of the</w:t>
      </w:r>
      <w:r>
        <w:t xml:space="preserve"> </w:t>
      </w:r>
      <w:r w:rsidRPr="0042397B">
        <w:t>Staff Regulation and signs a declaration of honour on the management of conflicts of interest.</w:t>
      </w:r>
    </w:p>
    <w:p w14:paraId="7921A98B" w14:textId="54D0BC00" w:rsidR="009C2A11" w:rsidRDefault="009C2A11" w:rsidP="002672A0">
      <w:pPr>
        <w:pStyle w:val="ListParagraph"/>
        <w:numPr>
          <w:ilvl w:val="0"/>
          <w:numId w:val="44"/>
        </w:numPr>
        <w:spacing w:after="466"/>
        <w:ind w:left="851" w:right="18"/>
        <w:jc w:val="both"/>
      </w:pPr>
      <w:r>
        <w:t>With ED decision of 27/09/2019</w:t>
      </w:r>
      <w:r>
        <w:rPr>
          <w:rStyle w:val="FootnoteReference"/>
        </w:rPr>
        <w:footnoteReference w:id="121"/>
      </w:r>
      <w:r>
        <w:t xml:space="preserve">, </w:t>
      </w:r>
      <w:r w:rsidR="007F5917">
        <w:t>the</w:t>
      </w:r>
      <w:r w:rsidR="00B57DE5">
        <w:t xml:space="preserve"> JU</w:t>
      </w:r>
      <w:r>
        <w:t xml:space="preserve"> applies by analogy ‘</w:t>
      </w:r>
      <w:r w:rsidRPr="001A40AA">
        <w:rPr>
          <w:i/>
          <w:iCs/>
        </w:rPr>
        <w:t>mutatis mutandis’</w:t>
      </w:r>
      <w:r>
        <w:t xml:space="preserve"> the ‘Code of Good Administrative Behaviour </w:t>
      </w:r>
      <w:r w:rsidRPr="0042397B">
        <w:t>for Staff of the European Commission in their Relations with the Public</w:t>
      </w:r>
      <w:r>
        <w:t>’.</w:t>
      </w:r>
    </w:p>
    <w:p w14:paraId="1B7231D5" w14:textId="706D2570" w:rsidR="009C2A11" w:rsidRDefault="009C2A11" w:rsidP="002672A0">
      <w:pPr>
        <w:pStyle w:val="ListParagraph"/>
        <w:numPr>
          <w:ilvl w:val="0"/>
          <w:numId w:val="44"/>
        </w:numPr>
        <w:spacing w:after="466"/>
        <w:ind w:left="851" w:right="18"/>
        <w:jc w:val="both"/>
      </w:pPr>
      <w:r w:rsidRPr="0042397B">
        <w:t xml:space="preserve">Conflict of interest procedures </w:t>
      </w:r>
      <w:r w:rsidR="00B57DE5">
        <w:t>were</w:t>
      </w:r>
      <w:r w:rsidRPr="0042397B">
        <w:t xml:space="preserve"> in place for the members of both the </w:t>
      </w:r>
      <w:r>
        <w:t>FCH 2</w:t>
      </w:r>
      <w:r w:rsidRPr="0042397B">
        <w:t xml:space="preserve"> JU</w:t>
      </w:r>
      <w:r w:rsidRPr="0042397B" w:rsidDel="0042204F">
        <w:t xml:space="preserve"> </w:t>
      </w:r>
      <w:r>
        <w:t>GB</w:t>
      </w:r>
      <w:r w:rsidRPr="0042397B">
        <w:t xml:space="preserve"> and the advisory</w:t>
      </w:r>
      <w:r>
        <w:t xml:space="preserve"> </w:t>
      </w:r>
      <w:r w:rsidRPr="0042397B">
        <w:t>bo</w:t>
      </w:r>
      <w:r>
        <w:t>dies</w:t>
      </w:r>
      <w:r w:rsidR="00B57DE5">
        <w:t xml:space="preserve"> and were renewed in December 2021 in the scope of newly adopted Rules of Procedures of the Governing Board for the Clean Hydrogen JU</w:t>
      </w:r>
      <w:r w:rsidRPr="0042397B">
        <w:t>.</w:t>
      </w:r>
    </w:p>
    <w:p w14:paraId="06EE876F" w14:textId="77777777" w:rsidR="009C2A11" w:rsidRDefault="009C2A11" w:rsidP="002672A0">
      <w:pPr>
        <w:pStyle w:val="ListParagraph"/>
        <w:numPr>
          <w:ilvl w:val="0"/>
          <w:numId w:val="44"/>
        </w:numPr>
        <w:spacing w:after="466"/>
        <w:ind w:left="851" w:right="18"/>
        <w:jc w:val="both"/>
      </w:pPr>
      <w:r w:rsidRPr="0042397B">
        <w:t xml:space="preserve">Specific measures have been implemented for </w:t>
      </w:r>
      <w:r>
        <w:t xml:space="preserve">the </w:t>
      </w:r>
      <w:r w:rsidRPr="0042397B">
        <w:t>prevention and management of conflicts of</w:t>
      </w:r>
      <w:r>
        <w:t xml:space="preserve"> </w:t>
      </w:r>
      <w:r w:rsidRPr="0042397B">
        <w:t>interest of experts in charge of the evaluation of grant applications and of the review of</w:t>
      </w:r>
      <w:r>
        <w:t xml:space="preserve"> </w:t>
      </w:r>
      <w:r w:rsidRPr="0042397B">
        <w:t>projects and tenders</w:t>
      </w:r>
      <w:r>
        <w:t>.</w:t>
      </w:r>
    </w:p>
    <w:p w14:paraId="07CE52A4" w14:textId="5DC0D625" w:rsidR="009C2A11" w:rsidRDefault="009C2A11" w:rsidP="009C2A11">
      <w:pPr>
        <w:spacing w:after="120"/>
        <w:ind w:right="17"/>
        <w:jc w:val="both"/>
      </w:pPr>
      <w:r>
        <w:t xml:space="preserve">In addition, the </w:t>
      </w:r>
      <w:r w:rsidR="00B57DE5">
        <w:t>JU</w:t>
      </w:r>
      <w:r w:rsidRPr="004D6BD4">
        <w:t xml:space="preserve"> implements the common Research Anti-Fraud Strategy. In March 2019, the CIC adopted the revised Strategy (RAFS 2019) and the associated action plan. The implementation of the action plan is monitored through regular meetings of FAIR </w:t>
      </w:r>
      <w:r>
        <w:t>in</w:t>
      </w:r>
      <w:r w:rsidRPr="004D6BD4">
        <w:t xml:space="preserve"> which the JU </w:t>
      </w:r>
      <w:r>
        <w:t>participates</w:t>
      </w:r>
      <w:r w:rsidRPr="004D6BD4">
        <w:t>.</w:t>
      </w:r>
    </w:p>
    <w:p w14:paraId="2E751148" w14:textId="49E439AF" w:rsidR="009C2A11" w:rsidRPr="004D6BD4" w:rsidRDefault="009C2A11" w:rsidP="009C2A11">
      <w:pPr>
        <w:spacing w:after="466"/>
        <w:ind w:right="18"/>
        <w:jc w:val="both"/>
      </w:pPr>
      <w:r w:rsidRPr="004D6BD4">
        <w:t>Furthermore</w:t>
      </w:r>
      <w:r>
        <w:t>,</w:t>
      </w:r>
      <w:r w:rsidRPr="004D6BD4">
        <w:t xml:space="preserve"> for areas of expenditure other than grants, the </w:t>
      </w:r>
      <w:r w:rsidR="007F5917">
        <w:t>JU</w:t>
      </w:r>
      <w:r w:rsidRPr="004D6BD4">
        <w:t xml:space="preserve"> applies </w:t>
      </w:r>
      <w:r w:rsidRPr="001A40AA">
        <w:rPr>
          <w:i/>
          <w:iCs/>
        </w:rPr>
        <w:t>mutatis mutandis</w:t>
      </w:r>
      <w:r w:rsidRPr="004D6BD4">
        <w:t xml:space="preserve"> by analogy the anti-fraud strategy of DG R&amp;I. This is relevant </w:t>
      </w:r>
      <w:proofErr w:type="gramStart"/>
      <w:r w:rsidRPr="004D6BD4">
        <w:t>in particular for</w:t>
      </w:r>
      <w:proofErr w:type="gramEnd"/>
      <w:r w:rsidRPr="004D6BD4">
        <w:t xml:space="preserve"> expert management, procurement and internal fraud and the risk analysis lead</w:t>
      </w:r>
      <w:r>
        <w:t>s</w:t>
      </w:r>
      <w:r w:rsidRPr="004D6BD4">
        <w:t xml:space="preserve"> to the conclusion that the residual risks (after mitigating actions) are low.</w:t>
      </w:r>
    </w:p>
    <w:p w14:paraId="5C24D052" w14:textId="77777777" w:rsidR="009C2A11" w:rsidRPr="00896AB4" w:rsidRDefault="009C2A11" w:rsidP="009C2A11">
      <w:pPr>
        <w:pStyle w:val="Heading3"/>
        <w:ind w:left="567"/>
      </w:pPr>
      <w:bookmarkStart w:id="193" w:name="_Toc101516092"/>
      <w:r>
        <w:t xml:space="preserve">4.7. </w:t>
      </w:r>
      <w:bookmarkStart w:id="194" w:name="_Toc1656601"/>
      <w:bookmarkStart w:id="195" w:name="_Toc1731184"/>
      <w:r w:rsidRPr="00896AB4">
        <w:t xml:space="preserve">Compliance and effectiveness of </w:t>
      </w:r>
      <w:r>
        <w:t>i</w:t>
      </w:r>
      <w:r w:rsidRPr="00896AB4">
        <w:t xml:space="preserve">nternal </w:t>
      </w:r>
      <w:r>
        <w:t>c</w:t>
      </w:r>
      <w:r w:rsidRPr="00896AB4">
        <w:t>ontrol</w:t>
      </w:r>
      <w:bookmarkEnd w:id="193"/>
      <w:bookmarkEnd w:id="194"/>
      <w:bookmarkEnd w:id="195"/>
      <w:r w:rsidRPr="00896AB4">
        <w:t xml:space="preserve"> </w:t>
      </w:r>
    </w:p>
    <w:p w14:paraId="0B58B97A" w14:textId="5385CC29" w:rsidR="009C2A11" w:rsidRDefault="009C2A11" w:rsidP="009C2A11">
      <w:pPr>
        <w:jc w:val="both"/>
      </w:pPr>
      <w:r>
        <w:t xml:space="preserve">The </w:t>
      </w:r>
      <w:r w:rsidR="0079067B">
        <w:t>JU</w:t>
      </w:r>
      <w:r>
        <w:t xml:space="preserve"> internal control framework is designed to provide reasonable assurance regarding the achievement of the following five objectives:</w:t>
      </w:r>
    </w:p>
    <w:p w14:paraId="65D02F12" w14:textId="77777777" w:rsidR="009C2A11" w:rsidRDefault="009C2A11" w:rsidP="002672A0">
      <w:pPr>
        <w:pStyle w:val="ListParagraph"/>
        <w:numPr>
          <w:ilvl w:val="0"/>
          <w:numId w:val="45"/>
        </w:numPr>
        <w:jc w:val="both"/>
      </w:pPr>
      <w:r>
        <w:lastRenderedPageBreak/>
        <w:t xml:space="preserve">Effectiveness, efficiency and economy of </w:t>
      </w:r>
      <w:proofErr w:type="gramStart"/>
      <w:r>
        <w:t>operations;</w:t>
      </w:r>
      <w:proofErr w:type="gramEnd"/>
    </w:p>
    <w:p w14:paraId="7EAAB6C1" w14:textId="77777777" w:rsidR="009C2A11" w:rsidRDefault="009C2A11" w:rsidP="002672A0">
      <w:pPr>
        <w:pStyle w:val="ListParagraph"/>
        <w:numPr>
          <w:ilvl w:val="0"/>
          <w:numId w:val="45"/>
        </w:numPr>
        <w:jc w:val="both"/>
      </w:pPr>
      <w:r>
        <w:t xml:space="preserve">Reliability of </w:t>
      </w:r>
      <w:proofErr w:type="gramStart"/>
      <w:r>
        <w:t>reporting;</w:t>
      </w:r>
      <w:proofErr w:type="gramEnd"/>
    </w:p>
    <w:p w14:paraId="7631F58F" w14:textId="77777777" w:rsidR="009C2A11" w:rsidRDefault="009C2A11" w:rsidP="002672A0">
      <w:pPr>
        <w:pStyle w:val="ListParagraph"/>
        <w:numPr>
          <w:ilvl w:val="0"/>
          <w:numId w:val="45"/>
        </w:numPr>
        <w:jc w:val="both"/>
      </w:pPr>
      <w:r>
        <w:t xml:space="preserve">Safeguarding of assets and </w:t>
      </w:r>
      <w:proofErr w:type="gramStart"/>
      <w:r>
        <w:t>information;</w:t>
      </w:r>
      <w:proofErr w:type="gramEnd"/>
    </w:p>
    <w:p w14:paraId="75A65B11" w14:textId="77777777" w:rsidR="009C2A11" w:rsidRDefault="009C2A11" w:rsidP="002672A0">
      <w:pPr>
        <w:pStyle w:val="ListParagraph"/>
        <w:numPr>
          <w:ilvl w:val="0"/>
          <w:numId w:val="45"/>
        </w:numPr>
        <w:jc w:val="both"/>
      </w:pPr>
      <w:r>
        <w:t>Prevention, detection, correction and follow-up of fraud and irregularities, and</w:t>
      </w:r>
    </w:p>
    <w:p w14:paraId="0A009F94" w14:textId="77777777" w:rsidR="009C2A11" w:rsidRDefault="009C2A11" w:rsidP="002672A0">
      <w:pPr>
        <w:pStyle w:val="ListParagraph"/>
        <w:numPr>
          <w:ilvl w:val="0"/>
          <w:numId w:val="45"/>
        </w:numPr>
        <w:jc w:val="both"/>
      </w:pPr>
      <w:r>
        <w:t>Adequate management of the risks relating to the legality and regularity of the underlying transactions.</w:t>
      </w:r>
    </w:p>
    <w:p w14:paraId="54F6A2BE" w14:textId="4EF615B6" w:rsidR="009C2A11" w:rsidRDefault="009C2A11" w:rsidP="009C2A11">
      <w:pPr>
        <w:jc w:val="both"/>
      </w:pPr>
      <w:r>
        <w:t>In line with the objectives and priorities described in the AWP 202</w:t>
      </w:r>
      <w:r w:rsidR="0079067B">
        <w:t>1</w:t>
      </w:r>
      <w:r>
        <w:t xml:space="preserve">, the robustness of the internal control system was monitored throughout the year. Internal control matters, such as </w:t>
      </w:r>
      <w:r w:rsidRPr="001A40AA">
        <w:rPr>
          <w:i/>
          <w:iCs/>
        </w:rPr>
        <w:t>ex-ante</w:t>
      </w:r>
      <w:r>
        <w:t xml:space="preserve"> and </w:t>
      </w:r>
      <w:r w:rsidRPr="001A40AA">
        <w:rPr>
          <w:i/>
          <w:iCs/>
        </w:rPr>
        <w:t>ex-post</w:t>
      </w:r>
      <w:r>
        <w:t xml:space="preserve"> controls, segregation of duties, documented processes and procedures and sound financial management, were discussed at least on a weekly basis during unit meetings and on an ad-hoc basis when preparing new processes or revising existing operating processes. Risks identified through the annual risk assessment exercise (see sections 1.1 and 4.6), which might pose a threat to achieving the </w:t>
      </w:r>
      <w:r w:rsidR="0079067B">
        <w:t>JU</w:t>
      </w:r>
      <w:r>
        <w:t xml:space="preserve">’s mission and objectives, were also systematically assessed and managed through appropriate controlling and mitigating actions. Throughout the year, particular efforts were made to monitor the KPIs, which led to further improvement in financial management as indicated by the TTP. </w:t>
      </w:r>
    </w:p>
    <w:p w14:paraId="14CE32C9" w14:textId="1B0208BA" w:rsidR="009C2A11" w:rsidRDefault="009C2A11" w:rsidP="009C2A11">
      <w:pPr>
        <w:jc w:val="both"/>
      </w:pPr>
      <w:r w:rsidRPr="002E7DAF">
        <w:rPr>
          <w:i/>
        </w:rPr>
        <w:t xml:space="preserve">Register of exceptions, analysis of internal control weakness or control failures recorded during </w:t>
      </w:r>
      <w:r>
        <w:rPr>
          <w:i/>
        </w:rPr>
        <w:t>202</w:t>
      </w:r>
      <w:r w:rsidR="0079067B">
        <w:rPr>
          <w:i/>
        </w:rPr>
        <w:t>1</w:t>
      </w:r>
    </w:p>
    <w:p w14:paraId="457F01BE" w14:textId="51ABD8A2" w:rsidR="009C2A11" w:rsidRDefault="009C2A11" w:rsidP="009C2A11">
      <w:pPr>
        <w:jc w:val="both"/>
        <w:rPr>
          <w:i/>
        </w:rPr>
      </w:pPr>
      <w:r>
        <w:t xml:space="preserve">The Programme Office keeps a register of all exceptions and non-compliance events; reports are entered into the register through a dedicated procedure and using pre-defined templates. The central register is reviewed regularly by the Head of Finance and Administration, the Internal Audit Service (IAS) and, </w:t>
      </w:r>
      <w:proofErr w:type="gramStart"/>
      <w:r>
        <w:t>in the course of</w:t>
      </w:r>
      <w:proofErr w:type="gramEnd"/>
      <w:r>
        <w:t xml:space="preserve"> the Declaration of Assurance (DAS) procedure, by the European Court of Auditors (ECA). The reasons of the events reported in 202</w:t>
      </w:r>
      <w:r w:rsidR="0079067B">
        <w:t>1</w:t>
      </w:r>
      <w:r>
        <w:t xml:space="preserve"> have been analysed by </w:t>
      </w:r>
      <w:r w:rsidR="0079067B">
        <w:t>JU</w:t>
      </w:r>
      <w:r>
        <w:t xml:space="preserve"> management </w:t>
      </w:r>
      <w:proofErr w:type="gramStart"/>
      <w:r>
        <w:t>in order to</w:t>
      </w:r>
      <w:proofErr w:type="gramEnd"/>
      <w:r>
        <w:t xml:space="preserve"> further strengthen the internal control system and ensure compliance with rules and procedures. Related risks and financial impacts have been assessed and monitored when material, corrective measures were introduced (</w:t>
      </w:r>
      <w:proofErr w:type="gramStart"/>
      <w:r>
        <w:t>e.g.</w:t>
      </w:r>
      <w:proofErr w:type="gramEnd"/>
      <w:r>
        <w:t xml:space="preserve"> internal instructions). Other deviations considered of limited relevance after management assessment were controlled and documented in appropriate notes to the file. </w:t>
      </w:r>
    </w:p>
    <w:p w14:paraId="34729CC2" w14:textId="77777777" w:rsidR="009C2A11" w:rsidRPr="00316155" w:rsidRDefault="009C2A11" w:rsidP="009C2A11">
      <w:pPr>
        <w:jc w:val="both"/>
        <w:rPr>
          <w:i/>
        </w:rPr>
      </w:pPr>
      <w:r w:rsidRPr="00316155">
        <w:rPr>
          <w:i/>
        </w:rPr>
        <w:t>Reliability of financial reporting and accounting</w:t>
      </w:r>
    </w:p>
    <w:p w14:paraId="2BF483F0" w14:textId="21D9A3B0" w:rsidR="009C2A11" w:rsidRPr="00866ACB" w:rsidRDefault="009C2A11" w:rsidP="009C2A11">
      <w:pPr>
        <w:jc w:val="both"/>
      </w:pPr>
      <w:r>
        <w:t xml:space="preserve">In addition, DG BUDG carried out </w:t>
      </w:r>
      <w:r w:rsidRPr="00866ACB">
        <w:t xml:space="preserve">its annual evaluation of the </w:t>
      </w:r>
      <w:r>
        <w:t xml:space="preserve">Undertaking’s </w:t>
      </w:r>
      <w:r w:rsidRPr="00866ACB">
        <w:t>l</w:t>
      </w:r>
      <w:r>
        <w:t>ocal financial by reviewing the information on changes in the local systems and/or in the control environment. The DG BUDG team also verified a sample of transactions for the operations authorised by the JU during the 20</w:t>
      </w:r>
      <w:r w:rsidR="0079067B">
        <w:t>20</w:t>
      </w:r>
      <w:r>
        <w:t xml:space="preserve"> financial year. The evaluation</w:t>
      </w:r>
      <w:r>
        <w:rPr>
          <w:rStyle w:val="FootnoteReference"/>
        </w:rPr>
        <w:footnoteReference w:id="122"/>
      </w:r>
      <w:r>
        <w:t xml:space="preserve"> did not identify any weaknesses in the internal control systems which would materially affect the accuracy, completeness and timeliness of the information required to draft the annual accounts and produce reliable reporting.</w:t>
      </w:r>
    </w:p>
    <w:p w14:paraId="5E765046" w14:textId="5DF2A0F3" w:rsidR="009C2A11" w:rsidRDefault="009C2A11" w:rsidP="009C2A11">
      <w:pPr>
        <w:jc w:val="both"/>
      </w:pPr>
      <w:r>
        <w:t>The self-assessment of the effectiveness of the internal control framework in 202</w:t>
      </w:r>
      <w:r w:rsidR="0079067B">
        <w:t>1</w:t>
      </w:r>
      <w:r>
        <w:t xml:space="preserve"> was based on:</w:t>
      </w:r>
    </w:p>
    <w:p w14:paraId="7BF26F35" w14:textId="77777777" w:rsidR="009C2A11" w:rsidRDefault="009C2A11" w:rsidP="002672A0">
      <w:pPr>
        <w:pStyle w:val="ListParagraph"/>
        <w:numPr>
          <w:ilvl w:val="0"/>
          <w:numId w:val="47"/>
        </w:numPr>
        <w:jc w:val="both"/>
      </w:pPr>
      <w:r>
        <w:t>an objective examination of reports and assessments carried out by management and by internal (Internal Audit Service) and external auditors (independent auditors on the annual accounts and the European Court of Auditors)</w:t>
      </w:r>
    </w:p>
    <w:p w14:paraId="1EA14608" w14:textId="77777777" w:rsidR="009C2A11" w:rsidRDefault="009C2A11" w:rsidP="002672A0">
      <w:pPr>
        <w:pStyle w:val="ListParagraph"/>
        <w:numPr>
          <w:ilvl w:val="0"/>
          <w:numId w:val="47"/>
        </w:numPr>
        <w:jc w:val="both"/>
      </w:pPr>
      <w:r>
        <w:lastRenderedPageBreak/>
        <w:t xml:space="preserve">the management’s overview on progress made on the implementation of the corresponding action plans. </w:t>
      </w:r>
    </w:p>
    <w:p w14:paraId="2C086B76" w14:textId="77777777" w:rsidR="009C2A11" w:rsidRDefault="009C2A11" w:rsidP="009C2A11">
      <w:pPr>
        <w:pStyle w:val="ListParagraph"/>
        <w:ind w:left="770"/>
        <w:jc w:val="both"/>
      </w:pPr>
    </w:p>
    <w:p w14:paraId="5A0F5D71" w14:textId="71E3212D" w:rsidR="009C2A11" w:rsidRDefault="009C2A11" w:rsidP="009C2A11">
      <w:pPr>
        <w:jc w:val="both"/>
      </w:pPr>
      <w:r>
        <w:t>The latter was implemented in the following ways:</w:t>
      </w:r>
    </w:p>
    <w:p w14:paraId="29E89391" w14:textId="34EC2C62" w:rsidR="00B27ADE" w:rsidRPr="00B27ADE" w:rsidRDefault="00B27ADE" w:rsidP="00DF2591">
      <w:pPr>
        <w:pStyle w:val="ListParagraph"/>
        <w:numPr>
          <w:ilvl w:val="0"/>
          <w:numId w:val="49"/>
        </w:numPr>
        <w:ind w:right="-13"/>
        <w:rPr>
          <w:rFonts w:asciiTheme="minorHAnsi" w:hAnsiTheme="minorHAnsi"/>
        </w:rPr>
      </w:pPr>
      <w:r w:rsidRPr="00B27ADE">
        <w:rPr>
          <w:rFonts w:asciiTheme="minorHAnsi" w:hAnsiTheme="minorHAnsi"/>
        </w:rPr>
        <w:t>In 2021, we continued trainings and awareness sessions on cyber-security, phishing, etc. The IT systems have continuously been updated.</w:t>
      </w:r>
    </w:p>
    <w:p w14:paraId="06DF537A" w14:textId="4E19B202" w:rsidR="00B27ADE" w:rsidRPr="00B27ADE" w:rsidRDefault="00B27ADE" w:rsidP="00B27ADE">
      <w:pPr>
        <w:pStyle w:val="ListParagraph"/>
        <w:numPr>
          <w:ilvl w:val="0"/>
          <w:numId w:val="49"/>
        </w:numPr>
        <w:ind w:right="-13"/>
        <w:rPr>
          <w:rFonts w:asciiTheme="minorHAnsi" w:hAnsiTheme="minorHAnsi"/>
        </w:rPr>
      </w:pPr>
      <w:r w:rsidRPr="00B27ADE">
        <w:rPr>
          <w:rFonts w:asciiTheme="minorHAnsi" w:hAnsiTheme="minorHAnsi"/>
        </w:rPr>
        <w:t xml:space="preserve">In 2021, mitigating measures </w:t>
      </w:r>
      <w:r>
        <w:rPr>
          <w:rFonts w:asciiTheme="minorHAnsi" w:hAnsiTheme="minorHAnsi"/>
        </w:rPr>
        <w:t xml:space="preserve">to overcome COVID-19 pandemic </w:t>
      </w:r>
      <w:r w:rsidRPr="00B27ADE">
        <w:rPr>
          <w:rFonts w:asciiTheme="minorHAnsi" w:hAnsiTheme="minorHAnsi"/>
        </w:rPr>
        <w:t>were implemented, including: vaccinations, limits on the presence of the % of the people physically in the office, reinforced use of teleworking, adopting new ways of hybrid working, etc.</w:t>
      </w:r>
    </w:p>
    <w:p w14:paraId="3A8563C3" w14:textId="77777777" w:rsidR="009C2A11" w:rsidRPr="00316155" w:rsidRDefault="009C2A11" w:rsidP="009C2A11">
      <w:pPr>
        <w:jc w:val="both"/>
        <w:rPr>
          <w:i/>
        </w:rPr>
      </w:pPr>
      <w:r w:rsidRPr="00316155">
        <w:rPr>
          <w:i/>
        </w:rPr>
        <w:t>Assessment of the functioning of internal control system</w:t>
      </w:r>
    </w:p>
    <w:p w14:paraId="2A50FFCA" w14:textId="35696876" w:rsidR="009C2A11" w:rsidRPr="005C4802" w:rsidRDefault="009C2A11" w:rsidP="009C2A11">
      <w:pPr>
        <w:jc w:val="both"/>
      </w:pPr>
      <w:r>
        <w:t xml:space="preserve">In conclusion, it can be confirmed that the </w:t>
      </w:r>
      <w:r w:rsidR="00B27ADE">
        <w:t>JU</w:t>
      </w:r>
      <w:r>
        <w:t xml:space="preserve"> </w:t>
      </w:r>
      <w:proofErr w:type="gramStart"/>
      <w:r>
        <w:t>is in compliance with</w:t>
      </w:r>
      <w:proofErr w:type="gramEnd"/>
      <w:r>
        <w:t xml:space="preserve"> all the principles, the controls in place are working as intended, and the internal control system is providing an effective framework for managing any risks to the JU’s ability to achieve its objectives.</w:t>
      </w:r>
    </w:p>
    <w:p w14:paraId="0071BAF5" w14:textId="77777777" w:rsidR="009C2A11" w:rsidRDefault="009C2A11" w:rsidP="009C2A11">
      <w:pPr>
        <w:jc w:val="both"/>
      </w:pPr>
    </w:p>
    <w:p w14:paraId="36E6828A" w14:textId="77777777" w:rsidR="00641434" w:rsidRPr="00641434" w:rsidRDefault="00FA2A9B" w:rsidP="00641434">
      <w:pPr>
        <w:pStyle w:val="Heading1"/>
        <w:numPr>
          <w:ilvl w:val="0"/>
          <w:numId w:val="1"/>
        </w:numPr>
        <w:jc w:val="both"/>
        <w:rPr>
          <w:rFonts w:asciiTheme="minorHAnsi" w:hAnsiTheme="minorHAnsi"/>
          <w:caps/>
        </w:rPr>
      </w:pPr>
      <w:bookmarkStart w:id="196" w:name="_Toc98496374"/>
      <w:bookmarkStart w:id="197" w:name="_Toc101516093"/>
      <w:r w:rsidRPr="00896AB4">
        <w:rPr>
          <w:rFonts w:asciiTheme="minorHAnsi" w:hAnsiTheme="minorHAnsi"/>
          <w:caps/>
        </w:rPr>
        <w:t>MANAGEMENT</w:t>
      </w:r>
      <w:r w:rsidR="00206F3E" w:rsidRPr="00896AB4">
        <w:rPr>
          <w:rFonts w:asciiTheme="minorHAnsi" w:hAnsiTheme="minorHAnsi"/>
          <w:caps/>
        </w:rPr>
        <w:t xml:space="preserve"> assurance</w:t>
      </w:r>
      <w:bookmarkEnd w:id="196"/>
      <w:bookmarkEnd w:id="197"/>
    </w:p>
    <w:p w14:paraId="442AC126" w14:textId="1334F62F" w:rsidR="0057442F" w:rsidRDefault="008154CC" w:rsidP="00864737">
      <w:pPr>
        <w:pStyle w:val="Heading3"/>
        <w:numPr>
          <w:ilvl w:val="1"/>
          <w:numId w:val="1"/>
        </w:numPr>
        <w:jc w:val="both"/>
        <w:rPr>
          <w:rFonts w:asciiTheme="minorHAnsi" w:hAnsiTheme="minorHAnsi"/>
        </w:rPr>
      </w:pPr>
      <w:r>
        <w:rPr>
          <w:rFonts w:asciiTheme="minorHAnsi" w:hAnsiTheme="minorHAnsi"/>
        </w:rPr>
        <w:t xml:space="preserve"> </w:t>
      </w:r>
      <w:bookmarkStart w:id="198" w:name="_Toc98496375"/>
      <w:bookmarkStart w:id="199" w:name="_Toc101516094"/>
      <w:r w:rsidR="00206F3E" w:rsidRPr="00896AB4">
        <w:rPr>
          <w:rFonts w:asciiTheme="minorHAnsi" w:hAnsiTheme="minorHAnsi"/>
        </w:rPr>
        <w:t xml:space="preserve">Assessment </w:t>
      </w:r>
      <w:r w:rsidR="0057442F" w:rsidRPr="00896AB4">
        <w:rPr>
          <w:rFonts w:asciiTheme="minorHAnsi" w:hAnsiTheme="minorHAnsi"/>
        </w:rPr>
        <w:t xml:space="preserve">of the Annual Activity Report </w:t>
      </w:r>
      <w:r w:rsidR="00206F3E" w:rsidRPr="00896AB4">
        <w:rPr>
          <w:rFonts w:asciiTheme="minorHAnsi" w:hAnsiTheme="minorHAnsi"/>
        </w:rPr>
        <w:t xml:space="preserve">by </w:t>
      </w:r>
      <w:r w:rsidR="0057442F" w:rsidRPr="00896AB4">
        <w:rPr>
          <w:rFonts w:asciiTheme="minorHAnsi" w:hAnsiTheme="minorHAnsi"/>
        </w:rPr>
        <w:t>the Governing Board</w:t>
      </w:r>
      <w:bookmarkEnd w:id="198"/>
      <w:bookmarkEnd w:id="199"/>
    </w:p>
    <w:p w14:paraId="71D5174D" w14:textId="56F6AAFC" w:rsidR="003B748A" w:rsidRPr="003B748A" w:rsidRDefault="003B748A" w:rsidP="003B748A">
      <w:pPr>
        <w:rPr>
          <w:rFonts w:ascii="Arial" w:hAnsi="Arial" w:cs="Arial"/>
        </w:rPr>
      </w:pPr>
      <w:r w:rsidRPr="003B748A">
        <w:rPr>
          <w:rFonts w:ascii="Arial" w:hAnsi="Arial" w:cs="Arial"/>
        </w:rPr>
        <w:t>This section will be provided separately</w:t>
      </w:r>
    </w:p>
    <w:p w14:paraId="3740A08D" w14:textId="77777777" w:rsidR="00375B8D" w:rsidRPr="00896AB4" w:rsidRDefault="008154CC" w:rsidP="00864737">
      <w:pPr>
        <w:pStyle w:val="Heading3"/>
        <w:numPr>
          <w:ilvl w:val="1"/>
          <w:numId w:val="1"/>
        </w:numPr>
        <w:jc w:val="both"/>
        <w:rPr>
          <w:rFonts w:asciiTheme="minorHAnsi" w:hAnsiTheme="minorHAnsi"/>
        </w:rPr>
      </w:pPr>
      <w:r>
        <w:rPr>
          <w:rFonts w:asciiTheme="minorHAnsi" w:hAnsiTheme="minorHAnsi"/>
        </w:rPr>
        <w:t xml:space="preserve"> </w:t>
      </w:r>
      <w:bookmarkStart w:id="200" w:name="_Toc98496376"/>
      <w:bookmarkStart w:id="201" w:name="_Toc101516095"/>
      <w:r w:rsidR="001152F2" w:rsidRPr="00896AB4">
        <w:rPr>
          <w:rFonts w:asciiTheme="minorHAnsi" w:hAnsiTheme="minorHAnsi"/>
        </w:rPr>
        <w:t>Elements supporting assurance</w:t>
      </w:r>
      <w:bookmarkEnd w:id="200"/>
      <w:bookmarkEnd w:id="201"/>
      <w:r w:rsidR="001152F2" w:rsidRPr="00896AB4">
        <w:rPr>
          <w:rFonts w:asciiTheme="minorHAnsi" w:hAnsiTheme="minorHAnsi"/>
        </w:rPr>
        <w:t xml:space="preserve"> </w:t>
      </w:r>
    </w:p>
    <w:p w14:paraId="02E64C31" w14:textId="77777777" w:rsidR="0010294B" w:rsidRDefault="0010294B" w:rsidP="0010294B">
      <w:pPr>
        <w:jc w:val="both"/>
      </w:pPr>
      <w:r>
        <w:t xml:space="preserve">Reasonable assurance is the personal judgement of the JU’s Executive Director – as the JU's authorising officer at the date of signature of this Annual Activity Report – based on all the information at his disposal. </w:t>
      </w:r>
    </w:p>
    <w:p w14:paraId="5805A4F4" w14:textId="77777777" w:rsidR="0010294B" w:rsidRDefault="0010294B" w:rsidP="0010294B">
      <w:pPr>
        <w:autoSpaceDE w:val="0"/>
        <w:autoSpaceDN w:val="0"/>
        <w:adjustRightInd w:val="0"/>
        <w:jc w:val="both"/>
        <w:rPr>
          <w:rFonts w:asciiTheme="minorHAnsi" w:eastAsia="Times New Roman" w:hAnsiTheme="minorHAnsi"/>
        </w:rPr>
      </w:pPr>
      <w:r>
        <w:t xml:space="preserve">The main elements supporting the assurance are based on the JU’s management assessment of the robustness of the JU’s Internal Control Framework, the results of audits from the ECA and the IAS, the reporting from the internal control and audit manager, and the reporting from the heads of unit.  </w:t>
      </w:r>
    </w:p>
    <w:p w14:paraId="6B960479" w14:textId="77777777" w:rsidR="0010294B" w:rsidRDefault="0010294B" w:rsidP="0010294B">
      <w:pPr>
        <w:autoSpaceDE w:val="0"/>
        <w:autoSpaceDN w:val="0"/>
        <w:adjustRightInd w:val="0"/>
        <w:jc w:val="both"/>
        <w:rPr>
          <w:rFonts w:asciiTheme="minorHAnsi" w:eastAsia="Times New Roman" w:hAnsiTheme="minorHAnsi"/>
        </w:rPr>
      </w:pPr>
      <w:r>
        <w:t>No significant weaknesses were identified or reported under Section 2 (‘Support to Operations’) and Section 4 (‘Internal Control Framework’). Furthermore, b</w:t>
      </w:r>
      <w:r>
        <w:rPr>
          <w:rFonts w:asciiTheme="minorHAnsi" w:eastAsia="Times New Roman" w:hAnsiTheme="minorHAnsi"/>
        </w:rPr>
        <w:t xml:space="preserve">ased on their review, the heads of unit consider that, given the scope of the statement of assurance and taking into account the controls and monitoring system in place, there are no weaknesses that could call into question the reasonable assurance as to the use of resources for their intended purpose, in accordance with </w:t>
      </w:r>
      <w:r>
        <w:rPr>
          <w:rFonts w:asciiTheme="minorHAnsi" w:eastAsia="Times New Roman" w:hAnsiTheme="minorHAnsi"/>
          <w:iCs/>
        </w:rPr>
        <w:t>the principles of sound financial management, and the fact that the implemented control procedures provide the necessary guarantees on the legality and regularity of the underlying transactions.</w:t>
      </w:r>
    </w:p>
    <w:p w14:paraId="2CD1ACFE" w14:textId="77777777" w:rsidR="0010294B" w:rsidRPr="00824583" w:rsidRDefault="0010294B" w:rsidP="00824583">
      <w:pPr>
        <w:ind w:left="720"/>
        <w:rPr>
          <w:rFonts w:asciiTheme="minorHAnsi" w:hAnsiTheme="minorHAnsi"/>
          <w:color w:val="0070C0"/>
        </w:rPr>
      </w:pPr>
    </w:p>
    <w:p w14:paraId="7A811B3B" w14:textId="77777777" w:rsidR="00375B8D" w:rsidRPr="00896AB4" w:rsidRDefault="008154CC" w:rsidP="00864737">
      <w:pPr>
        <w:pStyle w:val="Heading3"/>
        <w:numPr>
          <w:ilvl w:val="1"/>
          <w:numId w:val="1"/>
        </w:numPr>
        <w:jc w:val="both"/>
        <w:rPr>
          <w:rFonts w:asciiTheme="minorHAnsi" w:hAnsiTheme="minorHAnsi"/>
        </w:rPr>
      </w:pPr>
      <w:r>
        <w:rPr>
          <w:rFonts w:asciiTheme="minorHAnsi" w:hAnsiTheme="minorHAnsi"/>
        </w:rPr>
        <w:t xml:space="preserve"> </w:t>
      </w:r>
      <w:bookmarkStart w:id="202" w:name="_Toc98496377"/>
      <w:bookmarkStart w:id="203" w:name="_Toc101516096"/>
      <w:r w:rsidR="00206F3E" w:rsidRPr="00896AB4">
        <w:rPr>
          <w:rFonts w:asciiTheme="minorHAnsi" w:hAnsiTheme="minorHAnsi"/>
        </w:rPr>
        <w:t>Reservations</w:t>
      </w:r>
      <w:bookmarkEnd w:id="202"/>
      <w:bookmarkEnd w:id="203"/>
      <w:r w:rsidR="001152F2" w:rsidRPr="00896AB4">
        <w:rPr>
          <w:rFonts w:asciiTheme="minorHAnsi" w:hAnsiTheme="minorHAnsi"/>
        </w:rPr>
        <w:t xml:space="preserve"> </w:t>
      </w:r>
    </w:p>
    <w:p w14:paraId="4649F0B6" w14:textId="77777777" w:rsidR="0010294B" w:rsidRPr="0010294B" w:rsidRDefault="0010294B" w:rsidP="0010294B">
      <w:pPr>
        <w:ind w:left="720"/>
        <w:jc w:val="both"/>
        <w:rPr>
          <w:rFonts w:asciiTheme="minorHAnsi" w:hAnsiTheme="minorHAnsi"/>
          <w:color w:val="0070C0"/>
        </w:rPr>
      </w:pPr>
      <w:r w:rsidRPr="0010294B">
        <w:rPr>
          <w:rFonts w:asciiTheme="minorHAnsi" w:hAnsiTheme="minorHAnsi"/>
          <w:color w:val="0070C0"/>
        </w:rPr>
        <w:t>H2020 programme</w:t>
      </w:r>
    </w:p>
    <w:p w14:paraId="1DA4598D" w14:textId="54D21A41" w:rsidR="0010294B" w:rsidRPr="00C62793" w:rsidRDefault="0010294B" w:rsidP="0010294B">
      <w:pPr>
        <w:ind w:left="720"/>
        <w:jc w:val="both"/>
      </w:pPr>
      <w:r w:rsidRPr="00C62793">
        <w:lastRenderedPageBreak/>
        <w:t xml:space="preserve">The indicative representative error rate resulting from the 43 representative audits finalised </w:t>
      </w:r>
      <w:proofErr w:type="gramStart"/>
      <w:r w:rsidRPr="00C62793">
        <w:t>is  3</w:t>
      </w:r>
      <w:proofErr w:type="gramEnd"/>
      <w:r w:rsidRPr="00C62793">
        <w:t>.84</w:t>
      </w:r>
      <w:r w:rsidR="00B27ADE">
        <w:rPr>
          <w:rStyle w:val="FootnoteReference"/>
        </w:rPr>
        <w:footnoteReference w:id="123"/>
      </w:r>
      <w:r w:rsidRPr="00C62793">
        <w:t xml:space="preserve"> % (2020: -2.16 %) at JU contribution level.</w:t>
      </w:r>
    </w:p>
    <w:p w14:paraId="450C2B1F" w14:textId="6C6C1034" w:rsidR="0010294B" w:rsidRPr="00C62793" w:rsidRDefault="0010294B" w:rsidP="0010294B">
      <w:pPr>
        <w:ind w:left="720"/>
        <w:jc w:val="both"/>
      </w:pPr>
      <w:r w:rsidRPr="00C62793">
        <w:t xml:space="preserve">The residual error rate (i.e. error remaining in the population after corrections and recoveries) calculated at this point </w:t>
      </w:r>
      <w:proofErr w:type="gramStart"/>
      <w:r w:rsidRPr="00C62793">
        <w:t>is  1.</w:t>
      </w:r>
      <w:r w:rsidR="004C53FC">
        <w:t>73</w:t>
      </w:r>
      <w:proofErr w:type="gramEnd"/>
      <w:r w:rsidRPr="00C62793">
        <w:t xml:space="preserve"> % (2020: -1.34 %) at JU contribution level. This rate should develop as more audits are closed and more corrections and recoveries undertaken.</w:t>
      </w:r>
    </w:p>
    <w:p w14:paraId="7EDF273D" w14:textId="77777777" w:rsidR="0010294B" w:rsidRPr="00C62793" w:rsidRDefault="0010294B" w:rsidP="0010294B">
      <w:pPr>
        <w:ind w:left="720"/>
        <w:jc w:val="both"/>
      </w:pPr>
      <w:r w:rsidRPr="00C62793">
        <w:t>Taking into consideration:</w:t>
      </w:r>
    </w:p>
    <w:p w14:paraId="51F14D57" w14:textId="77777777" w:rsidR="0010294B" w:rsidRPr="00C62793" w:rsidRDefault="0010294B" w:rsidP="0010294B">
      <w:pPr>
        <w:ind w:left="720"/>
        <w:jc w:val="both"/>
      </w:pPr>
      <w:r w:rsidRPr="00C62793">
        <w:t>•</w:t>
      </w:r>
      <w:r w:rsidRPr="00C62793">
        <w:tab/>
        <w:t xml:space="preserve">The residual error rates below 2 % </w:t>
      </w:r>
      <w:proofErr w:type="gramStart"/>
      <w:r w:rsidRPr="00C62793">
        <w:t>at this point in time</w:t>
      </w:r>
      <w:proofErr w:type="gramEnd"/>
    </w:p>
    <w:p w14:paraId="3130D7F3" w14:textId="77777777" w:rsidR="0010294B" w:rsidRPr="00C62793" w:rsidRDefault="0010294B" w:rsidP="0010294B">
      <w:pPr>
        <w:ind w:left="720"/>
        <w:jc w:val="both"/>
      </w:pPr>
      <w:r w:rsidRPr="00C62793">
        <w:t>•</w:t>
      </w:r>
      <w:r w:rsidRPr="00C62793">
        <w:tab/>
        <w:t>The adequate audit coverage, comprising a representative number of finalised audits</w:t>
      </w:r>
    </w:p>
    <w:p w14:paraId="39D95AD9" w14:textId="77777777" w:rsidR="0010294B" w:rsidRPr="00C62793" w:rsidRDefault="0010294B" w:rsidP="0010294B">
      <w:pPr>
        <w:ind w:left="720"/>
        <w:jc w:val="both"/>
      </w:pPr>
      <w:r w:rsidRPr="00C62793">
        <w:t>•</w:t>
      </w:r>
      <w:r w:rsidRPr="00C62793">
        <w:tab/>
        <w:t>The experience gained by JU staff in the ex-ante validation of costs claims</w:t>
      </w:r>
    </w:p>
    <w:p w14:paraId="627EFAF1" w14:textId="5993E75F" w:rsidR="0010294B" w:rsidRPr="00C62793" w:rsidRDefault="0010294B" w:rsidP="0010294B">
      <w:pPr>
        <w:ind w:left="720"/>
        <w:jc w:val="both"/>
      </w:pPr>
      <w:r w:rsidRPr="00C62793">
        <w:t>•</w:t>
      </w:r>
      <w:r w:rsidRPr="00C62793">
        <w:tab/>
        <w:t>The JU’s strong</w:t>
      </w:r>
      <w:r w:rsidR="00B27ADE">
        <w:t xml:space="preserve"> and further reinforced risk-based</w:t>
      </w:r>
      <w:r w:rsidRPr="00C62793">
        <w:t xml:space="preserve"> ex-ante controls (financial webinars, etc.)</w:t>
      </w:r>
    </w:p>
    <w:p w14:paraId="3C6DCDA9" w14:textId="77777777" w:rsidR="0010294B" w:rsidRPr="00C62793" w:rsidRDefault="0010294B" w:rsidP="0010294B">
      <w:pPr>
        <w:ind w:left="720"/>
        <w:jc w:val="both"/>
      </w:pPr>
      <w:r w:rsidRPr="00C62793">
        <w:t>no reservation is necessary. In the opinion of the Executive Director, considering the aspects above and with the information available at this stage, it is possible to state with reasonable assurance that by the end of the programme the residual error rate will be below the materiality threshold (</w:t>
      </w:r>
      <w:proofErr w:type="gramStart"/>
      <w:r w:rsidRPr="00C62793">
        <w:t>i.e.</w:t>
      </w:r>
      <w:proofErr w:type="gramEnd"/>
      <w:r w:rsidRPr="00C62793">
        <w:t xml:space="preserve"> 2 %) established in Annex 9 (‘Materiality criteria’).</w:t>
      </w:r>
    </w:p>
    <w:p w14:paraId="5B77ABA1" w14:textId="77777777" w:rsidR="0010294B" w:rsidRPr="00C62793" w:rsidRDefault="0010294B" w:rsidP="0010294B">
      <w:pPr>
        <w:ind w:left="720"/>
        <w:jc w:val="both"/>
      </w:pPr>
    </w:p>
    <w:p w14:paraId="7EBFBBD0" w14:textId="77777777" w:rsidR="0010294B" w:rsidRPr="0010294B" w:rsidRDefault="0010294B" w:rsidP="0010294B">
      <w:pPr>
        <w:ind w:left="720"/>
        <w:jc w:val="both"/>
        <w:rPr>
          <w:rFonts w:asciiTheme="minorHAnsi" w:hAnsiTheme="minorHAnsi"/>
          <w:color w:val="0070C0"/>
        </w:rPr>
      </w:pPr>
      <w:r w:rsidRPr="0010294B">
        <w:rPr>
          <w:rFonts w:asciiTheme="minorHAnsi" w:hAnsiTheme="minorHAnsi"/>
          <w:color w:val="0070C0"/>
        </w:rPr>
        <w:t>FP7 programme</w:t>
      </w:r>
    </w:p>
    <w:p w14:paraId="1C950F3A" w14:textId="08B67EA0" w:rsidR="0010294B" w:rsidRPr="00C62793" w:rsidRDefault="0010294B" w:rsidP="0010294B">
      <w:pPr>
        <w:ind w:left="720"/>
        <w:jc w:val="both"/>
      </w:pPr>
      <w:r w:rsidRPr="00C62793">
        <w:t xml:space="preserve">The representative error rate resulting from the </w:t>
      </w:r>
      <w:r w:rsidR="00D01F00">
        <w:t>145</w:t>
      </w:r>
      <w:r w:rsidRPr="00C62793">
        <w:t xml:space="preserve"> representative audits finalised is </w:t>
      </w:r>
      <w:r w:rsidR="00D01F00">
        <w:t>stable</w:t>
      </w:r>
      <w:r w:rsidRPr="00C62793">
        <w:t xml:space="preserve"> 1.97 % (2020: -1.97 %) at the JU contribution level.</w:t>
      </w:r>
    </w:p>
    <w:p w14:paraId="1D75F6DE" w14:textId="5C246A9C" w:rsidR="0010294B" w:rsidRPr="00C62793" w:rsidRDefault="0010294B" w:rsidP="0010294B">
      <w:pPr>
        <w:ind w:left="720"/>
        <w:jc w:val="both"/>
      </w:pPr>
      <w:r w:rsidRPr="00C62793">
        <w:t xml:space="preserve">The residual error rate (i.e. error remaining in the population after corrections and recoveries) </w:t>
      </w:r>
      <w:proofErr w:type="gramStart"/>
      <w:r w:rsidRPr="00C62793">
        <w:t>is  1.11</w:t>
      </w:r>
      <w:proofErr w:type="gramEnd"/>
      <w:r w:rsidRPr="00C62793">
        <w:t xml:space="preserve"> % (2020:  1.01 %) at JU contribution level. This rate is final as all FP7 audits were closed. </w:t>
      </w:r>
    </w:p>
    <w:p w14:paraId="518C7179" w14:textId="7C1ABC22" w:rsidR="0010294B" w:rsidRPr="00D01F00" w:rsidRDefault="00D01F00" w:rsidP="0010294B">
      <w:pPr>
        <w:ind w:left="720"/>
        <w:jc w:val="both"/>
        <w:rPr>
          <w:b/>
          <w:bCs/>
        </w:rPr>
      </w:pPr>
      <w:r>
        <w:rPr>
          <w:b/>
          <w:bCs/>
        </w:rPr>
        <w:t>J</w:t>
      </w:r>
      <w:r w:rsidR="0010294B" w:rsidRPr="00D01F00">
        <w:rPr>
          <w:b/>
          <w:bCs/>
        </w:rPr>
        <w:t>U actions towards an acceptable level of residual error rate</w:t>
      </w:r>
      <w:r w:rsidRPr="00D01F00">
        <w:rPr>
          <w:b/>
          <w:bCs/>
        </w:rPr>
        <w:t>:</w:t>
      </w:r>
    </w:p>
    <w:p w14:paraId="13EA0C19" w14:textId="115C355B" w:rsidR="0010294B" w:rsidRPr="00C62793" w:rsidRDefault="0010294B" w:rsidP="0010294B">
      <w:pPr>
        <w:ind w:left="720"/>
        <w:jc w:val="both"/>
      </w:pPr>
      <w:r w:rsidRPr="00C62793">
        <w:t>The declaration of assurance in 20</w:t>
      </w:r>
      <w:r w:rsidR="00D01F00">
        <w:t>20</w:t>
      </w:r>
      <w:r w:rsidRPr="00C62793">
        <w:t xml:space="preserve"> did not include a reservation, as is the case in 202</w:t>
      </w:r>
      <w:r w:rsidR="00D01F00">
        <w:t>1</w:t>
      </w:r>
      <w:r w:rsidRPr="00C62793">
        <w:t xml:space="preserve">. This is the result of the JU’s firm commitment to maintain a robust internal control system where ex-post audits play a significant role. The residual error rate is a key indicator of the legality and regularity of the JU’s transactions. </w:t>
      </w:r>
    </w:p>
    <w:p w14:paraId="14DEC618" w14:textId="70E1862E" w:rsidR="0010294B" w:rsidRPr="00C62793" w:rsidRDefault="0010294B" w:rsidP="0010294B">
      <w:pPr>
        <w:ind w:left="720"/>
        <w:jc w:val="both"/>
      </w:pPr>
      <w:r w:rsidRPr="00C62793">
        <w:t>The JU action</w:t>
      </w:r>
      <w:r w:rsidR="00D01F00">
        <w:t xml:space="preserve">s </w:t>
      </w:r>
      <w:r w:rsidRPr="00C62793">
        <w:t xml:space="preserve">include a combination of preventive, detective and corrective measures and </w:t>
      </w:r>
      <w:r w:rsidR="00D01F00">
        <w:t xml:space="preserve">they are </w:t>
      </w:r>
      <w:r w:rsidRPr="00C62793">
        <w:t xml:space="preserve">closely monitored. The measures/actions </w:t>
      </w:r>
      <w:r w:rsidR="00D01F00">
        <w:t>are as</w:t>
      </w:r>
      <w:r w:rsidRPr="00C62793">
        <w:t xml:space="preserve"> follows:</w:t>
      </w:r>
    </w:p>
    <w:p w14:paraId="4162443C" w14:textId="77777777" w:rsidR="0010294B" w:rsidRPr="0010294B" w:rsidRDefault="0010294B" w:rsidP="0010294B">
      <w:pPr>
        <w:ind w:left="720"/>
        <w:jc w:val="both"/>
        <w:rPr>
          <w:rFonts w:asciiTheme="minorHAnsi" w:hAnsiTheme="minorHAnsi"/>
          <w:color w:val="0070C0"/>
        </w:rPr>
      </w:pPr>
    </w:p>
    <w:p w14:paraId="71E09081" w14:textId="1B031FB2" w:rsidR="0010294B" w:rsidRPr="00C62793" w:rsidRDefault="0010294B" w:rsidP="0010294B">
      <w:pPr>
        <w:ind w:left="720"/>
        <w:jc w:val="both"/>
        <w:rPr>
          <w:rFonts w:asciiTheme="minorHAnsi" w:hAnsiTheme="minorHAnsi"/>
        </w:rPr>
      </w:pPr>
      <w:r w:rsidRPr="0010294B">
        <w:rPr>
          <w:rFonts w:asciiTheme="minorHAnsi" w:hAnsiTheme="minorHAnsi"/>
          <w:color w:val="0070C0"/>
        </w:rPr>
        <w:t>•</w:t>
      </w:r>
      <w:r w:rsidRPr="0010294B">
        <w:rPr>
          <w:rFonts w:asciiTheme="minorHAnsi" w:hAnsiTheme="minorHAnsi"/>
          <w:color w:val="0070C0"/>
        </w:rPr>
        <w:tab/>
      </w:r>
      <w:r w:rsidRPr="00C62793">
        <w:rPr>
          <w:rFonts w:asciiTheme="minorHAnsi" w:hAnsiTheme="minorHAnsi"/>
        </w:rPr>
        <w:t xml:space="preserve">Organisation of financial webinars to explain key aspects of the financial provisions of the H2020 Model Grant Agreement and of financial reporting with a focus on specificities and business models pertinent to the JU and aiming to prevent errors. Since 2016, for all new </w:t>
      </w:r>
      <w:r w:rsidRPr="00C62793">
        <w:rPr>
          <w:rFonts w:asciiTheme="minorHAnsi" w:hAnsiTheme="minorHAnsi"/>
        </w:rPr>
        <w:lastRenderedPageBreak/>
        <w:t>signed grants, specific targeted financial webinars have been organized within the first year following the start of the action, which are available to all members of the consortia (see also section 4.2).</w:t>
      </w:r>
    </w:p>
    <w:p w14:paraId="4F14957B" w14:textId="77777777" w:rsidR="0010294B" w:rsidRPr="00C62793" w:rsidRDefault="0010294B" w:rsidP="0010294B">
      <w:pPr>
        <w:ind w:left="720"/>
        <w:jc w:val="both"/>
        <w:rPr>
          <w:rFonts w:asciiTheme="minorHAnsi" w:hAnsiTheme="minorHAnsi"/>
        </w:rPr>
      </w:pPr>
    </w:p>
    <w:p w14:paraId="63B769D2" w14:textId="77777777" w:rsidR="0010294B" w:rsidRPr="00C62793" w:rsidRDefault="0010294B" w:rsidP="0010294B">
      <w:pPr>
        <w:ind w:left="720"/>
        <w:jc w:val="both"/>
        <w:rPr>
          <w:rFonts w:asciiTheme="minorHAnsi" w:hAnsiTheme="minorHAnsi"/>
        </w:rPr>
      </w:pPr>
      <w:r w:rsidRPr="00C62793">
        <w:rPr>
          <w:rFonts w:asciiTheme="minorHAnsi" w:hAnsiTheme="minorHAnsi"/>
        </w:rPr>
        <w:t>•</w:t>
      </w:r>
      <w:r w:rsidRPr="00C62793">
        <w:rPr>
          <w:rFonts w:asciiTheme="minorHAnsi" w:hAnsiTheme="minorHAnsi"/>
        </w:rPr>
        <w:tab/>
        <w:t xml:space="preserve">Greater involvement by the financial officers during grant agreement preparations and in project kick-off meetings </w:t>
      </w:r>
      <w:proofErr w:type="gramStart"/>
      <w:r w:rsidRPr="00C62793">
        <w:rPr>
          <w:rFonts w:asciiTheme="minorHAnsi" w:hAnsiTheme="minorHAnsi"/>
        </w:rPr>
        <w:t>in order to</w:t>
      </w:r>
      <w:proofErr w:type="gramEnd"/>
      <w:r w:rsidRPr="00C62793">
        <w:rPr>
          <w:rFonts w:asciiTheme="minorHAnsi" w:hAnsiTheme="minorHAnsi"/>
        </w:rPr>
        <w:t xml:space="preserve"> check the financial aspects and clarify financial reporting requirements.</w:t>
      </w:r>
    </w:p>
    <w:p w14:paraId="0E638AD6" w14:textId="77777777" w:rsidR="0010294B" w:rsidRPr="00C62793" w:rsidRDefault="0010294B" w:rsidP="0010294B">
      <w:pPr>
        <w:ind w:left="720"/>
        <w:jc w:val="both"/>
        <w:rPr>
          <w:rFonts w:asciiTheme="minorHAnsi" w:hAnsiTheme="minorHAnsi"/>
        </w:rPr>
      </w:pPr>
    </w:p>
    <w:p w14:paraId="1BD1FCA6" w14:textId="77777777" w:rsidR="0010294B" w:rsidRPr="00C62793" w:rsidRDefault="0010294B" w:rsidP="0010294B">
      <w:pPr>
        <w:ind w:left="720"/>
        <w:jc w:val="both"/>
        <w:rPr>
          <w:rFonts w:asciiTheme="minorHAnsi" w:hAnsiTheme="minorHAnsi"/>
        </w:rPr>
      </w:pPr>
      <w:r w:rsidRPr="00C62793">
        <w:rPr>
          <w:rFonts w:asciiTheme="minorHAnsi" w:hAnsiTheme="minorHAnsi"/>
        </w:rPr>
        <w:t>•</w:t>
      </w:r>
      <w:r w:rsidRPr="00C62793">
        <w:rPr>
          <w:rFonts w:asciiTheme="minorHAnsi" w:hAnsiTheme="minorHAnsi"/>
        </w:rPr>
        <w:tab/>
        <w:t>Ad-hoc financial webinars for individual projects, depending on the complexity of the project and needs of the beneficiaries.</w:t>
      </w:r>
    </w:p>
    <w:p w14:paraId="61D63C07" w14:textId="77777777" w:rsidR="0010294B" w:rsidRPr="00C62793" w:rsidRDefault="0010294B" w:rsidP="0010294B">
      <w:pPr>
        <w:ind w:left="720"/>
        <w:jc w:val="both"/>
        <w:rPr>
          <w:rFonts w:asciiTheme="minorHAnsi" w:hAnsiTheme="minorHAnsi"/>
        </w:rPr>
      </w:pPr>
    </w:p>
    <w:p w14:paraId="72C9BC92" w14:textId="626D72D7" w:rsidR="0010294B" w:rsidRPr="00C62793" w:rsidRDefault="0010294B" w:rsidP="0010294B">
      <w:pPr>
        <w:ind w:left="720"/>
        <w:jc w:val="both"/>
        <w:rPr>
          <w:rFonts w:asciiTheme="minorHAnsi" w:hAnsiTheme="minorHAnsi"/>
        </w:rPr>
      </w:pPr>
      <w:r w:rsidRPr="00C62793">
        <w:rPr>
          <w:rFonts w:asciiTheme="minorHAnsi" w:hAnsiTheme="minorHAnsi"/>
        </w:rPr>
        <w:t>•</w:t>
      </w:r>
      <w:r w:rsidRPr="00C62793">
        <w:rPr>
          <w:rFonts w:asciiTheme="minorHAnsi" w:hAnsiTheme="minorHAnsi"/>
        </w:rPr>
        <w:tab/>
      </w:r>
      <w:r w:rsidR="00D01F00">
        <w:rPr>
          <w:rFonts w:asciiTheme="minorHAnsi" w:hAnsiTheme="minorHAnsi"/>
        </w:rPr>
        <w:t>Since 2020, b</w:t>
      </w:r>
      <w:r w:rsidRPr="00C62793">
        <w:rPr>
          <w:rFonts w:asciiTheme="minorHAnsi" w:hAnsiTheme="minorHAnsi"/>
        </w:rPr>
        <w:t>ilateral targeted webinars with beneficiaries selected based on risk-assessment.</w:t>
      </w:r>
    </w:p>
    <w:p w14:paraId="405419AF" w14:textId="77777777" w:rsidR="0010294B" w:rsidRPr="00C62793" w:rsidRDefault="0010294B" w:rsidP="0010294B">
      <w:pPr>
        <w:ind w:left="720"/>
        <w:jc w:val="both"/>
        <w:rPr>
          <w:rFonts w:asciiTheme="minorHAnsi" w:hAnsiTheme="minorHAnsi"/>
        </w:rPr>
      </w:pPr>
    </w:p>
    <w:p w14:paraId="756A3719" w14:textId="77777777" w:rsidR="0010294B" w:rsidRPr="00C62793" w:rsidRDefault="0010294B" w:rsidP="0010294B">
      <w:pPr>
        <w:ind w:left="720"/>
        <w:jc w:val="both"/>
        <w:rPr>
          <w:rFonts w:asciiTheme="minorHAnsi" w:hAnsiTheme="minorHAnsi"/>
        </w:rPr>
      </w:pPr>
      <w:r w:rsidRPr="00C62793">
        <w:rPr>
          <w:rFonts w:asciiTheme="minorHAnsi" w:hAnsiTheme="minorHAnsi"/>
        </w:rPr>
        <w:t>•</w:t>
      </w:r>
      <w:r w:rsidRPr="00C62793">
        <w:rPr>
          <w:rFonts w:asciiTheme="minorHAnsi" w:hAnsiTheme="minorHAnsi"/>
        </w:rPr>
        <w:tab/>
        <w:t>Ex-ante controls consistent with the guidelines on ex-ante controls in H2020, adopted by the CIC, which are predominantly risk-based and/or justified by deviations from the budget.</w:t>
      </w:r>
    </w:p>
    <w:p w14:paraId="06D0A2D6" w14:textId="77777777" w:rsidR="0010294B" w:rsidRPr="00C62793" w:rsidRDefault="0010294B" w:rsidP="0010294B">
      <w:pPr>
        <w:ind w:left="720"/>
        <w:jc w:val="both"/>
        <w:rPr>
          <w:rFonts w:asciiTheme="minorHAnsi" w:hAnsiTheme="minorHAnsi"/>
        </w:rPr>
      </w:pPr>
    </w:p>
    <w:p w14:paraId="0D039CD3" w14:textId="71B91DF9" w:rsidR="0010294B" w:rsidRPr="00C62793" w:rsidRDefault="0010294B" w:rsidP="0010294B">
      <w:pPr>
        <w:ind w:left="720"/>
        <w:jc w:val="both"/>
        <w:rPr>
          <w:rFonts w:asciiTheme="minorHAnsi" w:hAnsiTheme="minorHAnsi"/>
        </w:rPr>
      </w:pPr>
      <w:r w:rsidRPr="00C62793">
        <w:rPr>
          <w:rFonts w:asciiTheme="minorHAnsi" w:hAnsiTheme="minorHAnsi"/>
        </w:rPr>
        <w:t>•</w:t>
      </w:r>
      <w:r w:rsidRPr="00C62793">
        <w:rPr>
          <w:rFonts w:asciiTheme="minorHAnsi" w:hAnsiTheme="minorHAnsi"/>
        </w:rPr>
        <w:tab/>
        <w:t>Ex-post audits: as indicated in the sections on H2020 ex-post audits above, the JU will ensure that, in line with Annex 1 to the H2020 Audit Strategy, the audit effort is sufficient to allow for adequate coverage and the calculation of a representative error rate on JU expenditure.</w:t>
      </w:r>
    </w:p>
    <w:p w14:paraId="5EA3FD27" w14:textId="77777777" w:rsidR="0010294B" w:rsidRPr="00C62793" w:rsidRDefault="0010294B" w:rsidP="0010294B">
      <w:pPr>
        <w:ind w:left="720"/>
        <w:jc w:val="both"/>
        <w:rPr>
          <w:rFonts w:asciiTheme="minorHAnsi" w:hAnsiTheme="minorHAnsi"/>
        </w:rPr>
      </w:pPr>
    </w:p>
    <w:p w14:paraId="5433AB57" w14:textId="77777777" w:rsidR="0010294B" w:rsidRPr="00C62793" w:rsidRDefault="0010294B" w:rsidP="0010294B">
      <w:pPr>
        <w:ind w:left="720"/>
        <w:jc w:val="both"/>
        <w:rPr>
          <w:rFonts w:asciiTheme="minorHAnsi" w:hAnsiTheme="minorHAnsi"/>
        </w:rPr>
      </w:pPr>
      <w:r w:rsidRPr="00C62793">
        <w:rPr>
          <w:rFonts w:asciiTheme="minorHAnsi" w:hAnsiTheme="minorHAnsi"/>
        </w:rPr>
        <w:t>•</w:t>
      </w:r>
      <w:r w:rsidRPr="00C62793">
        <w:rPr>
          <w:rFonts w:asciiTheme="minorHAnsi" w:hAnsiTheme="minorHAnsi"/>
        </w:rPr>
        <w:tab/>
        <w:t>Participation by the financial officers in the ex-post audits as observers to further improve the system of ex-ante controls.</w:t>
      </w:r>
    </w:p>
    <w:p w14:paraId="5D411134" w14:textId="77777777" w:rsidR="0010294B" w:rsidRPr="00C62793" w:rsidRDefault="0010294B" w:rsidP="0010294B">
      <w:pPr>
        <w:ind w:left="720"/>
        <w:jc w:val="both"/>
        <w:rPr>
          <w:rFonts w:asciiTheme="minorHAnsi" w:hAnsiTheme="minorHAnsi"/>
        </w:rPr>
      </w:pPr>
    </w:p>
    <w:p w14:paraId="591D53A5" w14:textId="0BAF1E7D" w:rsidR="0010294B" w:rsidRPr="00C62793" w:rsidRDefault="0010294B" w:rsidP="0010294B">
      <w:pPr>
        <w:ind w:left="720"/>
        <w:jc w:val="both"/>
        <w:rPr>
          <w:rFonts w:asciiTheme="minorHAnsi" w:hAnsiTheme="minorHAnsi"/>
        </w:rPr>
      </w:pPr>
      <w:r w:rsidRPr="00C62793">
        <w:rPr>
          <w:rFonts w:asciiTheme="minorHAnsi" w:hAnsiTheme="minorHAnsi"/>
        </w:rPr>
        <w:t xml:space="preserve">The </w:t>
      </w:r>
      <w:r w:rsidR="00D01F00">
        <w:rPr>
          <w:rFonts w:asciiTheme="minorHAnsi" w:hAnsiTheme="minorHAnsi"/>
        </w:rPr>
        <w:t>JU</w:t>
      </w:r>
      <w:r w:rsidRPr="00C62793">
        <w:rPr>
          <w:rFonts w:asciiTheme="minorHAnsi" w:hAnsiTheme="minorHAnsi"/>
        </w:rPr>
        <w:t xml:space="preserve"> has a clear control strategy which is multi-annual in nature and combines ex-ante and ex-post controls while taking cost-efficiency into consideration. Since this strategy has proved its effectiveness from an assurance point of view, the </w:t>
      </w:r>
      <w:r w:rsidR="00D01F00">
        <w:rPr>
          <w:rFonts w:asciiTheme="minorHAnsi" w:hAnsiTheme="minorHAnsi"/>
        </w:rPr>
        <w:t>JU</w:t>
      </w:r>
      <w:r w:rsidRPr="00C62793">
        <w:rPr>
          <w:rFonts w:asciiTheme="minorHAnsi" w:hAnsiTheme="minorHAnsi"/>
        </w:rPr>
        <w:t xml:space="preserve"> is fully committed to continuing its work along the same control principles</w:t>
      </w:r>
      <w:r w:rsidR="00D01F00">
        <w:rPr>
          <w:rFonts w:asciiTheme="minorHAnsi" w:hAnsiTheme="minorHAnsi"/>
        </w:rPr>
        <w:t xml:space="preserve"> and to further improve in the upcoming Horizon Europe framework programme</w:t>
      </w:r>
      <w:r w:rsidRPr="00C62793">
        <w:rPr>
          <w:rFonts w:asciiTheme="minorHAnsi" w:hAnsiTheme="minorHAnsi"/>
        </w:rPr>
        <w:t>.</w:t>
      </w:r>
    </w:p>
    <w:p w14:paraId="533D848D" w14:textId="77777777" w:rsidR="00375B8D" w:rsidRPr="00896AB4" w:rsidRDefault="008154CC" w:rsidP="00864737">
      <w:pPr>
        <w:pStyle w:val="Heading3"/>
        <w:numPr>
          <w:ilvl w:val="1"/>
          <w:numId w:val="1"/>
        </w:numPr>
        <w:jc w:val="both"/>
        <w:rPr>
          <w:rFonts w:asciiTheme="minorHAnsi" w:hAnsiTheme="minorHAnsi"/>
        </w:rPr>
      </w:pPr>
      <w:r>
        <w:rPr>
          <w:rFonts w:asciiTheme="minorHAnsi" w:hAnsiTheme="minorHAnsi"/>
        </w:rPr>
        <w:t xml:space="preserve"> </w:t>
      </w:r>
      <w:bookmarkStart w:id="204" w:name="_Toc98496378"/>
      <w:bookmarkStart w:id="205" w:name="_Toc101516097"/>
      <w:r w:rsidR="00206F3E" w:rsidRPr="00896AB4">
        <w:rPr>
          <w:rFonts w:asciiTheme="minorHAnsi" w:hAnsiTheme="minorHAnsi"/>
        </w:rPr>
        <w:t>Overall conclusion</w:t>
      </w:r>
      <w:bookmarkEnd w:id="204"/>
      <w:bookmarkEnd w:id="205"/>
      <w:r w:rsidR="0029366F" w:rsidRPr="00896AB4">
        <w:rPr>
          <w:rFonts w:asciiTheme="minorHAnsi" w:hAnsiTheme="minorHAnsi"/>
        </w:rPr>
        <w:t xml:space="preserve"> </w:t>
      </w:r>
    </w:p>
    <w:p w14:paraId="580B0FC5" w14:textId="3B68E789" w:rsidR="0010294B" w:rsidRDefault="0010294B" w:rsidP="005930BB">
      <w:pPr>
        <w:spacing w:after="60"/>
        <w:ind w:left="720"/>
        <w:jc w:val="both"/>
        <w:rPr>
          <w:rFonts w:asciiTheme="minorHAnsi" w:hAnsiTheme="minorHAnsi"/>
          <w:color w:val="0070C0"/>
        </w:rPr>
      </w:pPr>
    </w:p>
    <w:p w14:paraId="62A29694" w14:textId="77777777" w:rsidR="0010294B" w:rsidRDefault="0010294B" w:rsidP="0010294B">
      <w:pPr>
        <w:jc w:val="both"/>
      </w:pPr>
      <w:r>
        <w:t xml:space="preserve">The purpose of this section is to provide an overall conclusion on the declaration of </w:t>
      </w:r>
      <w:proofErr w:type="gramStart"/>
      <w:r>
        <w:t>assurance as a whole</w:t>
      </w:r>
      <w:proofErr w:type="gramEnd"/>
      <w:r>
        <w:t xml:space="preserve"> (section 6).</w:t>
      </w:r>
    </w:p>
    <w:p w14:paraId="1277AA19" w14:textId="77777777" w:rsidR="0010294B" w:rsidRDefault="0010294B" w:rsidP="0010294B">
      <w:pPr>
        <w:jc w:val="both"/>
      </w:pPr>
      <w:r>
        <w:lastRenderedPageBreak/>
        <w:t>It is important to note that only material weaknesses/risks lead to any reservation concerning the assurances in section 6. The concept of ‘materiality’ provides the Executive Director with the basis for assessing the importance of the weaknesses/risks identified. Deciding whether something is material involves making a judgement in both qualitative and quantitative terms (see details on the Materiality criteria in Annex 9).</w:t>
      </w:r>
    </w:p>
    <w:p w14:paraId="13C53E00" w14:textId="77777777" w:rsidR="0010294B" w:rsidRDefault="0010294B" w:rsidP="0010294B">
      <w:pPr>
        <w:jc w:val="both"/>
      </w:pPr>
      <w:r>
        <w:t>Based on the information provided in the sections above, the following conclusions can be drawn.</w:t>
      </w:r>
    </w:p>
    <w:p w14:paraId="10E85354" w14:textId="76FA00FD" w:rsidR="0010294B" w:rsidRDefault="0010294B" w:rsidP="002672A0">
      <w:pPr>
        <w:numPr>
          <w:ilvl w:val="0"/>
          <w:numId w:val="48"/>
        </w:numPr>
        <w:ind w:hanging="360"/>
        <w:jc w:val="both"/>
      </w:pPr>
      <w:r>
        <w:t xml:space="preserve">Concerning the </w:t>
      </w:r>
      <w:r w:rsidR="00D01F00">
        <w:t>JU</w:t>
      </w:r>
      <w:r>
        <w:t xml:space="preserve">’s policy activities, no qualification needs to be made. Likewise, there is no reservation in the procedures relating to the selection of contractors and beneficiaries for </w:t>
      </w:r>
      <w:r w:rsidR="00D01F00">
        <w:t>JU</w:t>
      </w:r>
      <w:r>
        <w:t xml:space="preserve"> </w:t>
      </w:r>
      <w:r w:rsidR="00D01F00">
        <w:t>grant agreements</w:t>
      </w:r>
      <w:r>
        <w:t xml:space="preserve"> and their underlying financial operations (legal and financial commitments). This is also the case for JU’s payments relating to administrative expenditure and procurement, as well as for pre-financing payments in the case of grants.</w:t>
      </w:r>
    </w:p>
    <w:p w14:paraId="3BD18260" w14:textId="77777777" w:rsidR="0010294B" w:rsidRDefault="0010294B" w:rsidP="002672A0">
      <w:pPr>
        <w:numPr>
          <w:ilvl w:val="0"/>
          <w:numId w:val="48"/>
        </w:numPr>
        <w:ind w:hanging="360"/>
        <w:jc w:val="both"/>
      </w:pPr>
      <w:r>
        <w:t>The amounts with a greater risk of being affected by errors are the expenditures incurred against cost statements. Based on the analysis of error rates and the effectiveness of the preventive, detective and corrective actions presented in section 5.3, no reservation is necessary in this area either.</w:t>
      </w:r>
    </w:p>
    <w:p w14:paraId="6F8373F0" w14:textId="77777777" w:rsidR="0010294B" w:rsidRDefault="0010294B" w:rsidP="0010294B">
      <w:pPr>
        <w:jc w:val="both"/>
      </w:pPr>
      <w:r>
        <w:t>In conclusion, the JU’s management has reasonable assurance that, overall, suitable controls are in place and are working as intended, risks are being properly monitored and mitigated, and necessary improvements noted by the auditors (</w:t>
      </w:r>
      <w:proofErr w:type="gramStart"/>
      <w:r>
        <w:t>i.e.</w:t>
      </w:r>
      <w:proofErr w:type="gramEnd"/>
      <w:r>
        <w:t xml:space="preserve"> the EC’s IAS and the ECA) are being implemented. Therefore, the Executive Director, in his capacity as authorising officer, has signed the declaration of assurance presented in section 6.</w:t>
      </w:r>
    </w:p>
    <w:p w14:paraId="2103C0F1" w14:textId="77777777" w:rsidR="0010294B" w:rsidRDefault="0010294B" w:rsidP="0010294B"/>
    <w:p w14:paraId="280D8FAE" w14:textId="77777777" w:rsidR="0010294B" w:rsidRDefault="0010294B" w:rsidP="0010294B"/>
    <w:p w14:paraId="42874CFC" w14:textId="77777777" w:rsidR="0010294B" w:rsidRDefault="0010294B" w:rsidP="005930BB">
      <w:pPr>
        <w:spacing w:after="60"/>
        <w:ind w:left="720"/>
        <w:jc w:val="both"/>
        <w:rPr>
          <w:rFonts w:asciiTheme="minorHAnsi" w:hAnsiTheme="minorHAnsi"/>
          <w:color w:val="0070C0"/>
        </w:rPr>
      </w:pPr>
    </w:p>
    <w:p w14:paraId="6163EA52" w14:textId="4BD85602" w:rsidR="009B2364" w:rsidRDefault="009B2364" w:rsidP="009B2364">
      <w:pPr>
        <w:pStyle w:val="Heading3"/>
        <w:numPr>
          <w:ilvl w:val="1"/>
          <w:numId w:val="1"/>
        </w:numPr>
        <w:jc w:val="both"/>
        <w:rPr>
          <w:rFonts w:asciiTheme="minorHAnsi" w:hAnsiTheme="minorHAnsi"/>
        </w:rPr>
      </w:pPr>
      <w:bookmarkStart w:id="206" w:name="_Toc98496379"/>
      <w:bookmarkStart w:id="207" w:name="_Toc101516098"/>
      <w:r>
        <w:rPr>
          <w:rFonts w:asciiTheme="minorHAnsi" w:hAnsiTheme="minorHAnsi"/>
        </w:rPr>
        <w:t>Statement on management reporting</w:t>
      </w:r>
      <w:bookmarkEnd w:id="206"/>
      <w:bookmarkEnd w:id="207"/>
    </w:p>
    <w:p w14:paraId="1E766A1E" w14:textId="77777777" w:rsidR="009B2364" w:rsidRDefault="009B2364" w:rsidP="009B2364">
      <w:r w:rsidRPr="009B2364">
        <w:rPr>
          <w:i/>
          <w:iCs/>
          <w:color w:val="00B0F0"/>
        </w:rPr>
        <w:t>For the Manager in charge of risk management and internal control</w:t>
      </w:r>
      <w:r w:rsidRPr="009B2364">
        <w:rPr>
          <w:color w:val="00B0F0"/>
        </w:rPr>
        <w:t xml:space="preserve">: </w:t>
      </w:r>
    </w:p>
    <w:p w14:paraId="3473829A" w14:textId="70555A8A" w:rsidR="009B2364" w:rsidRDefault="009B2364" w:rsidP="009B2364">
      <w:pPr>
        <w:jc w:val="both"/>
        <w:rPr>
          <w:i/>
          <w:iCs/>
        </w:rPr>
      </w:pPr>
      <w:r w:rsidRPr="009B2364">
        <w:rPr>
          <w:i/>
          <w:iCs/>
        </w:rPr>
        <w:t>I declare that in accordance with the JU Governing Board decision No FCH-GB-2018-12 on Revision of FCH 2 JU internal control framework, I have reported my advice and recommendations on the overall state of internal control in the JU to the Executive Director.</w:t>
      </w:r>
      <w:r>
        <w:rPr>
          <w:i/>
          <w:iCs/>
        </w:rPr>
        <w:t xml:space="preserve"> </w:t>
      </w:r>
    </w:p>
    <w:p w14:paraId="3FF73CDB" w14:textId="77777777" w:rsidR="009B2364" w:rsidRDefault="009B2364" w:rsidP="009B2364">
      <w:pPr>
        <w:jc w:val="both"/>
        <w:rPr>
          <w:i/>
          <w:iCs/>
        </w:rPr>
      </w:pPr>
      <w:r w:rsidRPr="009B2364">
        <w:rPr>
          <w:i/>
          <w:iCs/>
        </w:rPr>
        <w:t xml:space="preserve">I hereby certify that the information provided in the present Annual Activity Report and in its annexes is, to the best of my knowledge, accurate and complete. </w:t>
      </w:r>
    </w:p>
    <w:p w14:paraId="5B10CD0B" w14:textId="3B78ED43" w:rsidR="009B2364" w:rsidRDefault="009B2364" w:rsidP="009B2364">
      <w:pPr>
        <w:jc w:val="both"/>
        <w:rPr>
          <w:i/>
          <w:iCs/>
        </w:rPr>
      </w:pPr>
      <w:r w:rsidRPr="009B2364">
        <w:rPr>
          <w:i/>
          <w:iCs/>
        </w:rPr>
        <w:t xml:space="preserve">Brussels, </w:t>
      </w:r>
      <w:r w:rsidR="00532B5D">
        <w:rPr>
          <w:i/>
          <w:iCs/>
        </w:rPr>
        <w:t>22</w:t>
      </w:r>
      <w:r w:rsidRPr="009B2364">
        <w:rPr>
          <w:i/>
          <w:iCs/>
        </w:rPr>
        <w:t xml:space="preserve"> </w:t>
      </w:r>
      <w:r>
        <w:rPr>
          <w:i/>
          <w:iCs/>
        </w:rPr>
        <w:t xml:space="preserve">April </w:t>
      </w:r>
      <w:r w:rsidRPr="009B2364">
        <w:rPr>
          <w:i/>
          <w:iCs/>
        </w:rPr>
        <w:t>202</w:t>
      </w:r>
      <w:r>
        <w:rPr>
          <w:i/>
          <w:iCs/>
        </w:rPr>
        <w:t>2</w:t>
      </w:r>
      <w:r w:rsidRPr="009B2364">
        <w:rPr>
          <w:i/>
          <w:iCs/>
        </w:rPr>
        <w:t xml:space="preserve"> </w:t>
      </w:r>
    </w:p>
    <w:p w14:paraId="703402A7" w14:textId="77777777" w:rsidR="009B2364" w:rsidRDefault="009B2364" w:rsidP="009B2364">
      <w:pPr>
        <w:jc w:val="both"/>
        <w:rPr>
          <w:i/>
          <w:iCs/>
        </w:rPr>
      </w:pPr>
      <w:r w:rsidRPr="009B2364">
        <w:rPr>
          <w:i/>
          <w:iCs/>
        </w:rPr>
        <w:t xml:space="preserve">signed </w:t>
      </w:r>
    </w:p>
    <w:p w14:paraId="7F5104FA" w14:textId="77777777" w:rsidR="009B2364" w:rsidRDefault="009B2364" w:rsidP="009B2364">
      <w:pPr>
        <w:jc w:val="both"/>
        <w:rPr>
          <w:i/>
          <w:iCs/>
        </w:rPr>
      </w:pPr>
      <w:r>
        <w:rPr>
          <w:i/>
          <w:iCs/>
        </w:rPr>
        <w:t>Philippe Binet</w:t>
      </w:r>
      <w:r w:rsidRPr="009B2364">
        <w:rPr>
          <w:i/>
          <w:iCs/>
        </w:rPr>
        <w:t xml:space="preserve">, Head of </w:t>
      </w:r>
      <w:r>
        <w:rPr>
          <w:i/>
          <w:iCs/>
        </w:rPr>
        <w:t>Finance and Administration</w:t>
      </w:r>
    </w:p>
    <w:p w14:paraId="344B1E63" w14:textId="77777777" w:rsidR="009B2364" w:rsidRDefault="009B2364" w:rsidP="009B2364">
      <w:pPr>
        <w:jc w:val="both"/>
        <w:rPr>
          <w:i/>
          <w:iCs/>
        </w:rPr>
      </w:pPr>
      <w:r w:rsidRPr="009B2364">
        <w:rPr>
          <w:i/>
          <w:iCs/>
          <w:color w:val="00B0F0"/>
        </w:rPr>
        <w:t>For the Manager taking responsibility for the completeness and reliability of management reporting on results and on the achievement of objectives:</w:t>
      </w:r>
      <w:r w:rsidRPr="009B2364">
        <w:rPr>
          <w:i/>
          <w:iCs/>
        </w:rPr>
        <w:t xml:space="preserve"> </w:t>
      </w:r>
    </w:p>
    <w:p w14:paraId="760734FF" w14:textId="77777777" w:rsidR="009B2364" w:rsidRDefault="009B2364" w:rsidP="009B2364">
      <w:pPr>
        <w:jc w:val="both"/>
        <w:rPr>
          <w:i/>
          <w:iCs/>
        </w:rPr>
      </w:pPr>
      <w:r w:rsidRPr="009B2364">
        <w:rPr>
          <w:i/>
          <w:iCs/>
        </w:rPr>
        <w:lastRenderedPageBreak/>
        <w:t xml:space="preserve">I hereby certify that the information provided in the present Annual Activity Report and in its annexes is, to the best of my knowledge, accurate and complete. </w:t>
      </w:r>
    </w:p>
    <w:p w14:paraId="70C4F4A6" w14:textId="6D534B27" w:rsidR="009B2364" w:rsidRDefault="009B2364" w:rsidP="009B2364">
      <w:pPr>
        <w:jc w:val="both"/>
        <w:rPr>
          <w:i/>
          <w:iCs/>
        </w:rPr>
      </w:pPr>
      <w:r w:rsidRPr="009B2364">
        <w:rPr>
          <w:i/>
          <w:iCs/>
        </w:rPr>
        <w:t xml:space="preserve">Brussels, </w:t>
      </w:r>
      <w:r w:rsidR="00532B5D">
        <w:rPr>
          <w:i/>
          <w:iCs/>
        </w:rPr>
        <w:t>22</w:t>
      </w:r>
      <w:r w:rsidRPr="009B2364">
        <w:rPr>
          <w:i/>
          <w:iCs/>
        </w:rPr>
        <w:t xml:space="preserve"> </w:t>
      </w:r>
      <w:r>
        <w:rPr>
          <w:i/>
          <w:iCs/>
        </w:rPr>
        <w:t>April</w:t>
      </w:r>
      <w:r w:rsidRPr="009B2364">
        <w:rPr>
          <w:i/>
          <w:iCs/>
        </w:rPr>
        <w:t xml:space="preserve"> 202</w:t>
      </w:r>
      <w:r>
        <w:rPr>
          <w:i/>
          <w:iCs/>
        </w:rPr>
        <w:t>2</w:t>
      </w:r>
      <w:r w:rsidRPr="009B2364">
        <w:rPr>
          <w:i/>
          <w:iCs/>
        </w:rPr>
        <w:t xml:space="preserve"> </w:t>
      </w:r>
    </w:p>
    <w:p w14:paraId="13CDD94A" w14:textId="77777777" w:rsidR="009B2364" w:rsidRDefault="009B2364" w:rsidP="009B2364">
      <w:pPr>
        <w:jc w:val="both"/>
        <w:rPr>
          <w:i/>
          <w:iCs/>
        </w:rPr>
      </w:pPr>
      <w:r w:rsidRPr="009B2364">
        <w:rPr>
          <w:i/>
          <w:iCs/>
        </w:rPr>
        <w:t xml:space="preserve">signed </w:t>
      </w:r>
    </w:p>
    <w:p w14:paraId="45685C53" w14:textId="77026EAF" w:rsidR="009B2364" w:rsidRPr="009B2364" w:rsidRDefault="009B2364" w:rsidP="009B2364">
      <w:pPr>
        <w:jc w:val="both"/>
        <w:rPr>
          <w:i/>
          <w:iCs/>
        </w:rPr>
      </w:pPr>
      <w:r>
        <w:rPr>
          <w:i/>
          <w:iCs/>
        </w:rPr>
        <w:t>Mirela Atanasiu</w:t>
      </w:r>
      <w:r w:rsidRPr="009B2364">
        <w:rPr>
          <w:i/>
          <w:iCs/>
        </w:rPr>
        <w:t xml:space="preserve">, Head of </w:t>
      </w:r>
      <w:r>
        <w:rPr>
          <w:i/>
          <w:iCs/>
        </w:rPr>
        <w:t>Unit Operations and Communications</w:t>
      </w:r>
    </w:p>
    <w:p w14:paraId="47217FAD" w14:textId="77777777" w:rsidR="00641434" w:rsidRPr="00641434" w:rsidRDefault="00641434" w:rsidP="00641434"/>
    <w:p w14:paraId="6B2BFA52" w14:textId="77777777" w:rsidR="0029366F" w:rsidRPr="00896AB4" w:rsidRDefault="0029366F" w:rsidP="00F25133">
      <w:pPr>
        <w:pStyle w:val="Heading1"/>
        <w:numPr>
          <w:ilvl w:val="0"/>
          <w:numId w:val="1"/>
        </w:numPr>
        <w:jc w:val="both"/>
        <w:rPr>
          <w:rFonts w:asciiTheme="minorHAnsi" w:hAnsiTheme="minorHAnsi"/>
          <w:caps/>
        </w:rPr>
      </w:pPr>
      <w:bookmarkStart w:id="208" w:name="_Toc98496380"/>
      <w:bookmarkStart w:id="209" w:name="_Toc101516099"/>
      <w:r w:rsidRPr="00896AB4">
        <w:rPr>
          <w:rFonts w:asciiTheme="minorHAnsi" w:hAnsiTheme="minorHAnsi"/>
          <w:caps/>
        </w:rPr>
        <w:t>DECLARATION OF ASSURANCE</w:t>
      </w:r>
      <w:bookmarkEnd w:id="208"/>
      <w:bookmarkEnd w:id="209"/>
    </w:p>
    <w:p w14:paraId="112EF9E7" w14:textId="27B3726E" w:rsidR="00265971" w:rsidRPr="00896AB4" w:rsidRDefault="00265971" w:rsidP="00265971">
      <w:pPr>
        <w:pStyle w:val="Letter"/>
        <w:rPr>
          <w:rFonts w:asciiTheme="minorHAnsi" w:hAnsiTheme="minorHAnsi"/>
          <w:bCs/>
          <w:iCs/>
          <w:lang w:val="en-GB"/>
        </w:rPr>
      </w:pPr>
      <w:r w:rsidRPr="00896AB4">
        <w:rPr>
          <w:rFonts w:asciiTheme="minorHAnsi" w:hAnsiTheme="minorHAnsi"/>
          <w:bCs/>
          <w:iCs/>
          <w:lang w:val="en-GB"/>
        </w:rPr>
        <w:t>I, the undersigned,</w:t>
      </w:r>
      <w:r w:rsidR="007A3D0A">
        <w:rPr>
          <w:rFonts w:asciiTheme="minorHAnsi" w:hAnsiTheme="minorHAnsi"/>
          <w:bCs/>
          <w:iCs/>
          <w:lang w:val="en-GB"/>
        </w:rPr>
        <w:t xml:space="preserve"> Bart Biebuyck</w:t>
      </w:r>
    </w:p>
    <w:p w14:paraId="5235CBCA" w14:textId="0928C12C" w:rsidR="00265971" w:rsidRPr="00896AB4" w:rsidRDefault="00265971" w:rsidP="00265971">
      <w:pPr>
        <w:pStyle w:val="Letter"/>
        <w:rPr>
          <w:rFonts w:asciiTheme="minorHAnsi" w:hAnsiTheme="minorHAnsi"/>
          <w:bCs/>
          <w:iCs/>
          <w:lang w:val="en-GB"/>
        </w:rPr>
      </w:pPr>
      <w:r w:rsidRPr="00896AB4">
        <w:rPr>
          <w:rFonts w:asciiTheme="minorHAnsi" w:hAnsiTheme="minorHAnsi"/>
          <w:bCs/>
          <w:iCs/>
          <w:lang w:val="en-GB"/>
        </w:rPr>
        <w:t>Executive Director o</w:t>
      </w:r>
      <w:r w:rsidR="007A3D0A">
        <w:rPr>
          <w:rFonts w:asciiTheme="minorHAnsi" w:hAnsiTheme="minorHAnsi"/>
          <w:bCs/>
          <w:iCs/>
          <w:lang w:val="en-GB"/>
        </w:rPr>
        <w:t>f the Clean Hydrogen JU</w:t>
      </w:r>
    </w:p>
    <w:p w14:paraId="74D7D90D" w14:textId="67605969" w:rsidR="00265971" w:rsidRPr="00896AB4" w:rsidRDefault="00265971" w:rsidP="00265971">
      <w:pPr>
        <w:pStyle w:val="Letter"/>
        <w:rPr>
          <w:rFonts w:asciiTheme="minorHAnsi" w:hAnsiTheme="minorHAnsi"/>
          <w:bCs/>
          <w:iCs/>
          <w:lang w:val="en-GB"/>
        </w:rPr>
      </w:pPr>
      <w:r w:rsidRPr="00896AB4">
        <w:rPr>
          <w:rFonts w:asciiTheme="minorHAnsi" w:hAnsiTheme="minorHAnsi"/>
          <w:bCs/>
          <w:iCs/>
          <w:lang w:val="en-GB"/>
        </w:rPr>
        <w:t>In my capacity as authorising officer</w:t>
      </w:r>
    </w:p>
    <w:p w14:paraId="17AEAB4E" w14:textId="77777777" w:rsidR="00265971" w:rsidRPr="00896AB4" w:rsidRDefault="00265971" w:rsidP="00265971">
      <w:pPr>
        <w:pStyle w:val="Letter"/>
        <w:rPr>
          <w:rFonts w:asciiTheme="minorHAnsi" w:hAnsiTheme="minorHAnsi"/>
          <w:bCs/>
          <w:iCs/>
          <w:lang w:val="en-GB"/>
        </w:rPr>
      </w:pPr>
      <w:r w:rsidRPr="00896AB4">
        <w:rPr>
          <w:rFonts w:asciiTheme="minorHAnsi" w:hAnsiTheme="minorHAnsi"/>
          <w:bCs/>
          <w:iCs/>
          <w:lang w:val="en-GB"/>
        </w:rPr>
        <w:t>Declare that the information contained in this report gives a true and fair view</w:t>
      </w:r>
      <w:r w:rsidRPr="00896AB4">
        <w:rPr>
          <w:rStyle w:val="FootnoteReference"/>
          <w:rFonts w:asciiTheme="minorHAnsi" w:hAnsiTheme="minorHAnsi"/>
          <w:lang w:val="en-GB"/>
        </w:rPr>
        <w:footnoteReference w:id="124"/>
      </w:r>
      <w:r w:rsidRPr="00896AB4">
        <w:rPr>
          <w:rFonts w:asciiTheme="minorHAnsi" w:hAnsiTheme="minorHAnsi"/>
          <w:bCs/>
          <w:iCs/>
          <w:lang w:val="en-GB"/>
        </w:rPr>
        <w:t>.</w:t>
      </w:r>
    </w:p>
    <w:p w14:paraId="22EE9240" w14:textId="77777777" w:rsidR="00265971" w:rsidRPr="00896AB4" w:rsidRDefault="00265971" w:rsidP="00265971">
      <w:pPr>
        <w:pStyle w:val="Letter"/>
        <w:rPr>
          <w:rFonts w:asciiTheme="minorHAnsi" w:hAnsiTheme="minorHAnsi"/>
          <w:bCs/>
          <w:iCs/>
          <w:lang w:val="en-GB"/>
        </w:rPr>
      </w:pPr>
      <w:r w:rsidRPr="00896AB4">
        <w:rPr>
          <w:rFonts w:asciiTheme="minorHAnsi" w:hAnsiTheme="minorHAnsi"/>
          <w:bCs/>
          <w:iCs/>
          <w:lang w:val="en-GB"/>
        </w:rPr>
        <w:t>State that I have reasonable assurance that the resources assigned to the activities described in this report have been used for their intended purpose and in accordance with the principles of sound financial management, and that the control procedures put in place give the necessary guarantees concerning the legality and regularity of the underlying transactions.</w:t>
      </w:r>
    </w:p>
    <w:p w14:paraId="356D5C98" w14:textId="3EAAC95F" w:rsidR="00265971" w:rsidRPr="00896AB4" w:rsidRDefault="00265971" w:rsidP="00265971">
      <w:pPr>
        <w:pStyle w:val="Letter"/>
        <w:rPr>
          <w:rFonts w:asciiTheme="minorHAnsi" w:hAnsiTheme="minorHAnsi"/>
          <w:bCs/>
          <w:iCs/>
          <w:lang w:val="en-GB"/>
        </w:rPr>
      </w:pPr>
      <w:r w:rsidRPr="00896AB4">
        <w:rPr>
          <w:rFonts w:asciiTheme="minorHAnsi" w:hAnsiTheme="minorHAnsi"/>
          <w:bCs/>
          <w:iCs/>
          <w:lang w:val="en-GB"/>
        </w:rPr>
        <w:t xml:space="preserve">This reasonable assurance is based on my own judgement and on the information at my disposal, such as the results of the self-assessment, ex-post controls, the work of the internal </w:t>
      </w:r>
      <w:r w:rsidR="00D01F00">
        <w:rPr>
          <w:rFonts w:asciiTheme="minorHAnsi" w:hAnsiTheme="minorHAnsi"/>
          <w:bCs/>
          <w:iCs/>
          <w:lang w:val="en-GB"/>
        </w:rPr>
        <w:t>control and audit manager</w:t>
      </w:r>
      <w:r w:rsidRPr="00896AB4">
        <w:rPr>
          <w:rFonts w:asciiTheme="minorHAnsi" w:hAnsiTheme="minorHAnsi"/>
          <w:bCs/>
          <w:iCs/>
          <w:lang w:val="en-GB"/>
        </w:rPr>
        <w:t>, the observations of the Internal Audit Service and the lessons learnt from the reports of the Court of Auditors for years prior to the year of this declaration.</w:t>
      </w:r>
    </w:p>
    <w:p w14:paraId="3F8607AA" w14:textId="77777777" w:rsidR="00265971" w:rsidRPr="00896AB4" w:rsidRDefault="00265971" w:rsidP="00265971">
      <w:pPr>
        <w:pStyle w:val="Letter"/>
        <w:rPr>
          <w:rFonts w:asciiTheme="minorHAnsi" w:hAnsiTheme="minorHAnsi"/>
          <w:bCs/>
          <w:iCs/>
          <w:lang w:val="en-GB"/>
        </w:rPr>
      </w:pPr>
      <w:r w:rsidRPr="00896AB4">
        <w:rPr>
          <w:rFonts w:asciiTheme="minorHAnsi" w:hAnsiTheme="minorHAnsi"/>
          <w:bCs/>
          <w:iCs/>
          <w:lang w:val="en-GB"/>
        </w:rPr>
        <w:t xml:space="preserve">Confirm that I am not aware of anything not reported here which could harm the interests of the </w:t>
      </w:r>
      <w:r w:rsidR="006D2F90" w:rsidRPr="00896AB4">
        <w:rPr>
          <w:rFonts w:asciiTheme="minorHAnsi" w:hAnsiTheme="minorHAnsi"/>
          <w:bCs/>
          <w:iCs/>
          <w:lang w:val="en-GB"/>
        </w:rPr>
        <w:t>Joint Undertaking</w:t>
      </w:r>
      <w:r w:rsidRPr="00896AB4">
        <w:rPr>
          <w:rFonts w:asciiTheme="minorHAnsi" w:hAnsiTheme="minorHAnsi"/>
          <w:bCs/>
          <w:iCs/>
          <w:lang w:val="en-GB"/>
        </w:rPr>
        <w:t>.</w:t>
      </w:r>
    </w:p>
    <w:p w14:paraId="57E5A64B" w14:textId="39391E83" w:rsidR="00265971" w:rsidRDefault="007A3D0A" w:rsidP="00431EBF">
      <w:pPr>
        <w:pStyle w:val="Date"/>
        <w:ind w:left="0" w:right="1"/>
        <w:jc w:val="center"/>
        <w:rPr>
          <w:rFonts w:asciiTheme="minorHAnsi" w:hAnsiTheme="minorHAnsi"/>
        </w:rPr>
      </w:pPr>
      <w:r>
        <w:rPr>
          <w:rFonts w:asciiTheme="minorHAnsi" w:hAnsiTheme="minorHAnsi"/>
        </w:rPr>
        <w:t>Brussels</w:t>
      </w:r>
      <w:r w:rsidR="00265971" w:rsidRPr="00896AB4">
        <w:rPr>
          <w:rFonts w:asciiTheme="minorHAnsi" w:hAnsiTheme="minorHAnsi"/>
        </w:rPr>
        <w:t xml:space="preserve">, </w:t>
      </w:r>
      <w:r w:rsidR="00532B5D">
        <w:rPr>
          <w:rFonts w:asciiTheme="minorHAnsi" w:hAnsiTheme="minorHAnsi"/>
        </w:rPr>
        <w:t>30</w:t>
      </w:r>
      <w:r w:rsidR="00431EBF">
        <w:rPr>
          <w:rFonts w:asciiTheme="minorHAnsi" w:hAnsiTheme="minorHAnsi"/>
        </w:rPr>
        <w:t xml:space="preserve"> April 2022</w:t>
      </w:r>
    </w:p>
    <w:p w14:paraId="40C5FA3B" w14:textId="77777777" w:rsidR="00431EBF" w:rsidRPr="00431EBF" w:rsidRDefault="00431EBF" w:rsidP="00431EBF"/>
    <w:p w14:paraId="0FC06897" w14:textId="5D7C4962" w:rsidR="009B2364" w:rsidRPr="009B2364" w:rsidRDefault="009B2364" w:rsidP="00641434">
      <w:pPr>
        <w:ind w:right="1"/>
        <w:jc w:val="center"/>
        <w:rPr>
          <w:rFonts w:asciiTheme="minorHAnsi" w:hAnsiTheme="minorHAnsi"/>
          <w:i/>
          <w:iCs/>
        </w:rPr>
      </w:pPr>
      <w:r w:rsidRPr="009B2364">
        <w:rPr>
          <w:rFonts w:asciiTheme="minorHAnsi" w:hAnsiTheme="minorHAnsi"/>
          <w:i/>
          <w:iCs/>
        </w:rPr>
        <w:t>signed</w:t>
      </w:r>
    </w:p>
    <w:p w14:paraId="707C3EA0" w14:textId="6BB81311" w:rsidR="0029366F" w:rsidRPr="00641434" w:rsidRDefault="007A3D0A" w:rsidP="00641434">
      <w:pPr>
        <w:ind w:right="1"/>
        <w:jc w:val="center"/>
        <w:rPr>
          <w:rFonts w:asciiTheme="minorHAnsi" w:hAnsiTheme="minorHAnsi"/>
        </w:rPr>
      </w:pPr>
      <w:r>
        <w:rPr>
          <w:rFonts w:asciiTheme="minorHAnsi" w:hAnsiTheme="minorHAnsi"/>
        </w:rPr>
        <w:t>Bart Biebuyck</w:t>
      </w:r>
    </w:p>
    <w:p w14:paraId="697B7396" w14:textId="77777777" w:rsidR="0029366F" w:rsidRPr="00D16281" w:rsidRDefault="0029366F" w:rsidP="00864737">
      <w:pPr>
        <w:pStyle w:val="Heading1"/>
        <w:numPr>
          <w:ilvl w:val="0"/>
          <w:numId w:val="1"/>
        </w:numPr>
        <w:jc w:val="both"/>
        <w:rPr>
          <w:rFonts w:asciiTheme="minorHAnsi" w:hAnsiTheme="minorHAnsi"/>
          <w:caps/>
        </w:rPr>
      </w:pPr>
      <w:bookmarkStart w:id="210" w:name="_Toc98496381"/>
      <w:bookmarkStart w:id="211" w:name="_Toc101516100"/>
      <w:r w:rsidRPr="00D16281">
        <w:rPr>
          <w:rFonts w:asciiTheme="minorHAnsi" w:hAnsiTheme="minorHAnsi"/>
          <w:caps/>
        </w:rPr>
        <w:t>ANNEXES</w:t>
      </w:r>
      <w:bookmarkEnd w:id="210"/>
      <w:bookmarkEnd w:id="211"/>
    </w:p>
    <w:p w14:paraId="5269DE5F" w14:textId="77777777" w:rsidR="00D3705A" w:rsidRDefault="00D3705A">
      <w:pPr>
        <w:spacing w:after="0" w:line="240" w:lineRule="auto"/>
        <w:rPr>
          <w:rFonts w:asciiTheme="minorHAnsi" w:hAnsiTheme="minorHAnsi"/>
          <w:b/>
          <w:sz w:val="24"/>
          <w:szCs w:val="24"/>
        </w:rPr>
      </w:pPr>
      <w:r>
        <w:rPr>
          <w:rFonts w:asciiTheme="minorHAnsi" w:hAnsiTheme="minorHAnsi"/>
          <w:b/>
          <w:sz w:val="24"/>
          <w:szCs w:val="24"/>
        </w:rPr>
        <w:br w:type="page"/>
      </w:r>
    </w:p>
    <w:p w14:paraId="430587F5" w14:textId="6F63EC91" w:rsidR="00FE4414" w:rsidRDefault="00FE4414" w:rsidP="00FE4414">
      <w:pPr>
        <w:pStyle w:val="Heading2"/>
        <w:ind w:left="567" w:hanging="576"/>
      </w:pPr>
      <w:bookmarkStart w:id="212" w:name="_Toc98496384"/>
      <w:bookmarkStart w:id="213" w:name="_Toc101516101"/>
      <w:r w:rsidRPr="00141D60">
        <w:lastRenderedPageBreak/>
        <w:t xml:space="preserve">Annex </w:t>
      </w:r>
      <w:r>
        <w:t>1</w:t>
      </w:r>
      <w:r w:rsidRPr="00141D60">
        <w:t xml:space="preserve"> </w:t>
      </w:r>
      <w:r>
        <w:t>– Organisational chart</w:t>
      </w:r>
      <w:bookmarkEnd w:id="212"/>
      <w:bookmarkEnd w:id="213"/>
    </w:p>
    <w:p w14:paraId="67775DDA" w14:textId="5AA7F1D0" w:rsidR="00FE4414" w:rsidRPr="00FE4414" w:rsidRDefault="00E91F8E" w:rsidP="00FE4414">
      <w:r>
        <w:rPr>
          <w:noProof/>
          <w:lang w:eastAsia="en-GB"/>
        </w:rPr>
        <w:drawing>
          <wp:inline distT="0" distB="0" distL="0" distR="0" wp14:anchorId="77F49E76" wp14:editId="502F2D89">
            <wp:extent cx="9008533" cy="5067300"/>
            <wp:effectExtent l="0" t="0" r="2540" b="0"/>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96DAC541-7B7A-43D3-8B79-37D633B846F1}">
                          <asvg:svgBlip xmlns:asvg="http://schemas.microsoft.com/office/drawing/2016/SVG/main" r:embed="rId101"/>
                        </a:ext>
                      </a:extLst>
                    </a:blip>
                    <a:stretch>
                      <a:fillRect/>
                    </a:stretch>
                  </pic:blipFill>
                  <pic:spPr>
                    <a:xfrm>
                      <a:off x="0" y="0"/>
                      <a:ext cx="9013348" cy="5070009"/>
                    </a:xfrm>
                    <a:prstGeom prst="rect">
                      <a:avLst/>
                    </a:prstGeom>
                  </pic:spPr>
                </pic:pic>
              </a:graphicData>
            </a:graphic>
          </wp:inline>
        </w:drawing>
      </w:r>
    </w:p>
    <w:p w14:paraId="344B2CE1" w14:textId="3CF2D030" w:rsidR="00FE4414" w:rsidRDefault="00FE4414" w:rsidP="00430365">
      <w:pPr>
        <w:pStyle w:val="Heading2"/>
        <w:ind w:left="567" w:hanging="576"/>
      </w:pPr>
    </w:p>
    <w:p w14:paraId="4A299F19" w14:textId="39C95DDF" w:rsidR="00E91F8E" w:rsidRDefault="00E91F8E" w:rsidP="00E91F8E"/>
    <w:p w14:paraId="7D22FB0A" w14:textId="4205B654" w:rsidR="00E91F8E" w:rsidRDefault="00E91F8E" w:rsidP="00E91F8E"/>
    <w:p w14:paraId="70308C8E" w14:textId="118D0DD6" w:rsidR="00E91F8E" w:rsidRDefault="00E91F8E" w:rsidP="00E91F8E"/>
    <w:p w14:paraId="6B589418" w14:textId="40365641" w:rsidR="00E91F8E" w:rsidRDefault="00E91F8E" w:rsidP="00E91F8E"/>
    <w:p w14:paraId="7F97C710" w14:textId="7CBCADA4" w:rsidR="00E91F8E" w:rsidRDefault="00E91F8E" w:rsidP="00E91F8E"/>
    <w:p w14:paraId="6D5E5E18" w14:textId="584C9FC0" w:rsidR="00E91F8E" w:rsidRDefault="00E91F8E" w:rsidP="00E91F8E"/>
    <w:p w14:paraId="0E996B49" w14:textId="2EB57D87" w:rsidR="00E91F8E" w:rsidRDefault="00E91F8E" w:rsidP="00E91F8E"/>
    <w:p w14:paraId="039D6BC1" w14:textId="493B7812" w:rsidR="00E91F8E" w:rsidRDefault="00E91F8E" w:rsidP="00E91F8E"/>
    <w:p w14:paraId="097A23C8" w14:textId="2DBB6FF2" w:rsidR="00E91F8E" w:rsidRDefault="00E91F8E" w:rsidP="00E91F8E"/>
    <w:p w14:paraId="0AC26AEA" w14:textId="77777777" w:rsidR="00E91F8E" w:rsidRPr="00E91F8E" w:rsidRDefault="00E91F8E" w:rsidP="00E91F8E"/>
    <w:p w14:paraId="1FA7EB56" w14:textId="5BB11A4F" w:rsidR="00430365" w:rsidRDefault="00430365" w:rsidP="00430365">
      <w:pPr>
        <w:pStyle w:val="Heading2"/>
        <w:ind w:left="567" w:hanging="576"/>
      </w:pPr>
      <w:bookmarkStart w:id="214" w:name="_Toc98496385"/>
      <w:bookmarkStart w:id="215" w:name="_Toc101516102"/>
      <w:r w:rsidRPr="00141D60">
        <w:lastRenderedPageBreak/>
        <w:t xml:space="preserve">Annex </w:t>
      </w:r>
      <w:r>
        <w:t>2</w:t>
      </w:r>
      <w:r w:rsidRPr="00141D60">
        <w:t xml:space="preserve"> </w:t>
      </w:r>
      <w:r>
        <w:t>– Staff Establishment Plan</w:t>
      </w:r>
      <w:bookmarkEnd w:id="214"/>
      <w:bookmarkEnd w:id="215"/>
    </w:p>
    <w:p w14:paraId="59AEE665" w14:textId="25C98669" w:rsidR="003D3D4C" w:rsidRDefault="003D3D4C" w:rsidP="003D3D4C"/>
    <w:p w14:paraId="1EAFF9AC" w14:textId="77777777" w:rsidR="003D3D4C" w:rsidRDefault="003D3D4C" w:rsidP="003D3D4C">
      <w:r w:rsidRPr="00405081">
        <w:t xml:space="preserve">The JU </w:t>
      </w:r>
      <w:r>
        <w:t>had 23 temporary agents, 2 contract agents and 2 SNEs on 31/12/2021.</w:t>
      </w:r>
    </w:p>
    <w:p w14:paraId="6009F51A" w14:textId="77777777" w:rsidR="003D3D4C" w:rsidRPr="00405081" w:rsidRDefault="003D3D4C" w:rsidP="003D3D4C">
      <w:r>
        <w:t>The 2020-2021 staff establishment plan is shown below:</w:t>
      </w:r>
    </w:p>
    <w:tbl>
      <w:tblPr>
        <w:tblStyle w:val="TableGrid1"/>
        <w:tblW w:w="8926" w:type="dxa"/>
        <w:tblLook w:val="04A0" w:firstRow="1" w:lastRow="0" w:firstColumn="1" w:lastColumn="0" w:noHBand="0" w:noVBand="1"/>
      </w:tblPr>
      <w:tblGrid>
        <w:gridCol w:w="2972"/>
        <w:gridCol w:w="1418"/>
        <w:gridCol w:w="1417"/>
        <w:gridCol w:w="1559"/>
        <w:gridCol w:w="1560"/>
      </w:tblGrid>
      <w:tr w:rsidR="003D3D4C" w:rsidRPr="00C363BB" w14:paraId="2AF98508" w14:textId="77777777" w:rsidTr="00DF2591">
        <w:trPr>
          <w:trHeight w:val="461"/>
        </w:trPr>
        <w:tc>
          <w:tcPr>
            <w:tcW w:w="2972" w:type="dxa"/>
            <w:tcBorders>
              <w:bottom w:val="single" w:sz="4" w:space="0" w:color="auto"/>
            </w:tcBorders>
            <w:vAlign w:val="center"/>
          </w:tcPr>
          <w:p w14:paraId="790CDA6E" w14:textId="77777777" w:rsidR="003D3D4C" w:rsidRPr="00A1378E" w:rsidRDefault="003D3D4C" w:rsidP="00DF2591">
            <w:pPr>
              <w:widowControl w:val="0"/>
              <w:shd w:val="clear" w:color="auto" w:fill="FFFFFF"/>
              <w:spacing w:before="120" w:after="60" w:line="220" w:lineRule="exact"/>
              <w:ind w:left="240" w:right="-46" w:hanging="360"/>
              <w:jc w:val="center"/>
              <w:rPr>
                <w:rFonts w:eastAsia="Times New Roman"/>
                <w:b/>
                <w:color w:val="000000"/>
                <w:lang w:val="en-US"/>
              </w:rPr>
            </w:pPr>
            <w:r w:rsidRPr="00A1378E">
              <w:rPr>
                <w:rFonts w:eastAsia="Times New Roman"/>
                <w:b/>
                <w:color w:val="000000"/>
                <w:lang w:val="en-US"/>
              </w:rPr>
              <w:t>Grade</w:t>
            </w:r>
          </w:p>
        </w:tc>
        <w:tc>
          <w:tcPr>
            <w:tcW w:w="1418" w:type="dxa"/>
            <w:tcBorders>
              <w:bottom w:val="single" w:sz="4" w:space="0" w:color="auto"/>
            </w:tcBorders>
          </w:tcPr>
          <w:p w14:paraId="7D24B50E" w14:textId="77777777" w:rsidR="003D3D4C" w:rsidRPr="00A1378E" w:rsidRDefault="003D3D4C" w:rsidP="00DF2591">
            <w:pPr>
              <w:widowControl w:val="0"/>
              <w:spacing w:before="120" w:after="60"/>
              <w:ind w:right="-45"/>
              <w:jc w:val="center"/>
              <w:rPr>
                <w:rFonts w:eastAsia="Times New Roman" w:cstheme="minorHAnsi"/>
                <w:b/>
                <w:lang w:val="en-US"/>
              </w:rPr>
            </w:pPr>
            <w:r>
              <w:rPr>
                <w:rFonts w:eastAsia="Times New Roman" w:cstheme="minorHAnsi"/>
                <w:b/>
                <w:lang w:val="en-US"/>
              </w:rPr>
              <w:t>2020 budget</w:t>
            </w:r>
          </w:p>
        </w:tc>
        <w:tc>
          <w:tcPr>
            <w:tcW w:w="1417" w:type="dxa"/>
            <w:tcBorders>
              <w:bottom w:val="single" w:sz="4" w:space="0" w:color="auto"/>
            </w:tcBorders>
          </w:tcPr>
          <w:p w14:paraId="0442C71C" w14:textId="77777777" w:rsidR="003D3D4C" w:rsidRPr="00A1378E" w:rsidRDefault="003D3D4C" w:rsidP="00DF2591">
            <w:pPr>
              <w:widowControl w:val="0"/>
              <w:spacing w:before="120" w:after="60"/>
              <w:ind w:right="-45"/>
              <w:jc w:val="center"/>
              <w:rPr>
                <w:rFonts w:eastAsia="Times New Roman" w:cstheme="minorHAnsi"/>
                <w:b/>
                <w:lang w:val="en-US"/>
              </w:rPr>
            </w:pPr>
            <w:r>
              <w:rPr>
                <w:rFonts w:eastAsia="Times New Roman" w:cstheme="minorHAnsi"/>
                <w:b/>
                <w:lang w:val="en-US"/>
              </w:rPr>
              <w:t>2020 filled</w:t>
            </w:r>
          </w:p>
        </w:tc>
        <w:tc>
          <w:tcPr>
            <w:tcW w:w="1559" w:type="dxa"/>
            <w:tcBorders>
              <w:bottom w:val="single" w:sz="4" w:space="0" w:color="auto"/>
            </w:tcBorders>
          </w:tcPr>
          <w:p w14:paraId="10DD3BBD" w14:textId="77777777" w:rsidR="003D3D4C" w:rsidRDefault="003D3D4C" w:rsidP="00DF2591">
            <w:pPr>
              <w:widowControl w:val="0"/>
              <w:spacing w:before="120" w:after="60"/>
              <w:ind w:right="-45"/>
              <w:jc w:val="center"/>
              <w:rPr>
                <w:rFonts w:eastAsia="Times New Roman" w:cstheme="minorHAnsi"/>
                <w:b/>
                <w:lang w:val="en-US"/>
              </w:rPr>
            </w:pPr>
            <w:r>
              <w:rPr>
                <w:rFonts w:eastAsia="Times New Roman" w:cstheme="minorHAnsi"/>
                <w:b/>
                <w:lang w:val="en-US"/>
              </w:rPr>
              <w:t>2021 budget</w:t>
            </w:r>
          </w:p>
        </w:tc>
        <w:tc>
          <w:tcPr>
            <w:tcW w:w="1560" w:type="dxa"/>
            <w:tcBorders>
              <w:bottom w:val="single" w:sz="4" w:space="0" w:color="auto"/>
            </w:tcBorders>
          </w:tcPr>
          <w:p w14:paraId="12498ED7" w14:textId="77777777" w:rsidR="003D3D4C" w:rsidRDefault="003D3D4C" w:rsidP="00DF2591">
            <w:pPr>
              <w:widowControl w:val="0"/>
              <w:spacing w:before="120" w:after="60"/>
              <w:ind w:right="-45"/>
              <w:jc w:val="center"/>
              <w:rPr>
                <w:rFonts w:eastAsia="Times New Roman" w:cstheme="minorHAnsi"/>
                <w:b/>
                <w:lang w:val="en-US"/>
              </w:rPr>
            </w:pPr>
            <w:r>
              <w:rPr>
                <w:rFonts w:eastAsia="Times New Roman" w:cstheme="minorHAnsi"/>
                <w:b/>
                <w:lang w:val="en-US"/>
              </w:rPr>
              <w:t>2021 filled</w:t>
            </w:r>
          </w:p>
        </w:tc>
      </w:tr>
      <w:tr w:rsidR="003D3D4C" w:rsidRPr="00C363BB" w14:paraId="43A026C6" w14:textId="77777777" w:rsidTr="00DF2591">
        <w:tc>
          <w:tcPr>
            <w:tcW w:w="2972" w:type="dxa"/>
            <w:vAlign w:val="center"/>
          </w:tcPr>
          <w:p w14:paraId="41713CDA" w14:textId="77777777" w:rsidR="003D3D4C" w:rsidRPr="00C363BB" w:rsidRDefault="003D3D4C" w:rsidP="00DF2591">
            <w:pPr>
              <w:widowControl w:val="0"/>
              <w:spacing w:after="0" w:line="240" w:lineRule="auto"/>
              <w:ind w:left="238" w:right="-45"/>
              <w:rPr>
                <w:rFonts w:eastAsia="Times New Roman"/>
                <w:lang w:val="en-US" w:eastAsia="en-GB"/>
              </w:rPr>
            </w:pPr>
            <w:r w:rsidRPr="00C363BB">
              <w:rPr>
                <w:rFonts w:eastAsia="Times New Roman"/>
                <w:color w:val="000000"/>
                <w:lang w:val="en-US"/>
              </w:rPr>
              <w:t xml:space="preserve">AD </w:t>
            </w:r>
            <w:r w:rsidRPr="00C363BB">
              <w:rPr>
                <w:rFonts w:eastAsia="Times New Roman"/>
                <w:color w:val="000000"/>
                <w:lang w:val="sl-SI" w:eastAsia="sl-SI"/>
              </w:rPr>
              <w:t>16</w:t>
            </w:r>
          </w:p>
        </w:tc>
        <w:tc>
          <w:tcPr>
            <w:tcW w:w="1418" w:type="dxa"/>
          </w:tcPr>
          <w:p w14:paraId="303852D5" w14:textId="77777777" w:rsidR="003D3D4C" w:rsidRPr="00C363BB" w:rsidRDefault="003D3D4C" w:rsidP="00DF2591">
            <w:pPr>
              <w:widowControl w:val="0"/>
              <w:spacing w:after="0"/>
              <w:ind w:right="-46"/>
              <w:jc w:val="center"/>
              <w:rPr>
                <w:rFonts w:eastAsia="Times New Roman" w:cstheme="minorHAnsi"/>
                <w:lang w:val="en-US"/>
              </w:rPr>
            </w:pPr>
          </w:p>
        </w:tc>
        <w:tc>
          <w:tcPr>
            <w:tcW w:w="1417" w:type="dxa"/>
          </w:tcPr>
          <w:p w14:paraId="7BCE94D6" w14:textId="77777777" w:rsidR="003D3D4C" w:rsidRPr="00C363BB" w:rsidRDefault="003D3D4C" w:rsidP="00DF2591">
            <w:pPr>
              <w:widowControl w:val="0"/>
              <w:spacing w:after="0"/>
              <w:ind w:left="94" w:right="-46"/>
              <w:jc w:val="center"/>
              <w:rPr>
                <w:rFonts w:eastAsia="Times New Roman" w:cstheme="minorHAnsi"/>
                <w:lang w:val="en-US"/>
              </w:rPr>
            </w:pPr>
          </w:p>
        </w:tc>
        <w:tc>
          <w:tcPr>
            <w:tcW w:w="1559" w:type="dxa"/>
          </w:tcPr>
          <w:p w14:paraId="3F30BF51" w14:textId="77777777" w:rsidR="003D3D4C" w:rsidRPr="00C363BB" w:rsidRDefault="003D3D4C" w:rsidP="00DF2591">
            <w:pPr>
              <w:widowControl w:val="0"/>
              <w:spacing w:after="0"/>
              <w:ind w:left="142" w:right="-46"/>
              <w:jc w:val="center"/>
              <w:rPr>
                <w:rFonts w:eastAsia="Times New Roman" w:cstheme="minorHAnsi"/>
                <w:lang w:val="en-US"/>
              </w:rPr>
            </w:pPr>
          </w:p>
        </w:tc>
        <w:tc>
          <w:tcPr>
            <w:tcW w:w="1560" w:type="dxa"/>
          </w:tcPr>
          <w:p w14:paraId="4C285DB8" w14:textId="77777777" w:rsidR="003D3D4C" w:rsidRPr="00C363BB" w:rsidRDefault="003D3D4C" w:rsidP="00DF2591">
            <w:pPr>
              <w:widowControl w:val="0"/>
              <w:spacing w:after="0"/>
              <w:ind w:right="-46"/>
              <w:jc w:val="center"/>
              <w:rPr>
                <w:rFonts w:eastAsia="Times New Roman" w:cstheme="minorHAnsi"/>
                <w:lang w:val="en-US"/>
              </w:rPr>
            </w:pPr>
          </w:p>
        </w:tc>
      </w:tr>
      <w:tr w:rsidR="003D3D4C" w:rsidRPr="00C363BB" w14:paraId="11BF21E6" w14:textId="77777777" w:rsidTr="00DF2591">
        <w:tc>
          <w:tcPr>
            <w:tcW w:w="2972" w:type="dxa"/>
            <w:vAlign w:val="center"/>
          </w:tcPr>
          <w:p w14:paraId="71FC45FB" w14:textId="77777777" w:rsidR="003D3D4C" w:rsidRPr="000B1730" w:rsidRDefault="003D3D4C" w:rsidP="00DF2591">
            <w:pPr>
              <w:widowControl w:val="0"/>
              <w:spacing w:after="0" w:line="240" w:lineRule="auto"/>
              <w:ind w:left="238" w:right="-45"/>
              <w:rPr>
                <w:rFonts w:eastAsia="Times New Roman"/>
                <w:color w:val="000000"/>
                <w:lang w:val="en-US"/>
              </w:rPr>
            </w:pPr>
            <w:r w:rsidRPr="00C363BB">
              <w:rPr>
                <w:rFonts w:eastAsia="Times New Roman"/>
                <w:color w:val="000000"/>
                <w:lang w:val="en-US"/>
              </w:rPr>
              <w:t xml:space="preserve">AD </w:t>
            </w:r>
            <w:r w:rsidRPr="000B1730">
              <w:rPr>
                <w:rFonts w:eastAsia="Times New Roman"/>
                <w:color w:val="000000"/>
                <w:lang w:val="en-US"/>
              </w:rPr>
              <w:t>15</w:t>
            </w:r>
          </w:p>
        </w:tc>
        <w:tc>
          <w:tcPr>
            <w:tcW w:w="1418" w:type="dxa"/>
          </w:tcPr>
          <w:p w14:paraId="76159608" w14:textId="77777777" w:rsidR="003D3D4C" w:rsidRPr="000B1730" w:rsidRDefault="003D3D4C" w:rsidP="00DF2591">
            <w:pPr>
              <w:widowControl w:val="0"/>
              <w:spacing w:after="0" w:line="240" w:lineRule="auto"/>
              <w:ind w:left="238" w:right="-45"/>
              <w:jc w:val="center"/>
              <w:rPr>
                <w:rFonts w:eastAsia="Times New Roman"/>
                <w:color w:val="000000"/>
                <w:lang w:val="en-US"/>
              </w:rPr>
            </w:pPr>
          </w:p>
        </w:tc>
        <w:tc>
          <w:tcPr>
            <w:tcW w:w="1417" w:type="dxa"/>
          </w:tcPr>
          <w:p w14:paraId="3529A7D2" w14:textId="77777777" w:rsidR="003D3D4C" w:rsidRPr="000B1730" w:rsidRDefault="003D3D4C" w:rsidP="00DF2591">
            <w:pPr>
              <w:widowControl w:val="0"/>
              <w:spacing w:after="0" w:line="240" w:lineRule="auto"/>
              <w:ind w:left="94" w:right="-45"/>
              <w:jc w:val="center"/>
              <w:rPr>
                <w:rFonts w:eastAsia="Times New Roman"/>
                <w:color w:val="000000"/>
                <w:lang w:val="en-US"/>
              </w:rPr>
            </w:pPr>
          </w:p>
        </w:tc>
        <w:tc>
          <w:tcPr>
            <w:tcW w:w="1559" w:type="dxa"/>
          </w:tcPr>
          <w:p w14:paraId="1A17E0F5" w14:textId="77777777" w:rsidR="003D3D4C" w:rsidRPr="000B1730" w:rsidRDefault="003D3D4C" w:rsidP="00DF2591">
            <w:pPr>
              <w:widowControl w:val="0"/>
              <w:spacing w:after="0" w:line="240" w:lineRule="auto"/>
              <w:ind w:left="142" w:right="-45"/>
              <w:jc w:val="center"/>
              <w:rPr>
                <w:rFonts w:eastAsia="Times New Roman"/>
                <w:color w:val="000000"/>
                <w:lang w:val="en-US"/>
              </w:rPr>
            </w:pPr>
          </w:p>
        </w:tc>
        <w:tc>
          <w:tcPr>
            <w:tcW w:w="1560" w:type="dxa"/>
          </w:tcPr>
          <w:p w14:paraId="211DDD4A" w14:textId="77777777" w:rsidR="003D3D4C" w:rsidRPr="000B1730" w:rsidRDefault="003D3D4C" w:rsidP="00DF2591">
            <w:pPr>
              <w:widowControl w:val="0"/>
              <w:spacing w:after="0" w:line="240" w:lineRule="auto"/>
              <w:ind w:left="238" w:right="-45"/>
              <w:jc w:val="center"/>
              <w:rPr>
                <w:rFonts w:eastAsia="Times New Roman"/>
                <w:color w:val="000000"/>
                <w:lang w:val="en-US"/>
              </w:rPr>
            </w:pPr>
          </w:p>
        </w:tc>
      </w:tr>
      <w:tr w:rsidR="003D3D4C" w:rsidRPr="00C363BB" w14:paraId="4F089A66" w14:textId="77777777" w:rsidTr="00DF2591">
        <w:tc>
          <w:tcPr>
            <w:tcW w:w="2972" w:type="dxa"/>
            <w:vAlign w:val="center"/>
          </w:tcPr>
          <w:p w14:paraId="6C842901" w14:textId="77777777" w:rsidR="003D3D4C" w:rsidRPr="000B1730" w:rsidRDefault="003D3D4C" w:rsidP="00DF2591">
            <w:pPr>
              <w:widowControl w:val="0"/>
              <w:spacing w:after="0" w:line="240" w:lineRule="auto"/>
              <w:ind w:left="238" w:right="-45"/>
              <w:rPr>
                <w:rFonts w:eastAsia="Times New Roman"/>
                <w:color w:val="000000"/>
                <w:lang w:val="en-US"/>
              </w:rPr>
            </w:pPr>
            <w:r w:rsidRPr="00C363BB">
              <w:rPr>
                <w:rFonts w:eastAsia="Times New Roman"/>
                <w:color w:val="000000"/>
                <w:lang w:val="en-US"/>
              </w:rPr>
              <w:t xml:space="preserve">AD </w:t>
            </w:r>
            <w:r w:rsidRPr="000B1730">
              <w:rPr>
                <w:rFonts w:eastAsia="Times New Roman"/>
                <w:color w:val="000000"/>
                <w:lang w:val="en-US"/>
              </w:rPr>
              <w:t>14</w:t>
            </w:r>
          </w:p>
        </w:tc>
        <w:tc>
          <w:tcPr>
            <w:tcW w:w="1418" w:type="dxa"/>
          </w:tcPr>
          <w:p w14:paraId="2525EAE6" w14:textId="77777777" w:rsidR="003D3D4C" w:rsidRPr="000B1730" w:rsidRDefault="003D3D4C" w:rsidP="00DF2591">
            <w:pPr>
              <w:widowControl w:val="0"/>
              <w:spacing w:after="0" w:line="220" w:lineRule="exact"/>
              <w:ind w:left="172" w:right="-30"/>
              <w:jc w:val="center"/>
              <w:rPr>
                <w:rFonts w:eastAsia="Times New Roman"/>
                <w:color w:val="000000"/>
                <w:lang w:val="en-US"/>
              </w:rPr>
            </w:pPr>
            <w:r w:rsidRPr="000B1730">
              <w:rPr>
                <w:rFonts w:eastAsia="Times New Roman"/>
                <w:color w:val="000000"/>
                <w:lang w:val="en-US"/>
              </w:rPr>
              <w:t>1</w:t>
            </w:r>
          </w:p>
        </w:tc>
        <w:tc>
          <w:tcPr>
            <w:tcW w:w="1417" w:type="dxa"/>
          </w:tcPr>
          <w:p w14:paraId="3AB143CF" w14:textId="77777777" w:rsidR="003D3D4C" w:rsidRPr="000B1730" w:rsidRDefault="003D3D4C" w:rsidP="00DF2591">
            <w:pPr>
              <w:widowControl w:val="0"/>
              <w:spacing w:after="0" w:line="220" w:lineRule="exact"/>
              <w:ind w:left="94" w:right="-46"/>
              <w:jc w:val="center"/>
              <w:rPr>
                <w:rFonts w:eastAsia="Times New Roman"/>
                <w:color w:val="000000"/>
                <w:lang w:val="en-US"/>
              </w:rPr>
            </w:pPr>
            <w:r w:rsidRPr="000B1730">
              <w:rPr>
                <w:rFonts w:eastAsia="Times New Roman"/>
                <w:color w:val="000000"/>
                <w:lang w:val="en-US"/>
              </w:rPr>
              <w:t>1</w:t>
            </w:r>
          </w:p>
        </w:tc>
        <w:tc>
          <w:tcPr>
            <w:tcW w:w="1559" w:type="dxa"/>
          </w:tcPr>
          <w:p w14:paraId="3D833643" w14:textId="77777777" w:rsidR="003D3D4C" w:rsidRPr="000B1730" w:rsidRDefault="003D3D4C" w:rsidP="00DF2591">
            <w:pPr>
              <w:widowControl w:val="0"/>
              <w:spacing w:after="0" w:line="220" w:lineRule="exact"/>
              <w:ind w:left="142" w:right="-46"/>
              <w:jc w:val="center"/>
              <w:rPr>
                <w:rFonts w:eastAsia="Times New Roman"/>
                <w:color w:val="000000"/>
                <w:lang w:val="en-US"/>
              </w:rPr>
            </w:pPr>
            <w:r w:rsidRPr="000B1730">
              <w:rPr>
                <w:rFonts w:eastAsia="Times New Roman"/>
                <w:color w:val="000000"/>
                <w:lang w:val="en-US"/>
              </w:rPr>
              <w:t>1</w:t>
            </w:r>
          </w:p>
        </w:tc>
        <w:tc>
          <w:tcPr>
            <w:tcW w:w="1560" w:type="dxa"/>
          </w:tcPr>
          <w:p w14:paraId="6DC58EEA" w14:textId="77777777" w:rsidR="003D3D4C" w:rsidRPr="000B1730" w:rsidRDefault="003D3D4C" w:rsidP="00DF2591">
            <w:pPr>
              <w:widowControl w:val="0"/>
              <w:spacing w:after="0" w:line="220" w:lineRule="exact"/>
              <w:ind w:left="179" w:right="-46"/>
              <w:jc w:val="center"/>
              <w:rPr>
                <w:rFonts w:eastAsia="Times New Roman"/>
                <w:color w:val="000000"/>
                <w:lang w:val="en-US"/>
              </w:rPr>
            </w:pPr>
            <w:r w:rsidRPr="000B1730">
              <w:rPr>
                <w:rFonts w:eastAsia="Times New Roman"/>
                <w:color w:val="000000"/>
                <w:lang w:val="en-US"/>
              </w:rPr>
              <w:t>1</w:t>
            </w:r>
          </w:p>
        </w:tc>
      </w:tr>
      <w:tr w:rsidR="003D3D4C" w:rsidRPr="00C363BB" w14:paraId="09FF4C00" w14:textId="77777777" w:rsidTr="00DF2591">
        <w:tc>
          <w:tcPr>
            <w:tcW w:w="2972" w:type="dxa"/>
            <w:vAlign w:val="center"/>
          </w:tcPr>
          <w:p w14:paraId="18180A68" w14:textId="77777777" w:rsidR="003D3D4C" w:rsidRPr="000B1730" w:rsidRDefault="003D3D4C" w:rsidP="00DF2591">
            <w:pPr>
              <w:widowControl w:val="0"/>
              <w:spacing w:after="0" w:line="240" w:lineRule="auto"/>
              <w:ind w:left="238" w:right="-45"/>
              <w:rPr>
                <w:rFonts w:eastAsia="Times New Roman"/>
                <w:color w:val="000000"/>
                <w:lang w:val="en-US"/>
              </w:rPr>
            </w:pPr>
            <w:r w:rsidRPr="00C363BB">
              <w:rPr>
                <w:rFonts w:eastAsia="Times New Roman"/>
                <w:color w:val="000000"/>
                <w:lang w:val="en-US"/>
              </w:rPr>
              <w:t xml:space="preserve">AD </w:t>
            </w:r>
            <w:r w:rsidRPr="000B1730">
              <w:rPr>
                <w:rFonts w:eastAsia="Times New Roman"/>
                <w:color w:val="000000"/>
                <w:lang w:val="en-US"/>
              </w:rPr>
              <w:t>13</w:t>
            </w:r>
          </w:p>
        </w:tc>
        <w:tc>
          <w:tcPr>
            <w:tcW w:w="1418" w:type="dxa"/>
          </w:tcPr>
          <w:p w14:paraId="6D53F8F7" w14:textId="77777777" w:rsidR="003D3D4C" w:rsidRPr="000B1730" w:rsidRDefault="003D3D4C" w:rsidP="00DF2591">
            <w:pPr>
              <w:widowControl w:val="0"/>
              <w:spacing w:after="0" w:line="240" w:lineRule="auto"/>
              <w:ind w:left="172" w:right="-30"/>
              <w:jc w:val="center"/>
              <w:rPr>
                <w:rFonts w:eastAsia="Times New Roman"/>
                <w:color w:val="000000"/>
                <w:lang w:val="en-US"/>
              </w:rPr>
            </w:pPr>
          </w:p>
        </w:tc>
        <w:tc>
          <w:tcPr>
            <w:tcW w:w="1417" w:type="dxa"/>
          </w:tcPr>
          <w:p w14:paraId="49831CFB" w14:textId="77777777" w:rsidR="003D3D4C" w:rsidRPr="000B1730" w:rsidRDefault="003D3D4C" w:rsidP="00DF2591">
            <w:pPr>
              <w:widowControl w:val="0"/>
              <w:spacing w:after="0" w:line="240" w:lineRule="auto"/>
              <w:ind w:left="94" w:right="-45"/>
              <w:jc w:val="center"/>
              <w:rPr>
                <w:rFonts w:eastAsia="Times New Roman"/>
                <w:color w:val="000000"/>
                <w:lang w:val="en-US"/>
              </w:rPr>
            </w:pPr>
          </w:p>
        </w:tc>
        <w:tc>
          <w:tcPr>
            <w:tcW w:w="1559" w:type="dxa"/>
          </w:tcPr>
          <w:p w14:paraId="45FBAFC3" w14:textId="77777777" w:rsidR="003D3D4C" w:rsidRPr="000B1730" w:rsidRDefault="003D3D4C" w:rsidP="00DF2591">
            <w:pPr>
              <w:widowControl w:val="0"/>
              <w:spacing w:after="0" w:line="240" w:lineRule="auto"/>
              <w:ind w:left="142" w:right="-45"/>
              <w:jc w:val="center"/>
              <w:rPr>
                <w:rFonts w:eastAsia="Times New Roman"/>
                <w:color w:val="000000"/>
                <w:lang w:val="en-US"/>
              </w:rPr>
            </w:pPr>
          </w:p>
        </w:tc>
        <w:tc>
          <w:tcPr>
            <w:tcW w:w="1560" w:type="dxa"/>
          </w:tcPr>
          <w:p w14:paraId="639298DD" w14:textId="77777777" w:rsidR="003D3D4C" w:rsidRPr="000B1730" w:rsidRDefault="003D3D4C" w:rsidP="00DF2591">
            <w:pPr>
              <w:widowControl w:val="0"/>
              <w:spacing w:after="0" w:line="240" w:lineRule="auto"/>
              <w:ind w:left="179" w:right="-45"/>
              <w:jc w:val="center"/>
              <w:rPr>
                <w:rFonts w:eastAsia="Times New Roman"/>
                <w:color w:val="000000"/>
                <w:lang w:val="en-US"/>
              </w:rPr>
            </w:pPr>
          </w:p>
        </w:tc>
      </w:tr>
      <w:tr w:rsidR="003D3D4C" w:rsidRPr="00C363BB" w14:paraId="579FF4D4" w14:textId="77777777" w:rsidTr="00DF2591">
        <w:tc>
          <w:tcPr>
            <w:tcW w:w="2972" w:type="dxa"/>
            <w:vAlign w:val="center"/>
          </w:tcPr>
          <w:p w14:paraId="22135D31" w14:textId="77777777" w:rsidR="003D3D4C" w:rsidRPr="000B1730" w:rsidRDefault="003D3D4C" w:rsidP="00DF2591">
            <w:pPr>
              <w:widowControl w:val="0"/>
              <w:spacing w:after="0" w:line="240" w:lineRule="auto"/>
              <w:ind w:left="238" w:right="-45"/>
              <w:rPr>
                <w:rFonts w:eastAsia="Times New Roman"/>
                <w:color w:val="000000"/>
                <w:lang w:val="en-US"/>
              </w:rPr>
            </w:pPr>
            <w:r w:rsidRPr="00C363BB">
              <w:rPr>
                <w:rFonts w:eastAsia="Times New Roman"/>
                <w:color w:val="000000"/>
                <w:lang w:val="en-US"/>
              </w:rPr>
              <w:t xml:space="preserve">AD </w:t>
            </w:r>
            <w:r w:rsidRPr="000B1730">
              <w:rPr>
                <w:rFonts w:eastAsia="Times New Roman"/>
                <w:color w:val="000000"/>
                <w:lang w:val="en-US"/>
              </w:rPr>
              <w:t>12</w:t>
            </w:r>
          </w:p>
        </w:tc>
        <w:tc>
          <w:tcPr>
            <w:tcW w:w="1418" w:type="dxa"/>
          </w:tcPr>
          <w:p w14:paraId="5BEAD553" w14:textId="77777777" w:rsidR="003D3D4C" w:rsidRPr="000B1730" w:rsidRDefault="003D3D4C" w:rsidP="00DF2591">
            <w:pPr>
              <w:widowControl w:val="0"/>
              <w:spacing w:after="0" w:line="240" w:lineRule="auto"/>
              <w:ind w:left="172" w:right="-30"/>
              <w:jc w:val="center"/>
              <w:rPr>
                <w:rFonts w:eastAsia="Times New Roman"/>
                <w:color w:val="000000"/>
                <w:lang w:val="en-US"/>
              </w:rPr>
            </w:pPr>
          </w:p>
        </w:tc>
        <w:tc>
          <w:tcPr>
            <w:tcW w:w="1417" w:type="dxa"/>
          </w:tcPr>
          <w:p w14:paraId="5B06B7A7" w14:textId="77777777" w:rsidR="003D3D4C" w:rsidRPr="000B1730" w:rsidRDefault="003D3D4C" w:rsidP="00DF2591">
            <w:pPr>
              <w:widowControl w:val="0"/>
              <w:spacing w:after="0" w:line="240" w:lineRule="auto"/>
              <w:ind w:left="94" w:right="-45"/>
              <w:jc w:val="center"/>
              <w:rPr>
                <w:rFonts w:eastAsia="Times New Roman"/>
                <w:color w:val="000000"/>
                <w:lang w:val="en-US"/>
              </w:rPr>
            </w:pPr>
          </w:p>
        </w:tc>
        <w:tc>
          <w:tcPr>
            <w:tcW w:w="1559" w:type="dxa"/>
          </w:tcPr>
          <w:p w14:paraId="2BC06E17" w14:textId="77777777" w:rsidR="003D3D4C" w:rsidRPr="000B1730" w:rsidRDefault="003D3D4C" w:rsidP="00DF2591">
            <w:pPr>
              <w:widowControl w:val="0"/>
              <w:spacing w:after="0" w:line="240" w:lineRule="auto"/>
              <w:ind w:left="142" w:right="-45"/>
              <w:jc w:val="center"/>
              <w:rPr>
                <w:rFonts w:eastAsia="Times New Roman"/>
                <w:color w:val="000000"/>
                <w:lang w:val="en-US"/>
              </w:rPr>
            </w:pPr>
            <w:r w:rsidRPr="000B1730">
              <w:rPr>
                <w:rFonts w:eastAsia="Times New Roman"/>
                <w:color w:val="000000"/>
                <w:lang w:val="en-US"/>
              </w:rPr>
              <w:t>2</w:t>
            </w:r>
          </w:p>
        </w:tc>
        <w:tc>
          <w:tcPr>
            <w:tcW w:w="1560" w:type="dxa"/>
          </w:tcPr>
          <w:p w14:paraId="104C3BD4" w14:textId="77777777" w:rsidR="003D3D4C" w:rsidRPr="000B1730" w:rsidRDefault="003D3D4C" w:rsidP="00DF2591">
            <w:pPr>
              <w:widowControl w:val="0"/>
              <w:spacing w:after="0" w:line="240" w:lineRule="auto"/>
              <w:ind w:left="179" w:right="-45"/>
              <w:jc w:val="center"/>
              <w:rPr>
                <w:rFonts w:eastAsia="Times New Roman"/>
                <w:color w:val="000000"/>
                <w:lang w:val="en-US"/>
              </w:rPr>
            </w:pPr>
            <w:r w:rsidRPr="000B1730">
              <w:rPr>
                <w:rFonts w:eastAsia="Times New Roman"/>
                <w:color w:val="000000"/>
                <w:lang w:val="en-US"/>
              </w:rPr>
              <w:t>1</w:t>
            </w:r>
          </w:p>
        </w:tc>
      </w:tr>
      <w:tr w:rsidR="003D3D4C" w:rsidRPr="00C363BB" w14:paraId="676D7EEA" w14:textId="77777777" w:rsidTr="00DF2591">
        <w:tc>
          <w:tcPr>
            <w:tcW w:w="2972" w:type="dxa"/>
            <w:vAlign w:val="center"/>
          </w:tcPr>
          <w:p w14:paraId="2E80476D" w14:textId="77777777" w:rsidR="003D3D4C" w:rsidRPr="000B1730" w:rsidRDefault="003D3D4C" w:rsidP="00DF2591">
            <w:pPr>
              <w:widowControl w:val="0"/>
              <w:spacing w:after="0" w:line="240" w:lineRule="auto"/>
              <w:ind w:left="238" w:right="-45"/>
              <w:rPr>
                <w:rFonts w:eastAsia="Times New Roman"/>
                <w:color w:val="000000"/>
                <w:lang w:val="en-US"/>
              </w:rPr>
            </w:pPr>
            <w:r w:rsidRPr="00C363BB">
              <w:rPr>
                <w:rFonts w:eastAsia="Times New Roman"/>
                <w:color w:val="000000"/>
                <w:lang w:val="en-US"/>
              </w:rPr>
              <w:t xml:space="preserve">AD </w:t>
            </w:r>
            <w:r w:rsidRPr="000B1730">
              <w:rPr>
                <w:rFonts w:eastAsia="Times New Roman"/>
                <w:color w:val="000000"/>
                <w:lang w:val="en-US"/>
              </w:rPr>
              <w:t>11</w:t>
            </w:r>
          </w:p>
        </w:tc>
        <w:tc>
          <w:tcPr>
            <w:tcW w:w="1418" w:type="dxa"/>
          </w:tcPr>
          <w:p w14:paraId="0A40F558" w14:textId="77777777" w:rsidR="003D3D4C" w:rsidRPr="000B1730" w:rsidRDefault="003D3D4C" w:rsidP="00DF2591">
            <w:pPr>
              <w:widowControl w:val="0"/>
              <w:spacing w:after="0" w:line="240" w:lineRule="auto"/>
              <w:ind w:left="172" w:right="-30"/>
              <w:jc w:val="center"/>
              <w:rPr>
                <w:rFonts w:eastAsia="Times New Roman"/>
                <w:color w:val="000000"/>
                <w:lang w:val="en-US"/>
              </w:rPr>
            </w:pPr>
            <w:r w:rsidRPr="000B1730">
              <w:rPr>
                <w:rFonts w:eastAsia="Times New Roman"/>
                <w:color w:val="000000"/>
                <w:lang w:val="en-US"/>
              </w:rPr>
              <w:t>2</w:t>
            </w:r>
          </w:p>
        </w:tc>
        <w:tc>
          <w:tcPr>
            <w:tcW w:w="1417" w:type="dxa"/>
          </w:tcPr>
          <w:p w14:paraId="7910F526" w14:textId="77777777" w:rsidR="003D3D4C" w:rsidRPr="000B1730" w:rsidRDefault="003D3D4C" w:rsidP="00DF2591">
            <w:pPr>
              <w:widowControl w:val="0"/>
              <w:spacing w:after="0" w:line="240" w:lineRule="auto"/>
              <w:ind w:left="94" w:right="-45"/>
              <w:jc w:val="center"/>
              <w:rPr>
                <w:rFonts w:eastAsia="Times New Roman"/>
                <w:color w:val="000000"/>
                <w:lang w:val="en-US"/>
              </w:rPr>
            </w:pPr>
            <w:r w:rsidRPr="000B1730">
              <w:rPr>
                <w:rFonts w:eastAsia="Times New Roman"/>
                <w:color w:val="000000"/>
                <w:lang w:val="en-US"/>
              </w:rPr>
              <w:t>2</w:t>
            </w:r>
          </w:p>
        </w:tc>
        <w:tc>
          <w:tcPr>
            <w:tcW w:w="1559" w:type="dxa"/>
          </w:tcPr>
          <w:p w14:paraId="1A99BE40" w14:textId="77777777" w:rsidR="003D3D4C" w:rsidRPr="000B1730" w:rsidRDefault="003D3D4C" w:rsidP="00DF2591">
            <w:pPr>
              <w:widowControl w:val="0"/>
              <w:spacing w:after="0" w:line="240" w:lineRule="auto"/>
              <w:ind w:left="142" w:right="-45"/>
              <w:jc w:val="center"/>
              <w:rPr>
                <w:rFonts w:eastAsia="Times New Roman"/>
                <w:color w:val="000000"/>
                <w:lang w:val="en-US"/>
              </w:rPr>
            </w:pPr>
          </w:p>
        </w:tc>
        <w:tc>
          <w:tcPr>
            <w:tcW w:w="1560" w:type="dxa"/>
          </w:tcPr>
          <w:p w14:paraId="17245214" w14:textId="77777777" w:rsidR="003D3D4C" w:rsidRPr="000B1730" w:rsidRDefault="003D3D4C" w:rsidP="00DF2591">
            <w:pPr>
              <w:widowControl w:val="0"/>
              <w:spacing w:after="0" w:line="240" w:lineRule="auto"/>
              <w:ind w:left="179" w:right="-45"/>
              <w:jc w:val="center"/>
              <w:rPr>
                <w:rFonts w:eastAsia="Times New Roman"/>
                <w:color w:val="000000"/>
                <w:lang w:val="en-US"/>
              </w:rPr>
            </w:pPr>
          </w:p>
        </w:tc>
      </w:tr>
      <w:tr w:rsidR="003D3D4C" w:rsidRPr="00C363BB" w14:paraId="698CBB6D" w14:textId="77777777" w:rsidTr="00DF2591">
        <w:tc>
          <w:tcPr>
            <w:tcW w:w="2972" w:type="dxa"/>
            <w:vAlign w:val="center"/>
          </w:tcPr>
          <w:p w14:paraId="6EAAB2F1" w14:textId="77777777" w:rsidR="003D3D4C" w:rsidRPr="000B1730" w:rsidRDefault="003D3D4C" w:rsidP="00DF2591">
            <w:pPr>
              <w:widowControl w:val="0"/>
              <w:spacing w:after="0" w:line="240" w:lineRule="auto"/>
              <w:ind w:left="238" w:right="-45"/>
              <w:rPr>
                <w:rFonts w:eastAsia="Times New Roman"/>
                <w:color w:val="000000"/>
                <w:lang w:val="en-US"/>
              </w:rPr>
            </w:pPr>
            <w:r w:rsidRPr="00C363BB">
              <w:rPr>
                <w:rFonts w:eastAsia="Times New Roman"/>
                <w:color w:val="000000"/>
                <w:lang w:val="en-US"/>
              </w:rPr>
              <w:t xml:space="preserve">AD </w:t>
            </w:r>
            <w:r w:rsidRPr="000B1730">
              <w:rPr>
                <w:rFonts w:eastAsia="Times New Roman"/>
                <w:color w:val="000000"/>
                <w:lang w:val="en-US"/>
              </w:rPr>
              <w:t>10</w:t>
            </w:r>
          </w:p>
        </w:tc>
        <w:tc>
          <w:tcPr>
            <w:tcW w:w="1418" w:type="dxa"/>
          </w:tcPr>
          <w:p w14:paraId="259FC2E2" w14:textId="77777777" w:rsidR="003D3D4C" w:rsidRPr="000B1730" w:rsidRDefault="003D3D4C" w:rsidP="00DF2591">
            <w:pPr>
              <w:widowControl w:val="0"/>
              <w:spacing w:after="0" w:line="240" w:lineRule="auto"/>
              <w:ind w:left="172" w:right="-30"/>
              <w:jc w:val="center"/>
              <w:rPr>
                <w:rFonts w:eastAsia="Times New Roman"/>
                <w:color w:val="000000"/>
                <w:lang w:val="en-US"/>
              </w:rPr>
            </w:pPr>
          </w:p>
        </w:tc>
        <w:tc>
          <w:tcPr>
            <w:tcW w:w="1417" w:type="dxa"/>
          </w:tcPr>
          <w:p w14:paraId="7D043156" w14:textId="77777777" w:rsidR="003D3D4C" w:rsidRPr="000B1730" w:rsidRDefault="003D3D4C" w:rsidP="00DF2591">
            <w:pPr>
              <w:widowControl w:val="0"/>
              <w:spacing w:after="0" w:line="240" w:lineRule="auto"/>
              <w:ind w:left="94" w:right="-45"/>
              <w:jc w:val="center"/>
              <w:rPr>
                <w:rFonts w:eastAsia="Times New Roman"/>
                <w:color w:val="000000"/>
                <w:lang w:val="en-US"/>
              </w:rPr>
            </w:pPr>
          </w:p>
        </w:tc>
        <w:tc>
          <w:tcPr>
            <w:tcW w:w="1559" w:type="dxa"/>
          </w:tcPr>
          <w:p w14:paraId="24E5BD42" w14:textId="77777777" w:rsidR="003D3D4C" w:rsidRPr="000B1730" w:rsidRDefault="003D3D4C" w:rsidP="00DF2591">
            <w:pPr>
              <w:widowControl w:val="0"/>
              <w:spacing w:after="0" w:line="240" w:lineRule="auto"/>
              <w:ind w:left="142" w:right="-45"/>
              <w:jc w:val="center"/>
              <w:rPr>
                <w:rFonts w:eastAsia="Times New Roman"/>
                <w:color w:val="000000"/>
                <w:lang w:val="en-US"/>
              </w:rPr>
            </w:pPr>
          </w:p>
        </w:tc>
        <w:tc>
          <w:tcPr>
            <w:tcW w:w="1560" w:type="dxa"/>
          </w:tcPr>
          <w:p w14:paraId="1C9A6120" w14:textId="77777777" w:rsidR="003D3D4C" w:rsidRPr="000B1730" w:rsidRDefault="003D3D4C" w:rsidP="00DF2591">
            <w:pPr>
              <w:widowControl w:val="0"/>
              <w:spacing w:after="0" w:line="240" w:lineRule="auto"/>
              <w:ind w:left="179" w:right="-45"/>
              <w:jc w:val="center"/>
              <w:rPr>
                <w:rFonts w:eastAsia="Times New Roman"/>
                <w:color w:val="000000"/>
                <w:lang w:val="en-US"/>
              </w:rPr>
            </w:pPr>
          </w:p>
        </w:tc>
      </w:tr>
      <w:tr w:rsidR="003D3D4C" w:rsidRPr="00C363BB" w14:paraId="71338522" w14:textId="77777777" w:rsidTr="00DF2591">
        <w:tc>
          <w:tcPr>
            <w:tcW w:w="2972" w:type="dxa"/>
            <w:vAlign w:val="center"/>
          </w:tcPr>
          <w:p w14:paraId="56FF2448" w14:textId="77777777" w:rsidR="003D3D4C" w:rsidRPr="000B1730" w:rsidRDefault="003D3D4C" w:rsidP="00DF2591">
            <w:pPr>
              <w:widowControl w:val="0"/>
              <w:spacing w:after="0" w:line="240" w:lineRule="auto"/>
              <w:ind w:left="238" w:right="-45"/>
              <w:rPr>
                <w:rFonts w:eastAsia="Times New Roman"/>
                <w:color w:val="000000"/>
                <w:lang w:val="en-US"/>
              </w:rPr>
            </w:pPr>
            <w:r w:rsidRPr="00C363BB">
              <w:rPr>
                <w:rFonts w:eastAsia="Times New Roman"/>
                <w:color w:val="000000"/>
                <w:lang w:val="en-US"/>
              </w:rPr>
              <w:t xml:space="preserve">AD </w:t>
            </w:r>
            <w:r w:rsidRPr="000B1730">
              <w:rPr>
                <w:rFonts w:eastAsia="Times New Roman"/>
                <w:color w:val="000000"/>
                <w:lang w:val="en-US"/>
              </w:rPr>
              <w:t>9</w:t>
            </w:r>
          </w:p>
        </w:tc>
        <w:tc>
          <w:tcPr>
            <w:tcW w:w="1418" w:type="dxa"/>
          </w:tcPr>
          <w:p w14:paraId="151FB646" w14:textId="77777777" w:rsidR="003D3D4C" w:rsidRPr="000B1730" w:rsidRDefault="003D3D4C" w:rsidP="00DF2591">
            <w:pPr>
              <w:widowControl w:val="0"/>
              <w:spacing w:after="0" w:line="240" w:lineRule="auto"/>
              <w:ind w:left="172" w:right="-30"/>
              <w:jc w:val="center"/>
              <w:rPr>
                <w:rFonts w:eastAsia="Times New Roman"/>
                <w:color w:val="000000"/>
                <w:lang w:val="en-US"/>
              </w:rPr>
            </w:pPr>
            <w:r w:rsidRPr="000B1730">
              <w:rPr>
                <w:rFonts w:eastAsia="Times New Roman"/>
                <w:color w:val="000000"/>
                <w:lang w:val="en-US"/>
              </w:rPr>
              <w:t>4</w:t>
            </w:r>
          </w:p>
        </w:tc>
        <w:tc>
          <w:tcPr>
            <w:tcW w:w="1417" w:type="dxa"/>
          </w:tcPr>
          <w:p w14:paraId="7CA06648" w14:textId="77777777" w:rsidR="003D3D4C" w:rsidRPr="000B1730" w:rsidRDefault="003D3D4C" w:rsidP="00DF2591">
            <w:pPr>
              <w:widowControl w:val="0"/>
              <w:spacing w:after="0" w:line="240" w:lineRule="auto"/>
              <w:ind w:left="94" w:right="-45"/>
              <w:jc w:val="center"/>
              <w:rPr>
                <w:rFonts w:eastAsia="Times New Roman"/>
                <w:color w:val="000000"/>
                <w:lang w:val="en-US"/>
              </w:rPr>
            </w:pPr>
            <w:r w:rsidRPr="000B1730">
              <w:rPr>
                <w:rFonts w:eastAsia="Times New Roman"/>
                <w:color w:val="000000"/>
                <w:lang w:val="en-US"/>
              </w:rPr>
              <w:t>4</w:t>
            </w:r>
          </w:p>
        </w:tc>
        <w:tc>
          <w:tcPr>
            <w:tcW w:w="1559" w:type="dxa"/>
          </w:tcPr>
          <w:p w14:paraId="3080C39B" w14:textId="77777777" w:rsidR="003D3D4C" w:rsidRPr="000B1730" w:rsidRDefault="003D3D4C" w:rsidP="00DF2591">
            <w:pPr>
              <w:widowControl w:val="0"/>
              <w:spacing w:after="0" w:line="240" w:lineRule="auto"/>
              <w:ind w:left="142" w:right="-45"/>
              <w:jc w:val="center"/>
              <w:rPr>
                <w:rFonts w:eastAsia="Times New Roman"/>
                <w:color w:val="000000"/>
                <w:lang w:val="en-US"/>
              </w:rPr>
            </w:pPr>
            <w:r w:rsidRPr="000B1730">
              <w:rPr>
                <w:rFonts w:eastAsia="Times New Roman"/>
                <w:color w:val="000000"/>
                <w:lang w:val="en-US"/>
              </w:rPr>
              <w:t>5</w:t>
            </w:r>
          </w:p>
        </w:tc>
        <w:tc>
          <w:tcPr>
            <w:tcW w:w="1560" w:type="dxa"/>
          </w:tcPr>
          <w:p w14:paraId="56DCD711" w14:textId="77777777" w:rsidR="003D3D4C" w:rsidRPr="000B1730" w:rsidRDefault="003D3D4C" w:rsidP="00DF2591">
            <w:pPr>
              <w:widowControl w:val="0"/>
              <w:spacing w:after="0" w:line="240" w:lineRule="auto"/>
              <w:ind w:left="179" w:right="-45"/>
              <w:jc w:val="center"/>
              <w:rPr>
                <w:rFonts w:eastAsia="Times New Roman"/>
                <w:color w:val="000000"/>
                <w:lang w:val="en-US"/>
              </w:rPr>
            </w:pPr>
            <w:r w:rsidRPr="000B1730">
              <w:rPr>
                <w:rFonts w:eastAsia="Times New Roman"/>
                <w:color w:val="000000"/>
                <w:lang w:val="en-US"/>
              </w:rPr>
              <w:t>4</w:t>
            </w:r>
          </w:p>
        </w:tc>
      </w:tr>
      <w:tr w:rsidR="003D3D4C" w:rsidRPr="00C363BB" w14:paraId="41D80180" w14:textId="77777777" w:rsidTr="00DF2591">
        <w:tc>
          <w:tcPr>
            <w:tcW w:w="2972" w:type="dxa"/>
            <w:vAlign w:val="center"/>
          </w:tcPr>
          <w:p w14:paraId="60876103" w14:textId="77777777" w:rsidR="003D3D4C" w:rsidRPr="000B1730" w:rsidRDefault="003D3D4C" w:rsidP="00DF2591">
            <w:pPr>
              <w:widowControl w:val="0"/>
              <w:spacing w:after="0" w:line="240" w:lineRule="auto"/>
              <w:ind w:left="238" w:right="-45"/>
              <w:rPr>
                <w:rFonts w:eastAsia="Times New Roman"/>
                <w:color w:val="000000"/>
                <w:lang w:val="en-US"/>
              </w:rPr>
            </w:pPr>
            <w:r w:rsidRPr="00C363BB">
              <w:rPr>
                <w:rFonts w:eastAsia="Times New Roman"/>
                <w:color w:val="000000"/>
                <w:lang w:val="en-US"/>
              </w:rPr>
              <w:t xml:space="preserve">AD </w:t>
            </w:r>
            <w:r w:rsidRPr="000B1730">
              <w:rPr>
                <w:rFonts w:eastAsia="Times New Roman"/>
                <w:color w:val="000000"/>
                <w:lang w:val="en-US"/>
              </w:rPr>
              <w:t>8</w:t>
            </w:r>
          </w:p>
        </w:tc>
        <w:tc>
          <w:tcPr>
            <w:tcW w:w="1418" w:type="dxa"/>
          </w:tcPr>
          <w:p w14:paraId="44A18D13" w14:textId="77777777" w:rsidR="003D3D4C" w:rsidRPr="000B1730" w:rsidRDefault="003D3D4C" w:rsidP="00DF2591">
            <w:pPr>
              <w:widowControl w:val="0"/>
              <w:spacing w:after="0" w:line="240" w:lineRule="auto"/>
              <w:ind w:left="172" w:right="-30"/>
              <w:jc w:val="center"/>
              <w:rPr>
                <w:rFonts w:eastAsia="Times New Roman"/>
                <w:color w:val="000000"/>
                <w:lang w:val="en-US"/>
              </w:rPr>
            </w:pPr>
            <w:r w:rsidRPr="000B1730">
              <w:rPr>
                <w:rFonts w:eastAsia="Times New Roman"/>
                <w:color w:val="000000"/>
                <w:lang w:val="en-US"/>
              </w:rPr>
              <w:t>4</w:t>
            </w:r>
          </w:p>
        </w:tc>
        <w:tc>
          <w:tcPr>
            <w:tcW w:w="1417" w:type="dxa"/>
          </w:tcPr>
          <w:p w14:paraId="04ADFBB4" w14:textId="77777777" w:rsidR="003D3D4C" w:rsidRPr="000B1730" w:rsidRDefault="003D3D4C" w:rsidP="00DF2591">
            <w:pPr>
              <w:widowControl w:val="0"/>
              <w:spacing w:after="0" w:line="240" w:lineRule="auto"/>
              <w:ind w:left="94" w:right="-45"/>
              <w:jc w:val="center"/>
              <w:rPr>
                <w:rFonts w:eastAsia="Times New Roman"/>
                <w:color w:val="000000"/>
                <w:lang w:val="en-US"/>
              </w:rPr>
            </w:pPr>
            <w:r w:rsidRPr="000B1730">
              <w:rPr>
                <w:rFonts w:eastAsia="Times New Roman"/>
                <w:color w:val="000000"/>
                <w:lang w:val="en-US"/>
              </w:rPr>
              <w:t>4</w:t>
            </w:r>
          </w:p>
        </w:tc>
        <w:tc>
          <w:tcPr>
            <w:tcW w:w="1559" w:type="dxa"/>
          </w:tcPr>
          <w:p w14:paraId="219DEE27" w14:textId="77777777" w:rsidR="003D3D4C" w:rsidRPr="000B1730" w:rsidRDefault="003D3D4C" w:rsidP="00DF2591">
            <w:pPr>
              <w:widowControl w:val="0"/>
              <w:spacing w:after="0" w:line="240" w:lineRule="auto"/>
              <w:ind w:left="142" w:right="-45"/>
              <w:jc w:val="center"/>
              <w:rPr>
                <w:rFonts w:eastAsia="Times New Roman"/>
                <w:color w:val="000000"/>
                <w:lang w:val="en-US"/>
              </w:rPr>
            </w:pPr>
            <w:r w:rsidRPr="000B1730">
              <w:rPr>
                <w:rFonts w:eastAsia="Times New Roman"/>
                <w:color w:val="000000"/>
                <w:lang w:val="en-US"/>
              </w:rPr>
              <w:t>3</w:t>
            </w:r>
          </w:p>
        </w:tc>
        <w:tc>
          <w:tcPr>
            <w:tcW w:w="1560" w:type="dxa"/>
          </w:tcPr>
          <w:p w14:paraId="42C605C4" w14:textId="77777777" w:rsidR="003D3D4C" w:rsidRPr="000B1730" w:rsidRDefault="003D3D4C" w:rsidP="00DF2591">
            <w:pPr>
              <w:widowControl w:val="0"/>
              <w:spacing w:after="0" w:line="240" w:lineRule="auto"/>
              <w:ind w:left="179" w:right="-45"/>
              <w:jc w:val="center"/>
              <w:rPr>
                <w:rFonts w:eastAsia="Times New Roman"/>
                <w:color w:val="000000"/>
                <w:lang w:val="en-US"/>
              </w:rPr>
            </w:pPr>
            <w:r w:rsidRPr="000B1730">
              <w:rPr>
                <w:rFonts w:eastAsia="Times New Roman"/>
                <w:color w:val="000000"/>
                <w:lang w:val="en-US"/>
              </w:rPr>
              <w:t>1</w:t>
            </w:r>
          </w:p>
        </w:tc>
      </w:tr>
      <w:tr w:rsidR="003D3D4C" w:rsidRPr="00C363BB" w14:paraId="4E8E61B6" w14:textId="77777777" w:rsidTr="00DF2591">
        <w:tc>
          <w:tcPr>
            <w:tcW w:w="2972" w:type="dxa"/>
            <w:vAlign w:val="center"/>
          </w:tcPr>
          <w:p w14:paraId="16BE686A" w14:textId="77777777" w:rsidR="003D3D4C" w:rsidRPr="000B1730" w:rsidRDefault="003D3D4C" w:rsidP="00DF2591">
            <w:pPr>
              <w:widowControl w:val="0"/>
              <w:spacing w:after="0" w:line="240" w:lineRule="auto"/>
              <w:ind w:left="238" w:right="-45"/>
              <w:rPr>
                <w:rFonts w:eastAsia="Times New Roman"/>
                <w:color w:val="000000"/>
                <w:lang w:val="en-US"/>
              </w:rPr>
            </w:pPr>
            <w:r w:rsidRPr="00C363BB">
              <w:rPr>
                <w:rFonts w:eastAsia="Times New Roman"/>
                <w:color w:val="000000"/>
                <w:lang w:val="en-US"/>
              </w:rPr>
              <w:t xml:space="preserve">AD </w:t>
            </w:r>
            <w:r w:rsidRPr="000B1730">
              <w:rPr>
                <w:rFonts w:eastAsia="Times New Roman"/>
                <w:color w:val="000000"/>
                <w:lang w:val="en-US"/>
              </w:rPr>
              <w:t>7</w:t>
            </w:r>
          </w:p>
        </w:tc>
        <w:tc>
          <w:tcPr>
            <w:tcW w:w="1418" w:type="dxa"/>
          </w:tcPr>
          <w:p w14:paraId="21B866FA" w14:textId="77777777" w:rsidR="003D3D4C" w:rsidRPr="000B1730" w:rsidRDefault="003D3D4C" w:rsidP="00DF2591">
            <w:pPr>
              <w:widowControl w:val="0"/>
              <w:spacing w:after="0" w:line="240" w:lineRule="auto"/>
              <w:ind w:left="172" w:right="-30"/>
              <w:jc w:val="center"/>
              <w:rPr>
                <w:rFonts w:eastAsia="Times New Roman"/>
                <w:color w:val="000000"/>
                <w:lang w:val="en-US"/>
              </w:rPr>
            </w:pPr>
            <w:r w:rsidRPr="000B1730">
              <w:rPr>
                <w:rFonts w:eastAsia="Times New Roman"/>
                <w:color w:val="000000"/>
                <w:lang w:val="en-US"/>
              </w:rPr>
              <w:t>1</w:t>
            </w:r>
          </w:p>
        </w:tc>
        <w:tc>
          <w:tcPr>
            <w:tcW w:w="1417" w:type="dxa"/>
          </w:tcPr>
          <w:p w14:paraId="3A534EB3" w14:textId="77777777" w:rsidR="003D3D4C" w:rsidRPr="000B1730" w:rsidRDefault="003D3D4C" w:rsidP="00DF2591">
            <w:pPr>
              <w:widowControl w:val="0"/>
              <w:spacing w:after="0" w:line="240" w:lineRule="auto"/>
              <w:ind w:left="94" w:right="-45"/>
              <w:jc w:val="center"/>
              <w:rPr>
                <w:rFonts w:eastAsia="Times New Roman"/>
                <w:color w:val="000000"/>
                <w:lang w:val="en-US"/>
              </w:rPr>
            </w:pPr>
            <w:r w:rsidRPr="000B1730">
              <w:rPr>
                <w:rFonts w:eastAsia="Times New Roman"/>
                <w:color w:val="000000"/>
                <w:lang w:val="en-US"/>
              </w:rPr>
              <w:t>1</w:t>
            </w:r>
          </w:p>
        </w:tc>
        <w:tc>
          <w:tcPr>
            <w:tcW w:w="1559" w:type="dxa"/>
          </w:tcPr>
          <w:p w14:paraId="28FF069D" w14:textId="77777777" w:rsidR="003D3D4C" w:rsidRPr="000B1730" w:rsidRDefault="003D3D4C" w:rsidP="00DF2591">
            <w:pPr>
              <w:widowControl w:val="0"/>
              <w:spacing w:after="0" w:line="240" w:lineRule="auto"/>
              <w:ind w:left="142" w:right="-45"/>
              <w:jc w:val="center"/>
              <w:rPr>
                <w:rFonts w:eastAsia="Times New Roman"/>
                <w:color w:val="000000"/>
                <w:lang w:val="en-US"/>
              </w:rPr>
            </w:pPr>
            <w:r w:rsidRPr="000B1730">
              <w:rPr>
                <w:rFonts w:eastAsia="Times New Roman"/>
                <w:color w:val="000000"/>
                <w:lang w:val="en-US"/>
              </w:rPr>
              <w:t>2</w:t>
            </w:r>
          </w:p>
        </w:tc>
        <w:tc>
          <w:tcPr>
            <w:tcW w:w="1560" w:type="dxa"/>
          </w:tcPr>
          <w:p w14:paraId="5AAD89DA" w14:textId="77777777" w:rsidR="003D3D4C" w:rsidRPr="000B1730" w:rsidRDefault="003D3D4C" w:rsidP="00DF2591">
            <w:pPr>
              <w:widowControl w:val="0"/>
              <w:spacing w:after="0" w:line="240" w:lineRule="auto"/>
              <w:ind w:left="179" w:right="-45"/>
              <w:jc w:val="center"/>
              <w:rPr>
                <w:rFonts w:eastAsia="Times New Roman"/>
                <w:color w:val="000000"/>
                <w:lang w:val="en-US"/>
              </w:rPr>
            </w:pPr>
            <w:r w:rsidRPr="000B1730">
              <w:rPr>
                <w:rFonts w:eastAsia="Times New Roman"/>
                <w:color w:val="000000"/>
                <w:lang w:val="en-US"/>
              </w:rPr>
              <w:t>2</w:t>
            </w:r>
          </w:p>
        </w:tc>
      </w:tr>
      <w:tr w:rsidR="003D3D4C" w:rsidRPr="00C363BB" w14:paraId="0429C3F0" w14:textId="77777777" w:rsidTr="00DF2591">
        <w:tc>
          <w:tcPr>
            <w:tcW w:w="2972" w:type="dxa"/>
            <w:vAlign w:val="center"/>
          </w:tcPr>
          <w:p w14:paraId="47476413" w14:textId="77777777" w:rsidR="003D3D4C" w:rsidRPr="000B1730" w:rsidRDefault="003D3D4C" w:rsidP="00DF2591">
            <w:pPr>
              <w:widowControl w:val="0"/>
              <w:spacing w:after="0" w:line="240" w:lineRule="auto"/>
              <w:ind w:left="238" w:right="-45"/>
              <w:rPr>
                <w:rFonts w:eastAsia="Times New Roman"/>
                <w:color w:val="000000"/>
                <w:lang w:val="en-US"/>
              </w:rPr>
            </w:pPr>
            <w:r w:rsidRPr="00C363BB">
              <w:rPr>
                <w:rFonts w:eastAsia="Times New Roman"/>
                <w:color w:val="000000"/>
                <w:lang w:val="en-US"/>
              </w:rPr>
              <w:t xml:space="preserve">AD </w:t>
            </w:r>
            <w:r w:rsidRPr="000B1730">
              <w:rPr>
                <w:rFonts w:eastAsia="Times New Roman"/>
                <w:color w:val="000000"/>
                <w:lang w:val="en-US"/>
              </w:rPr>
              <w:t>6</w:t>
            </w:r>
          </w:p>
        </w:tc>
        <w:tc>
          <w:tcPr>
            <w:tcW w:w="1418" w:type="dxa"/>
          </w:tcPr>
          <w:p w14:paraId="18D70864" w14:textId="77777777" w:rsidR="003D3D4C" w:rsidRPr="000B1730" w:rsidRDefault="003D3D4C" w:rsidP="00DF2591">
            <w:pPr>
              <w:widowControl w:val="0"/>
              <w:spacing w:after="0" w:line="240" w:lineRule="auto"/>
              <w:ind w:left="172" w:right="-30"/>
              <w:jc w:val="center"/>
              <w:rPr>
                <w:rFonts w:eastAsia="Times New Roman"/>
                <w:color w:val="000000"/>
                <w:lang w:val="en-US"/>
              </w:rPr>
            </w:pPr>
            <w:r w:rsidRPr="000B1730">
              <w:rPr>
                <w:rFonts w:eastAsia="Times New Roman"/>
                <w:color w:val="000000"/>
                <w:lang w:val="en-US"/>
              </w:rPr>
              <w:t>3</w:t>
            </w:r>
          </w:p>
        </w:tc>
        <w:tc>
          <w:tcPr>
            <w:tcW w:w="1417" w:type="dxa"/>
          </w:tcPr>
          <w:p w14:paraId="0C69B5DB" w14:textId="77777777" w:rsidR="003D3D4C" w:rsidRPr="000B1730" w:rsidRDefault="003D3D4C" w:rsidP="00DF2591">
            <w:pPr>
              <w:widowControl w:val="0"/>
              <w:spacing w:after="0" w:line="240" w:lineRule="auto"/>
              <w:ind w:left="94" w:right="-45"/>
              <w:jc w:val="center"/>
              <w:rPr>
                <w:rFonts w:eastAsia="Times New Roman"/>
                <w:color w:val="000000"/>
                <w:lang w:val="en-US"/>
              </w:rPr>
            </w:pPr>
            <w:r w:rsidRPr="000B1730">
              <w:rPr>
                <w:rFonts w:eastAsia="Times New Roman"/>
                <w:color w:val="000000"/>
                <w:lang w:val="en-US"/>
              </w:rPr>
              <w:t>3</w:t>
            </w:r>
          </w:p>
        </w:tc>
        <w:tc>
          <w:tcPr>
            <w:tcW w:w="1559" w:type="dxa"/>
          </w:tcPr>
          <w:p w14:paraId="4E7237A6" w14:textId="77777777" w:rsidR="003D3D4C" w:rsidRPr="000B1730" w:rsidRDefault="003D3D4C" w:rsidP="00DF2591">
            <w:pPr>
              <w:widowControl w:val="0"/>
              <w:spacing w:after="0" w:line="240" w:lineRule="auto"/>
              <w:ind w:left="142" w:right="-45"/>
              <w:jc w:val="center"/>
              <w:rPr>
                <w:rFonts w:eastAsia="Times New Roman"/>
                <w:color w:val="000000"/>
                <w:lang w:val="en-US"/>
              </w:rPr>
            </w:pPr>
            <w:r w:rsidRPr="000B1730">
              <w:rPr>
                <w:rFonts w:eastAsia="Times New Roman"/>
                <w:color w:val="000000"/>
                <w:lang w:val="en-US"/>
              </w:rPr>
              <w:t>2</w:t>
            </w:r>
          </w:p>
        </w:tc>
        <w:tc>
          <w:tcPr>
            <w:tcW w:w="1560" w:type="dxa"/>
          </w:tcPr>
          <w:p w14:paraId="0ECDB1C6" w14:textId="77777777" w:rsidR="003D3D4C" w:rsidRPr="000B1730" w:rsidRDefault="003D3D4C" w:rsidP="00DF2591">
            <w:pPr>
              <w:widowControl w:val="0"/>
              <w:spacing w:after="0" w:line="240" w:lineRule="auto"/>
              <w:ind w:left="179" w:right="-45"/>
              <w:jc w:val="center"/>
              <w:rPr>
                <w:rFonts w:eastAsia="Times New Roman"/>
                <w:color w:val="000000"/>
                <w:lang w:val="en-US"/>
              </w:rPr>
            </w:pPr>
            <w:r w:rsidRPr="000B1730">
              <w:rPr>
                <w:rFonts w:eastAsia="Times New Roman"/>
                <w:color w:val="000000"/>
                <w:lang w:val="en-US"/>
              </w:rPr>
              <w:t>5</w:t>
            </w:r>
          </w:p>
        </w:tc>
      </w:tr>
      <w:tr w:rsidR="003D3D4C" w:rsidRPr="00C363BB" w14:paraId="5977EED9" w14:textId="77777777" w:rsidTr="00DF2591">
        <w:tc>
          <w:tcPr>
            <w:tcW w:w="2972" w:type="dxa"/>
            <w:tcBorders>
              <w:bottom w:val="single" w:sz="4" w:space="0" w:color="auto"/>
            </w:tcBorders>
            <w:vAlign w:val="center"/>
          </w:tcPr>
          <w:p w14:paraId="514E7AD8" w14:textId="77777777" w:rsidR="003D3D4C" w:rsidRPr="000B1730" w:rsidRDefault="003D3D4C" w:rsidP="00DF2591">
            <w:pPr>
              <w:widowControl w:val="0"/>
              <w:spacing w:after="0" w:line="240" w:lineRule="auto"/>
              <w:ind w:left="238" w:right="-45"/>
              <w:rPr>
                <w:rFonts w:eastAsia="Times New Roman"/>
                <w:color w:val="000000"/>
                <w:lang w:val="en-US"/>
              </w:rPr>
            </w:pPr>
            <w:r w:rsidRPr="00C363BB">
              <w:rPr>
                <w:rFonts w:eastAsia="Times New Roman"/>
                <w:color w:val="000000"/>
                <w:lang w:val="en-US"/>
              </w:rPr>
              <w:t xml:space="preserve">AD </w:t>
            </w:r>
            <w:r w:rsidRPr="000B1730">
              <w:rPr>
                <w:rFonts w:eastAsia="Times New Roman"/>
                <w:color w:val="000000"/>
                <w:lang w:val="en-US"/>
              </w:rPr>
              <w:t>5</w:t>
            </w:r>
          </w:p>
        </w:tc>
        <w:tc>
          <w:tcPr>
            <w:tcW w:w="1418" w:type="dxa"/>
            <w:tcBorders>
              <w:bottom w:val="single" w:sz="4" w:space="0" w:color="auto"/>
            </w:tcBorders>
          </w:tcPr>
          <w:p w14:paraId="4ACB9433" w14:textId="77777777" w:rsidR="003D3D4C" w:rsidRPr="000B1730" w:rsidRDefault="003D3D4C" w:rsidP="00DF2591">
            <w:pPr>
              <w:widowControl w:val="0"/>
              <w:spacing w:after="0" w:line="240" w:lineRule="auto"/>
              <w:ind w:left="172" w:right="-45"/>
              <w:jc w:val="center"/>
              <w:rPr>
                <w:rFonts w:eastAsia="Times New Roman"/>
                <w:color w:val="000000"/>
                <w:lang w:val="en-US"/>
              </w:rPr>
            </w:pPr>
          </w:p>
        </w:tc>
        <w:tc>
          <w:tcPr>
            <w:tcW w:w="1417" w:type="dxa"/>
            <w:tcBorders>
              <w:bottom w:val="single" w:sz="4" w:space="0" w:color="auto"/>
            </w:tcBorders>
          </w:tcPr>
          <w:p w14:paraId="7F01394C" w14:textId="77777777" w:rsidR="003D3D4C" w:rsidRPr="000B1730" w:rsidRDefault="003D3D4C" w:rsidP="00DF2591">
            <w:pPr>
              <w:widowControl w:val="0"/>
              <w:spacing w:after="0" w:line="240" w:lineRule="auto"/>
              <w:ind w:left="94" w:right="-45"/>
              <w:jc w:val="center"/>
              <w:rPr>
                <w:rFonts w:eastAsia="Times New Roman"/>
                <w:color w:val="000000"/>
                <w:lang w:val="en-US"/>
              </w:rPr>
            </w:pPr>
          </w:p>
        </w:tc>
        <w:tc>
          <w:tcPr>
            <w:tcW w:w="1559" w:type="dxa"/>
            <w:tcBorders>
              <w:bottom w:val="single" w:sz="4" w:space="0" w:color="auto"/>
            </w:tcBorders>
          </w:tcPr>
          <w:p w14:paraId="6D001177" w14:textId="77777777" w:rsidR="003D3D4C" w:rsidRPr="000B1730" w:rsidRDefault="003D3D4C" w:rsidP="00DF2591">
            <w:pPr>
              <w:widowControl w:val="0"/>
              <w:spacing w:after="0" w:line="240" w:lineRule="auto"/>
              <w:ind w:left="142" w:right="-45"/>
              <w:jc w:val="center"/>
              <w:rPr>
                <w:rFonts w:eastAsia="Times New Roman"/>
                <w:color w:val="000000"/>
                <w:lang w:val="en-US"/>
              </w:rPr>
            </w:pPr>
          </w:p>
        </w:tc>
        <w:tc>
          <w:tcPr>
            <w:tcW w:w="1560" w:type="dxa"/>
            <w:tcBorders>
              <w:bottom w:val="single" w:sz="4" w:space="0" w:color="auto"/>
            </w:tcBorders>
          </w:tcPr>
          <w:p w14:paraId="36AB01FC" w14:textId="77777777" w:rsidR="003D3D4C" w:rsidRPr="000B1730" w:rsidRDefault="003D3D4C" w:rsidP="00DF2591">
            <w:pPr>
              <w:widowControl w:val="0"/>
              <w:spacing w:after="0" w:line="240" w:lineRule="auto"/>
              <w:ind w:left="179" w:right="-45"/>
              <w:jc w:val="center"/>
              <w:rPr>
                <w:rFonts w:eastAsia="Times New Roman"/>
                <w:color w:val="000000"/>
                <w:lang w:val="en-US"/>
              </w:rPr>
            </w:pPr>
          </w:p>
        </w:tc>
      </w:tr>
      <w:tr w:rsidR="003D3D4C" w:rsidRPr="00C363BB" w14:paraId="52EE5420" w14:textId="77777777" w:rsidTr="00DF2591">
        <w:tc>
          <w:tcPr>
            <w:tcW w:w="2972" w:type="dxa"/>
            <w:shd w:val="clear" w:color="auto" w:fill="DBE5F1" w:themeFill="accent1" w:themeFillTint="33"/>
            <w:vAlign w:val="center"/>
          </w:tcPr>
          <w:p w14:paraId="6912CD8D" w14:textId="77777777" w:rsidR="003D3D4C" w:rsidRPr="00F24205" w:rsidRDefault="003D3D4C" w:rsidP="00DF2591">
            <w:pPr>
              <w:widowControl w:val="0"/>
              <w:spacing w:after="0" w:line="240" w:lineRule="auto"/>
              <w:ind w:left="238" w:right="-45"/>
              <w:rPr>
                <w:rFonts w:eastAsia="Times New Roman"/>
                <w:b/>
                <w:bCs/>
                <w:color w:val="000000"/>
                <w:lang w:val="en-US"/>
              </w:rPr>
            </w:pPr>
            <w:r w:rsidRPr="00F24205">
              <w:rPr>
                <w:rFonts w:eastAsia="Times New Roman"/>
                <w:b/>
                <w:bCs/>
                <w:color w:val="000000"/>
                <w:lang w:val="en-US"/>
              </w:rPr>
              <w:t>Total AD</w:t>
            </w:r>
          </w:p>
        </w:tc>
        <w:tc>
          <w:tcPr>
            <w:tcW w:w="1418" w:type="dxa"/>
            <w:shd w:val="clear" w:color="auto" w:fill="DBE5F1" w:themeFill="accent1" w:themeFillTint="33"/>
            <w:vAlign w:val="center"/>
          </w:tcPr>
          <w:p w14:paraId="11648872" w14:textId="77777777" w:rsidR="003D3D4C" w:rsidRPr="00F24205" w:rsidRDefault="003D3D4C" w:rsidP="00DF2591">
            <w:pPr>
              <w:widowControl w:val="0"/>
              <w:spacing w:after="0" w:line="240" w:lineRule="auto"/>
              <w:ind w:left="238" w:right="-45"/>
              <w:jc w:val="center"/>
              <w:rPr>
                <w:rFonts w:eastAsia="Times New Roman"/>
                <w:b/>
                <w:bCs/>
                <w:color w:val="000000"/>
                <w:lang w:val="en-US"/>
              </w:rPr>
            </w:pPr>
            <w:r w:rsidRPr="00F24205">
              <w:rPr>
                <w:rFonts w:eastAsia="Times New Roman"/>
                <w:b/>
                <w:bCs/>
                <w:color w:val="000000"/>
                <w:lang w:val="en-US"/>
              </w:rPr>
              <w:t>15</w:t>
            </w:r>
          </w:p>
        </w:tc>
        <w:tc>
          <w:tcPr>
            <w:tcW w:w="1417" w:type="dxa"/>
            <w:shd w:val="clear" w:color="auto" w:fill="DBE5F1" w:themeFill="accent1" w:themeFillTint="33"/>
          </w:tcPr>
          <w:p w14:paraId="58D3384E" w14:textId="77777777" w:rsidR="003D3D4C" w:rsidRPr="00F24205" w:rsidRDefault="003D3D4C" w:rsidP="00DF2591">
            <w:pPr>
              <w:widowControl w:val="0"/>
              <w:spacing w:after="0" w:line="240" w:lineRule="auto"/>
              <w:ind w:left="238" w:right="-45"/>
              <w:jc w:val="center"/>
              <w:rPr>
                <w:rFonts w:eastAsia="Times New Roman"/>
                <w:b/>
                <w:bCs/>
                <w:color w:val="000000"/>
                <w:lang w:val="en-US"/>
              </w:rPr>
            </w:pPr>
            <w:r w:rsidRPr="00F24205">
              <w:rPr>
                <w:rFonts w:eastAsia="Times New Roman"/>
                <w:b/>
                <w:bCs/>
                <w:color w:val="000000"/>
                <w:lang w:val="en-US"/>
              </w:rPr>
              <w:t>15</w:t>
            </w:r>
          </w:p>
        </w:tc>
        <w:tc>
          <w:tcPr>
            <w:tcW w:w="1559" w:type="dxa"/>
            <w:shd w:val="clear" w:color="auto" w:fill="DBE5F1" w:themeFill="accent1" w:themeFillTint="33"/>
          </w:tcPr>
          <w:p w14:paraId="3A23FFB3" w14:textId="77777777" w:rsidR="003D3D4C" w:rsidRPr="00F24205" w:rsidRDefault="003D3D4C" w:rsidP="00DF2591">
            <w:pPr>
              <w:widowControl w:val="0"/>
              <w:spacing w:after="0" w:line="240" w:lineRule="auto"/>
              <w:ind w:left="238" w:right="-45"/>
              <w:jc w:val="center"/>
              <w:rPr>
                <w:rFonts w:eastAsia="Times New Roman"/>
                <w:b/>
                <w:bCs/>
                <w:color w:val="000000"/>
                <w:lang w:val="en-US"/>
              </w:rPr>
            </w:pPr>
            <w:r w:rsidRPr="00F24205">
              <w:rPr>
                <w:rFonts w:eastAsia="Times New Roman"/>
                <w:b/>
                <w:bCs/>
                <w:color w:val="000000"/>
                <w:lang w:val="en-US"/>
              </w:rPr>
              <w:t>15</w:t>
            </w:r>
          </w:p>
        </w:tc>
        <w:tc>
          <w:tcPr>
            <w:tcW w:w="1560" w:type="dxa"/>
            <w:shd w:val="clear" w:color="auto" w:fill="DBE5F1" w:themeFill="accent1" w:themeFillTint="33"/>
          </w:tcPr>
          <w:p w14:paraId="12153711" w14:textId="77777777" w:rsidR="003D3D4C" w:rsidRPr="00F24205" w:rsidRDefault="003D3D4C" w:rsidP="00DF2591">
            <w:pPr>
              <w:widowControl w:val="0"/>
              <w:spacing w:after="0" w:line="240" w:lineRule="auto"/>
              <w:ind w:left="238" w:right="-45"/>
              <w:jc w:val="center"/>
              <w:rPr>
                <w:rFonts w:eastAsia="Times New Roman"/>
                <w:b/>
                <w:bCs/>
                <w:color w:val="000000"/>
                <w:lang w:val="en-US"/>
              </w:rPr>
            </w:pPr>
            <w:r w:rsidRPr="00F24205">
              <w:rPr>
                <w:rFonts w:eastAsia="Times New Roman"/>
                <w:b/>
                <w:bCs/>
                <w:color w:val="000000"/>
                <w:lang w:val="en-US"/>
              </w:rPr>
              <w:t>14</w:t>
            </w:r>
          </w:p>
        </w:tc>
      </w:tr>
      <w:tr w:rsidR="003D3D4C" w:rsidRPr="00C363BB" w14:paraId="5910A712" w14:textId="77777777" w:rsidTr="00DF2591">
        <w:tc>
          <w:tcPr>
            <w:tcW w:w="2972" w:type="dxa"/>
            <w:vAlign w:val="center"/>
          </w:tcPr>
          <w:p w14:paraId="1C1E3E5F" w14:textId="77777777" w:rsidR="003D3D4C" w:rsidRPr="000B1730" w:rsidRDefault="003D3D4C" w:rsidP="00DF2591">
            <w:pPr>
              <w:widowControl w:val="0"/>
              <w:spacing w:after="0" w:line="240" w:lineRule="auto"/>
              <w:ind w:left="238" w:right="-45"/>
              <w:rPr>
                <w:rFonts w:eastAsia="Times New Roman"/>
                <w:color w:val="000000"/>
                <w:lang w:val="en-US"/>
              </w:rPr>
            </w:pPr>
            <w:r w:rsidRPr="00C363BB">
              <w:rPr>
                <w:rFonts w:eastAsia="Times New Roman"/>
                <w:color w:val="000000"/>
                <w:lang w:val="en-US"/>
              </w:rPr>
              <w:t xml:space="preserve">AST </w:t>
            </w:r>
            <w:r w:rsidRPr="000B1730">
              <w:rPr>
                <w:rFonts w:eastAsia="Times New Roman"/>
                <w:color w:val="000000"/>
                <w:lang w:val="en-US"/>
              </w:rPr>
              <w:t>11</w:t>
            </w:r>
          </w:p>
        </w:tc>
        <w:tc>
          <w:tcPr>
            <w:tcW w:w="1418" w:type="dxa"/>
          </w:tcPr>
          <w:p w14:paraId="4F4B87D2" w14:textId="77777777" w:rsidR="003D3D4C" w:rsidRPr="000B1730" w:rsidRDefault="003D3D4C" w:rsidP="00DF2591">
            <w:pPr>
              <w:widowControl w:val="0"/>
              <w:spacing w:after="0" w:line="240" w:lineRule="auto"/>
              <w:ind w:left="172" w:right="-45"/>
              <w:jc w:val="center"/>
              <w:rPr>
                <w:rFonts w:eastAsia="Times New Roman"/>
                <w:color w:val="000000"/>
                <w:lang w:val="en-US"/>
              </w:rPr>
            </w:pPr>
          </w:p>
        </w:tc>
        <w:tc>
          <w:tcPr>
            <w:tcW w:w="1417" w:type="dxa"/>
          </w:tcPr>
          <w:p w14:paraId="1FA65DCE" w14:textId="77777777" w:rsidR="003D3D4C" w:rsidRPr="000B1730" w:rsidRDefault="003D3D4C" w:rsidP="00DF2591">
            <w:pPr>
              <w:widowControl w:val="0"/>
              <w:spacing w:after="0" w:line="240" w:lineRule="auto"/>
              <w:ind w:left="94" w:right="-45"/>
              <w:jc w:val="center"/>
              <w:rPr>
                <w:rFonts w:eastAsia="Times New Roman"/>
                <w:color w:val="000000"/>
                <w:lang w:val="en-US"/>
              </w:rPr>
            </w:pPr>
          </w:p>
        </w:tc>
        <w:tc>
          <w:tcPr>
            <w:tcW w:w="1559" w:type="dxa"/>
          </w:tcPr>
          <w:p w14:paraId="4C696B7F" w14:textId="77777777" w:rsidR="003D3D4C" w:rsidRPr="000B1730" w:rsidRDefault="003D3D4C" w:rsidP="00DF2591">
            <w:pPr>
              <w:widowControl w:val="0"/>
              <w:spacing w:after="0" w:line="240" w:lineRule="auto"/>
              <w:ind w:left="142" w:right="-45"/>
              <w:jc w:val="center"/>
              <w:rPr>
                <w:rFonts w:eastAsia="Times New Roman"/>
                <w:color w:val="000000"/>
                <w:lang w:val="en-US"/>
              </w:rPr>
            </w:pPr>
          </w:p>
        </w:tc>
        <w:tc>
          <w:tcPr>
            <w:tcW w:w="1560" w:type="dxa"/>
          </w:tcPr>
          <w:p w14:paraId="034DC1CE" w14:textId="77777777" w:rsidR="003D3D4C" w:rsidRPr="000B1730" w:rsidRDefault="003D3D4C" w:rsidP="00DF2591">
            <w:pPr>
              <w:widowControl w:val="0"/>
              <w:spacing w:after="0" w:line="240" w:lineRule="auto"/>
              <w:ind w:left="179" w:right="-45"/>
              <w:jc w:val="center"/>
              <w:rPr>
                <w:rFonts w:eastAsia="Times New Roman"/>
                <w:color w:val="000000"/>
                <w:lang w:val="en-US"/>
              </w:rPr>
            </w:pPr>
          </w:p>
        </w:tc>
      </w:tr>
      <w:tr w:rsidR="003D3D4C" w:rsidRPr="00C363BB" w14:paraId="580B3C7F" w14:textId="77777777" w:rsidTr="00DF2591">
        <w:tc>
          <w:tcPr>
            <w:tcW w:w="2972" w:type="dxa"/>
            <w:vAlign w:val="center"/>
          </w:tcPr>
          <w:p w14:paraId="6EE62FF6" w14:textId="77777777" w:rsidR="003D3D4C" w:rsidRPr="000B1730" w:rsidRDefault="003D3D4C" w:rsidP="00DF2591">
            <w:pPr>
              <w:widowControl w:val="0"/>
              <w:spacing w:after="0" w:line="240" w:lineRule="auto"/>
              <w:ind w:left="238" w:right="-45"/>
              <w:rPr>
                <w:rFonts w:eastAsia="Times New Roman"/>
                <w:color w:val="000000"/>
                <w:lang w:val="en-US"/>
              </w:rPr>
            </w:pPr>
            <w:r w:rsidRPr="00C363BB">
              <w:rPr>
                <w:rFonts w:eastAsia="Times New Roman"/>
                <w:color w:val="000000"/>
                <w:lang w:val="en-US"/>
              </w:rPr>
              <w:t xml:space="preserve">AST </w:t>
            </w:r>
            <w:r w:rsidRPr="000B1730">
              <w:rPr>
                <w:rFonts w:eastAsia="Times New Roman"/>
                <w:color w:val="000000"/>
                <w:lang w:val="en-US"/>
              </w:rPr>
              <w:t>10</w:t>
            </w:r>
          </w:p>
        </w:tc>
        <w:tc>
          <w:tcPr>
            <w:tcW w:w="1418" w:type="dxa"/>
          </w:tcPr>
          <w:p w14:paraId="0FCAD9B8" w14:textId="77777777" w:rsidR="003D3D4C" w:rsidRPr="000B1730" w:rsidRDefault="003D3D4C" w:rsidP="00DF2591">
            <w:pPr>
              <w:widowControl w:val="0"/>
              <w:spacing w:after="0" w:line="240" w:lineRule="auto"/>
              <w:ind w:left="172" w:right="-45"/>
              <w:jc w:val="center"/>
              <w:rPr>
                <w:rFonts w:eastAsia="Times New Roman"/>
                <w:color w:val="000000"/>
                <w:lang w:val="en-US"/>
              </w:rPr>
            </w:pPr>
          </w:p>
        </w:tc>
        <w:tc>
          <w:tcPr>
            <w:tcW w:w="1417" w:type="dxa"/>
          </w:tcPr>
          <w:p w14:paraId="740F2A4D" w14:textId="77777777" w:rsidR="003D3D4C" w:rsidRPr="000B1730" w:rsidRDefault="003D3D4C" w:rsidP="00DF2591">
            <w:pPr>
              <w:widowControl w:val="0"/>
              <w:spacing w:after="0" w:line="240" w:lineRule="auto"/>
              <w:ind w:left="94" w:right="-45"/>
              <w:jc w:val="center"/>
              <w:rPr>
                <w:rFonts w:eastAsia="Times New Roman"/>
                <w:color w:val="000000"/>
                <w:lang w:val="en-US"/>
              </w:rPr>
            </w:pPr>
          </w:p>
        </w:tc>
        <w:tc>
          <w:tcPr>
            <w:tcW w:w="1559" w:type="dxa"/>
          </w:tcPr>
          <w:p w14:paraId="04D6D09A" w14:textId="77777777" w:rsidR="003D3D4C" w:rsidRPr="000B1730" w:rsidRDefault="003D3D4C" w:rsidP="00DF2591">
            <w:pPr>
              <w:widowControl w:val="0"/>
              <w:spacing w:after="0" w:line="240" w:lineRule="auto"/>
              <w:ind w:left="142" w:right="-45"/>
              <w:jc w:val="center"/>
              <w:rPr>
                <w:rFonts w:eastAsia="Times New Roman"/>
                <w:color w:val="000000"/>
                <w:lang w:val="en-US"/>
              </w:rPr>
            </w:pPr>
          </w:p>
        </w:tc>
        <w:tc>
          <w:tcPr>
            <w:tcW w:w="1560" w:type="dxa"/>
          </w:tcPr>
          <w:p w14:paraId="400D448A" w14:textId="77777777" w:rsidR="003D3D4C" w:rsidRPr="000B1730" w:rsidRDefault="003D3D4C" w:rsidP="00DF2591">
            <w:pPr>
              <w:widowControl w:val="0"/>
              <w:spacing w:after="0" w:line="240" w:lineRule="auto"/>
              <w:ind w:left="179" w:right="-45"/>
              <w:jc w:val="center"/>
              <w:rPr>
                <w:rFonts w:eastAsia="Times New Roman"/>
                <w:color w:val="000000"/>
                <w:lang w:val="en-US"/>
              </w:rPr>
            </w:pPr>
          </w:p>
        </w:tc>
      </w:tr>
      <w:tr w:rsidR="003D3D4C" w:rsidRPr="00C363BB" w14:paraId="579474A4" w14:textId="77777777" w:rsidTr="00DF2591">
        <w:tc>
          <w:tcPr>
            <w:tcW w:w="2972" w:type="dxa"/>
            <w:vAlign w:val="center"/>
          </w:tcPr>
          <w:p w14:paraId="421CB039" w14:textId="77777777" w:rsidR="003D3D4C" w:rsidRPr="000B1730" w:rsidRDefault="003D3D4C" w:rsidP="00DF2591">
            <w:pPr>
              <w:widowControl w:val="0"/>
              <w:spacing w:after="0" w:line="240" w:lineRule="auto"/>
              <w:ind w:left="238" w:right="-45"/>
              <w:rPr>
                <w:rFonts w:eastAsia="Times New Roman"/>
                <w:color w:val="000000"/>
                <w:lang w:val="en-US"/>
              </w:rPr>
            </w:pPr>
            <w:r w:rsidRPr="00C363BB">
              <w:rPr>
                <w:rFonts w:eastAsia="Times New Roman"/>
                <w:color w:val="000000"/>
                <w:lang w:val="en-US"/>
              </w:rPr>
              <w:t xml:space="preserve">AST </w:t>
            </w:r>
            <w:r w:rsidRPr="000B1730">
              <w:rPr>
                <w:rFonts w:eastAsia="Times New Roman"/>
                <w:color w:val="000000"/>
                <w:lang w:val="en-US"/>
              </w:rPr>
              <w:t>9</w:t>
            </w:r>
          </w:p>
        </w:tc>
        <w:tc>
          <w:tcPr>
            <w:tcW w:w="1418" w:type="dxa"/>
          </w:tcPr>
          <w:p w14:paraId="61A15D9C" w14:textId="77777777" w:rsidR="003D3D4C" w:rsidRPr="000B1730" w:rsidRDefault="003D3D4C" w:rsidP="00DF2591">
            <w:pPr>
              <w:widowControl w:val="0"/>
              <w:spacing w:after="0" w:line="240" w:lineRule="auto"/>
              <w:ind w:left="172" w:right="-45"/>
              <w:jc w:val="center"/>
              <w:rPr>
                <w:rFonts w:eastAsia="Times New Roman"/>
                <w:color w:val="000000"/>
                <w:lang w:val="en-US"/>
              </w:rPr>
            </w:pPr>
            <w:r w:rsidRPr="000B1730">
              <w:rPr>
                <w:rFonts w:eastAsia="Times New Roman"/>
                <w:color w:val="000000"/>
                <w:lang w:val="en-US"/>
              </w:rPr>
              <w:t>1</w:t>
            </w:r>
          </w:p>
        </w:tc>
        <w:tc>
          <w:tcPr>
            <w:tcW w:w="1417" w:type="dxa"/>
          </w:tcPr>
          <w:p w14:paraId="069120E3" w14:textId="77777777" w:rsidR="003D3D4C" w:rsidRPr="000B1730" w:rsidRDefault="003D3D4C" w:rsidP="00DF2591">
            <w:pPr>
              <w:widowControl w:val="0"/>
              <w:spacing w:after="0" w:line="240" w:lineRule="auto"/>
              <w:ind w:left="94" w:right="-45"/>
              <w:jc w:val="center"/>
              <w:rPr>
                <w:rFonts w:eastAsia="Times New Roman"/>
                <w:color w:val="000000"/>
                <w:lang w:val="en-US"/>
              </w:rPr>
            </w:pPr>
            <w:r w:rsidRPr="000B1730">
              <w:rPr>
                <w:rFonts w:eastAsia="Times New Roman"/>
                <w:color w:val="000000"/>
                <w:lang w:val="en-US"/>
              </w:rPr>
              <w:t>1</w:t>
            </w:r>
          </w:p>
        </w:tc>
        <w:tc>
          <w:tcPr>
            <w:tcW w:w="1559" w:type="dxa"/>
          </w:tcPr>
          <w:p w14:paraId="08A75792" w14:textId="77777777" w:rsidR="003D3D4C" w:rsidRPr="000B1730" w:rsidRDefault="003D3D4C" w:rsidP="00DF2591">
            <w:pPr>
              <w:widowControl w:val="0"/>
              <w:spacing w:after="0" w:line="240" w:lineRule="auto"/>
              <w:ind w:left="142" w:right="-45"/>
              <w:jc w:val="center"/>
              <w:rPr>
                <w:rFonts w:eastAsia="Times New Roman"/>
                <w:color w:val="000000"/>
                <w:lang w:val="en-US"/>
              </w:rPr>
            </w:pPr>
            <w:r w:rsidRPr="000B1730">
              <w:rPr>
                <w:rFonts w:eastAsia="Times New Roman"/>
                <w:color w:val="000000"/>
                <w:lang w:val="en-US"/>
              </w:rPr>
              <w:t>1</w:t>
            </w:r>
          </w:p>
        </w:tc>
        <w:tc>
          <w:tcPr>
            <w:tcW w:w="1560" w:type="dxa"/>
          </w:tcPr>
          <w:p w14:paraId="16D72ADF" w14:textId="77777777" w:rsidR="003D3D4C" w:rsidRPr="000B1730" w:rsidRDefault="003D3D4C" w:rsidP="00DF2591">
            <w:pPr>
              <w:widowControl w:val="0"/>
              <w:spacing w:after="0" w:line="240" w:lineRule="auto"/>
              <w:ind w:left="179" w:right="-45"/>
              <w:jc w:val="center"/>
              <w:rPr>
                <w:rFonts w:eastAsia="Times New Roman"/>
                <w:color w:val="000000"/>
                <w:lang w:val="en-US"/>
              </w:rPr>
            </w:pPr>
            <w:r w:rsidRPr="000B1730">
              <w:rPr>
                <w:rFonts w:eastAsia="Times New Roman"/>
                <w:color w:val="000000"/>
                <w:lang w:val="en-US"/>
              </w:rPr>
              <w:t>1</w:t>
            </w:r>
          </w:p>
        </w:tc>
      </w:tr>
      <w:tr w:rsidR="003D3D4C" w:rsidRPr="00C363BB" w14:paraId="4E53F84C" w14:textId="77777777" w:rsidTr="00DF2591">
        <w:tc>
          <w:tcPr>
            <w:tcW w:w="2972" w:type="dxa"/>
            <w:vAlign w:val="center"/>
          </w:tcPr>
          <w:p w14:paraId="754BAA4A" w14:textId="77777777" w:rsidR="003D3D4C" w:rsidRPr="000B1730" w:rsidRDefault="003D3D4C" w:rsidP="00DF2591">
            <w:pPr>
              <w:widowControl w:val="0"/>
              <w:spacing w:after="0" w:line="240" w:lineRule="auto"/>
              <w:ind w:left="238" w:right="-45"/>
              <w:rPr>
                <w:rFonts w:eastAsia="Times New Roman"/>
                <w:color w:val="000000"/>
                <w:lang w:val="en-US"/>
              </w:rPr>
            </w:pPr>
            <w:r w:rsidRPr="00C363BB">
              <w:rPr>
                <w:rFonts w:eastAsia="Times New Roman"/>
                <w:color w:val="000000"/>
                <w:lang w:val="en-US"/>
              </w:rPr>
              <w:t xml:space="preserve">AST </w:t>
            </w:r>
            <w:r w:rsidRPr="000B1730">
              <w:rPr>
                <w:rFonts w:eastAsia="Times New Roman"/>
                <w:color w:val="000000"/>
                <w:lang w:val="en-US"/>
              </w:rPr>
              <w:t>8</w:t>
            </w:r>
          </w:p>
        </w:tc>
        <w:tc>
          <w:tcPr>
            <w:tcW w:w="1418" w:type="dxa"/>
          </w:tcPr>
          <w:p w14:paraId="72D0DC9B" w14:textId="77777777" w:rsidR="003D3D4C" w:rsidRPr="000B1730" w:rsidRDefault="003D3D4C" w:rsidP="00DF2591">
            <w:pPr>
              <w:widowControl w:val="0"/>
              <w:spacing w:after="0" w:line="240" w:lineRule="auto"/>
              <w:ind w:left="172" w:right="-45"/>
              <w:jc w:val="center"/>
              <w:rPr>
                <w:rFonts w:eastAsia="Times New Roman"/>
                <w:color w:val="000000"/>
                <w:lang w:val="en-US"/>
              </w:rPr>
            </w:pPr>
            <w:r w:rsidRPr="000B1730">
              <w:rPr>
                <w:rFonts w:eastAsia="Times New Roman"/>
                <w:color w:val="000000"/>
                <w:lang w:val="en-US"/>
              </w:rPr>
              <w:t>1</w:t>
            </w:r>
          </w:p>
        </w:tc>
        <w:tc>
          <w:tcPr>
            <w:tcW w:w="1417" w:type="dxa"/>
          </w:tcPr>
          <w:p w14:paraId="51AC0CBC" w14:textId="77777777" w:rsidR="003D3D4C" w:rsidRPr="000B1730" w:rsidRDefault="003D3D4C" w:rsidP="00DF2591">
            <w:pPr>
              <w:widowControl w:val="0"/>
              <w:spacing w:after="0" w:line="240" w:lineRule="auto"/>
              <w:ind w:left="94" w:right="-45"/>
              <w:jc w:val="center"/>
              <w:rPr>
                <w:rFonts w:eastAsia="Times New Roman"/>
                <w:color w:val="000000"/>
                <w:lang w:val="en-US"/>
              </w:rPr>
            </w:pPr>
            <w:r w:rsidRPr="000B1730">
              <w:rPr>
                <w:rFonts w:eastAsia="Times New Roman"/>
                <w:color w:val="000000"/>
                <w:lang w:val="en-US"/>
              </w:rPr>
              <w:t>1</w:t>
            </w:r>
          </w:p>
        </w:tc>
        <w:tc>
          <w:tcPr>
            <w:tcW w:w="1559" w:type="dxa"/>
          </w:tcPr>
          <w:p w14:paraId="50716DD3" w14:textId="77777777" w:rsidR="003D3D4C" w:rsidRPr="000B1730" w:rsidRDefault="003D3D4C" w:rsidP="00DF2591">
            <w:pPr>
              <w:widowControl w:val="0"/>
              <w:spacing w:after="0" w:line="240" w:lineRule="auto"/>
              <w:ind w:left="142" w:right="-45"/>
              <w:jc w:val="center"/>
              <w:rPr>
                <w:rFonts w:eastAsia="Times New Roman"/>
                <w:color w:val="000000"/>
                <w:lang w:val="en-US"/>
              </w:rPr>
            </w:pPr>
            <w:r w:rsidRPr="000B1730">
              <w:rPr>
                <w:rFonts w:eastAsia="Times New Roman"/>
                <w:color w:val="000000"/>
                <w:lang w:val="en-US"/>
              </w:rPr>
              <w:t>1</w:t>
            </w:r>
          </w:p>
        </w:tc>
        <w:tc>
          <w:tcPr>
            <w:tcW w:w="1560" w:type="dxa"/>
          </w:tcPr>
          <w:p w14:paraId="2A8F1637" w14:textId="77777777" w:rsidR="003D3D4C" w:rsidRPr="000B1730" w:rsidRDefault="003D3D4C" w:rsidP="00DF2591">
            <w:pPr>
              <w:widowControl w:val="0"/>
              <w:spacing w:after="0" w:line="240" w:lineRule="auto"/>
              <w:ind w:left="179" w:right="-45"/>
              <w:jc w:val="center"/>
              <w:rPr>
                <w:rFonts w:eastAsia="Times New Roman"/>
                <w:color w:val="000000"/>
                <w:lang w:val="en-US"/>
              </w:rPr>
            </w:pPr>
            <w:r w:rsidRPr="000B1730">
              <w:rPr>
                <w:rFonts w:eastAsia="Times New Roman"/>
                <w:color w:val="000000"/>
                <w:lang w:val="en-US"/>
              </w:rPr>
              <w:t>1</w:t>
            </w:r>
          </w:p>
        </w:tc>
      </w:tr>
      <w:tr w:rsidR="003D3D4C" w:rsidRPr="00C363BB" w14:paraId="63EE0CE5" w14:textId="77777777" w:rsidTr="00DF2591">
        <w:tc>
          <w:tcPr>
            <w:tcW w:w="2972" w:type="dxa"/>
            <w:vAlign w:val="center"/>
          </w:tcPr>
          <w:p w14:paraId="06695DEB" w14:textId="77777777" w:rsidR="003D3D4C" w:rsidRPr="000B1730" w:rsidRDefault="003D3D4C" w:rsidP="00DF2591">
            <w:pPr>
              <w:widowControl w:val="0"/>
              <w:spacing w:after="0" w:line="240" w:lineRule="auto"/>
              <w:ind w:left="238" w:right="-45"/>
              <w:rPr>
                <w:rFonts w:eastAsia="Times New Roman"/>
                <w:color w:val="000000"/>
                <w:lang w:val="en-US"/>
              </w:rPr>
            </w:pPr>
            <w:r w:rsidRPr="00C363BB">
              <w:rPr>
                <w:rFonts w:eastAsia="Times New Roman"/>
                <w:color w:val="000000"/>
                <w:lang w:val="en-US"/>
              </w:rPr>
              <w:t xml:space="preserve">AST </w:t>
            </w:r>
            <w:r w:rsidRPr="000B1730">
              <w:rPr>
                <w:rFonts w:eastAsia="Times New Roman"/>
                <w:color w:val="000000"/>
                <w:lang w:val="en-US"/>
              </w:rPr>
              <w:t>7</w:t>
            </w:r>
          </w:p>
        </w:tc>
        <w:tc>
          <w:tcPr>
            <w:tcW w:w="1418" w:type="dxa"/>
          </w:tcPr>
          <w:p w14:paraId="1344BFD7" w14:textId="77777777" w:rsidR="003D3D4C" w:rsidRPr="000B1730" w:rsidRDefault="003D3D4C" w:rsidP="00DF2591">
            <w:pPr>
              <w:widowControl w:val="0"/>
              <w:spacing w:after="0" w:line="240" w:lineRule="auto"/>
              <w:ind w:left="172" w:right="-45"/>
              <w:jc w:val="center"/>
              <w:rPr>
                <w:rFonts w:eastAsia="Times New Roman"/>
                <w:color w:val="000000"/>
                <w:lang w:val="en-US"/>
              </w:rPr>
            </w:pPr>
            <w:r w:rsidRPr="000B1730">
              <w:rPr>
                <w:rFonts w:eastAsia="Times New Roman"/>
                <w:color w:val="000000"/>
                <w:lang w:val="en-US"/>
              </w:rPr>
              <w:t>1</w:t>
            </w:r>
          </w:p>
        </w:tc>
        <w:tc>
          <w:tcPr>
            <w:tcW w:w="1417" w:type="dxa"/>
          </w:tcPr>
          <w:p w14:paraId="4F8048D0" w14:textId="77777777" w:rsidR="003D3D4C" w:rsidRPr="000B1730" w:rsidRDefault="003D3D4C" w:rsidP="00DF2591">
            <w:pPr>
              <w:widowControl w:val="0"/>
              <w:spacing w:after="0" w:line="240" w:lineRule="auto"/>
              <w:ind w:left="94" w:right="-45"/>
              <w:jc w:val="center"/>
              <w:rPr>
                <w:rFonts w:eastAsia="Times New Roman"/>
                <w:color w:val="000000"/>
                <w:lang w:val="en-US"/>
              </w:rPr>
            </w:pPr>
            <w:r w:rsidRPr="000B1730">
              <w:rPr>
                <w:rFonts w:eastAsia="Times New Roman"/>
                <w:color w:val="000000"/>
                <w:lang w:val="en-US"/>
              </w:rPr>
              <w:t>1</w:t>
            </w:r>
          </w:p>
        </w:tc>
        <w:tc>
          <w:tcPr>
            <w:tcW w:w="1559" w:type="dxa"/>
          </w:tcPr>
          <w:p w14:paraId="077625C3" w14:textId="77777777" w:rsidR="003D3D4C" w:rsidRPr="000B1730" w:rsidRDefault="003D3D4C" w:rsidP="00DF2591">
            <w:pPr>
              <w:widowControl w:val="0"/>
              <w:spacing w:after="0" w:line="240" w:lineRule="auto"/>
              <w:ind w:left="142" w:right="-45"/>
              <w:jc w:val="center"/>
              <w:rPr>
                <w:rFonts w:eastAsia="Times New Roman"/>
                <w:color w:val="000000"/>
                <w:lang w:val="en-US"/>
              </w:rPr>
            </w:pPr>
            <w:r w:rsidRPr="000B1730">
              <w:rPr>
                <w:rFonts w:eastAsia="Times New Roman"/>
                <w:color w:val="000000"/>
                <w:lang w:val="en-US"/>
              </w:rPr>
              <w:t>1</w:t>
            </w:r>
          </w:p>
        </w:tc>
        <w:tc>
          <w:tcPr>
            <w:tcW w:w="1560" w:type="dxa"/>
          </w:tcPr>
          <w:p w14:paraId="5A936748" w14:textId="77777777" w:rsidR="003D3D4C" w:rsidRPr="000B1730" w:rsidRDefault="003D3D4C" w:rsidP="00DF2591">
            <w:pPr>
              <w:widowControl w:val="0"/>
              <w:spacing w:after="0" w:line="240" w:lineRule="auto"/>
              <w:ind w:left="179" w:right="-45"/>
              <w:jc w:val="center"/>
              <w:rPr>
                <w:rFonts w:eastAsia="Times New Roman"/>
                <w:color w:val="000000"/>
                <w:lang w:val="en-US"/>
              </w:rPr>
            </w:pPr>
            <w:r w:rsidRPr="000B1730">
              <w:rPr>
                <w:rFonts w:eastAsia="Times New Roman"/>
                <w:color w:val="000000"/>
                <w:lang w:val="en-US"/>
              </w:rPr>
              <w:t>1</w:t>
            </w:r>
          </w:p>
        </w:tc>
      </w:tr>
      <w:tr w:rsidR="003D3D4C" w:rsidRPr="00C363BB" w14:paraId="6277AAD2" w14:textId="77777777" w:rsidTr="00DF2591">
        <w:tc>
          <w:tcPr>
            <w:tcW w:w="2972" w:type="dxa"/>
            <w:vAlign w:val="center"/>
          </w:tcPr>
          <w:p w14:paraId="3E71A1EE" w14:textId="77777777" w:rsidR="003D3D4C" w:rsidRPr="000B1730" w:rsidRDefault="003D3D4C" w:rsidP="00DF2591">
            <w:pPr>
              <w:widowControl w:val="0"/>
              <w:spacing w:after="0" w:line="240" w:lineRule="auto"/>
              <w:ind w:left="238" w:right="-45"/>
              <w:rPr>
                <w:rFonts w:eastAsia="Times New Roman"/>
                <w:color w:val="000000"/>
                <w:lang w:val="en-US"/>
              </w:rPr>
            </w:pPr>
            <w:r w:rsidRPr="00C363BB">
              <w:rPr>
                <w:rFonts w:eastAsia="Times New Roman"/>
                <w:color w:val="000000"/>
                <w:lang w:val="en-US"/>
              </w:rPr>
              <w:t xml:space="preserve">AST </w:t>
            </w:r>
            <w:r w:rsidRPr="000B1730">
              <w:rPr>
                <w:rFonts w:eastAsia="Times New Roman"/>
                <w:color w:val="000000"/>
                <w:lang w:val="en-US"/>
              </w:rPr>
              <w:t>6</w:t>
            </w:r>
          </w:p>
        </w:tc>
        <w:tc>
          <w:tcPr>
            <w:tcW w:w="1418" w:type="dxa"/>
          </w:tcPr>
          <w:p w14:paraId="285E0127" w14:textId="77777777" w:rsidR="003D3D4C" w:rsidRPr="000B1730" w:rsidRDefault="003D3D4C" w:rsidP="00DF2591">
            <w:pPr>
              <w:widowControl w:val="0"/>
              <w:spacing w:after="0" w:line="240" w:lineRule="auto"/>
              <w:ind w:left="172" w:right="-45"/>
              <w:jc w:val="center"/>
              <w:rPr>
                <w:rFonts w:eastAsia="Times New Roman"/>
                <w:color w:val="000000"/>
                <w:lang w:val="en-US"/>
              </w:rPr>
            </w:pPr>
            <w:r w:rsidRPr="000B1730">
              <w:rPr>
                <w:rFonts w:eastAsia="Times New Roman"/>
                <w:color w:val="000000"/>
                <w:lang w:val="en-US"/>
              </w:rPr>
              <w:t>1</w:t>
            </w:r>
          </w:p>
        </w:tc>
        <w:tc>
          <w:tcPr>
            <w:tcW w:w="1417" w:type="dxa"/>
          </w:tcPr>
          <w:p w14:paraId="395EF8E7" w14:textId="77777777" w:rsidR="003D3D4C" w:rsidRPr="000B1730" w:rsidRDefault="003D3D4C" w:rsidP="00DF2591">
            <w:pPr>
              <w:widowControl w:val="0"/>
              <w:spacing w:after="0" w:line="240" w:lineRule="auto"/>
              <w:ind w:left="94" w:right="-45"/>
              <w:jc w:val="center"/>
              <w:rPr>
                <w:rFonts w:eastAsia="Times New Roman"/>
                <w:color w:val="000000"/>
                <w:lang w:val="en-US"/>
              </w:rPr>
            </w:pPr>
            <w:r w:rsidRPr="000B1730">
              <w:rPr>
                <w:rFonts w:eastAsia="Times New Roman"/>
                <w:color w:val="000000"/>
                <w:lang w:val="en-US"/>
              </w:rPr>
              <w:t>1</w:t>
            </w:r>
          </w:p>
        </w:tc>
        <w:tc>
          <w:tcPr>
            <w:tcW w:w="1559" w:type="dxa"/>
          </w:tcPr>
          <w:p w14:paraId="0B7F978E" w14:textId="77777777" w:rsidR="003D3D4C" w:rsidRPr="000B1730" w:rsidRDefault="003D3D4C" w:rsidP="00DF2591">
            <w:pPr>
              <w:widowControl w:val="0"/>
              <w:spacing w:after="0" w:line="240" w:lineRule="auto"/>
              <w:ind w:left="142" w:right="-45"/>
              <w:jc w:val="center"/>
              <w:rPr>
                <w:rFonts w:eastAsia="Times New Roman"/>
                <w:color w:val="000000"/>
                <w:lang w:val="en-US"/>
              </w:rPr>
            </w:pPr>
            <w:r w:rsidRPr="000B1730">
              <w:rPr>
                <w:rFonts w:eastAsia="Times New Roman"/>
                <w:color w:val="000000"/>
                <w:lang w:val="en-US"/>
              </w:rPr>
              <w:t>1</w:t>
            </w:r>
          </w:p>
        </w:tc>
        <w:tc>
          <w:tcPr>
            <w:tcW w:w="1560" w:type="dxa"/>
          </w:tcPr>
          <w:p w14:paraId="38E5C9B3" w14:textId="77777777" w:rsidR="003D3D4C" w:rsidRPr="000B1730" w:rsidRDefault="003D3D4C" w:rsidP="00DF2591">
            <w:pPr>
              <w:widowControl w:val="0"/>
              <w:spacing w:after="0" w:line="240" w:lineRule="auto"/>
              <w:ind w:left="179" w:right="-45"/>
              <w:jc w:val="center"/>
              <w:rPr>
                <w:rFonts w:eastAsia="Times New Roman"/>
                <w:color w:val="000000"/>
                <w:lang w:val="en-US"/>
              </w:rPr>
            </w:pPr>
          </w:p>
        </w:tc>
      </w:tr>
      <w:tr w:rsidR="003D3D4C" w:rsidRPr="00C363BB" w14:paraId="28BF3868" w14:textId="77777777" w:rsidTr="00DF2591">
        <w:tc>
          <w:tcPr>
            <w:tcW w:w="2972" w:type="dxa"/>
            <w:vAlign w:val="center"/>
          </w:tcPr>
          <w:p w14:paraId="23E12F7B" w14:textId="77777777" w:rsidR="003D3D4C" w:rsidRPr="000B1730" w:rsidRDefault="003D3D4C" w:rsidP="00DF2591">
            <w:pPr>
              <w:widowControl w:val="0"/>
              <w:spacing w:after="0" w:line="240" w:lineRule="auto"/>
              <w:ind w:left="238" w:right="-45"/>
              <w:rPr>
                <w:rFonts w:eastAsia="Times New Roman"/>
                <w:color w:val="000000"/>
                <w:lang w:val="en-US"/>
              </w:rPr>
            </w:pPr>
            <w:r w:rsidRPr="00C363BB">
              <w:rPr>
                <w:rFonts w:eastAsia="Times New Roman"/>
                <w:color w:val="000000"/>
                <w:lang w:val="en-US"/>
              </w:rPr>
              <w:t xml:space="preserve">AST </w:t>
            </w:r>
            <w:r w:rsidRPr="000B1730">
              <w:rPr>
                <w:rFonts w:eastAsia="Times New Roman"/>
                <w:color w:val="000000"/>
                <w:lang w:val="en-US"/>
              </w:rPr>
              <w:t>5</w:t>
            </w:r>
          </w:p>
        </w:tc>
        <w:tc>
          <w:tcPr>
            <w:tcW w:w="1418" w:type="dxa"/>
          </w:tcPr>
          <w:p w14:paraId="10E73876" w14:textId="77777777" w:rsidR="003D3D4C" w:rsidRPr="000B1730" w:rsidRDefault="003D3D4C" w:rsidP="00DF2591">
            <w:pPr>
              <w:widowControl w:val="0"/>
              <w:spacing w:after="0" w:line="240" w:lineRule="auto"/>
              <w:ind w:left="172" w:right="-45"/>
              <w:jc w:val="center"/>
              <w:rPr>
                <w:rFonts w:eastAsia="Times New Roman"/>
                <w:color w:val="000000"/>
                <w:lang w:val="en-US"/>
              </w:rPr>
            </w:pPr>
            <w:r w:rsidRPr="000B1730">
              <w:rPr>
                <w:rFonts w:eastAsia="Times New Roman"/>
                <w:color w:val="000000"/>
                <w:lang w:val="en-US"/>
              </w:rPr>
              <w:t>1</w:t>
            </w:r>
          </w:p>
        </w:tc>
        <w:tc>
          <w:tcPr>
            <w:tcW w:w="1417" w:type="dxa"/>
          </w:tcPr>
          <w:p w14:paraId="116DB1E1" w14:textId="77777777" w:rsidR="003D3D4C" w:rsidRPr="000B1730" w:rsidRDefault="003D3D4C" w:rsidP="00DF2591">
            <w:pPr>
              <w:widowControl w:val="0"/>
              <w:spacing w:after="0" w:line="240" w:lineRule="auto"/>
              <w:ind w:left="94" w:right="-45"/>
              <w:jc w:val="center"/>
              <w:rPr>
                <w:rFonts w:eastAsia="Times New Roman"/>
                <w:color w:val="000000"/>
                <w:lang w:val="en-US"/>
              </w:rPr>
            </w:pPr>
            <w:r w:rsidRPr="000B1730">
              <w:rPr>
                <w:rFonts w:eastAsia="Times New Roman"/>
                <w:color w:val="000000"/>
                <w:lang w:val="en-US"/>
              </w:rPr>
              <w:t>1</w:t>
            </w:r>
          </w:p>
        </w:tc>
        <w:tc>
          <w:tcPr>
            <w:tcW w:w="1559" w:type="dxa"/>
          </w:tcPr>
          <w:p w14:paraId="384DC241" w14:textId="77777777" w:rsidR="003D3D4C" w:rsidRPr="000B1730" w:rsidRDefault="003D3D4C" w:rsidP="00DF2591">
            <w:pPr>
              <w:widowControl w:val="0"/>
              <w:spacing w:after="0" w:line="240" w:lineRule="auto"/>
              <w:ind w:left="142" w:right="-45"/>
              <w:jc w:val="center"/>
              <w:rPr>
                <w:rFonts w:eastAsia="Times New Roman"/>
                <w:color w:val="000000"/>
                <w:lang w:val="en-US"/>
              </w:rPr>
            </w:pPr>
            <w:r w:rsidRPr="000B1730">
              <w:rPr>
                <w:rFonts w:eastAsia="Times New Roman"/>
                <w:color w:val="000000"/>
                <w:lang w:val="en-US"/>
              </w:rPr>
              <w:t>2</w:t>
            </w:r>
          </w:p>
        </w:tc>
        <w:tc>
          <w:tcPr>
            <w:tcW w:w="1560" w:type="dxa"/>
          </w:tcPr>
          <w:p w14:paraId="1A221653" w14:textId="77777777" w:rsidR="003D3D4C" w:rsidRPr="000B1730" w:rsidRDefault="003D3D4C" w:rsidP="00DF2591">
            <w:pPr>
              <w:widowControl w:val="0"/>
              <w:spacing w:after="0" w:line="240" w:lineRule="auto"/>
              <w:ind w:left="179" w:right="-45"/>
              <w:jc w:val="center"/>
              <w:rPr>
                <w:rFonts w:eastAsia="Times New Roman"/>
                <w:color w:val="000000"/>
                <w:lang w:val="en-US"/>
              </w:rPr>
            </w:pPr>
            <w:r w:rsidRPr="000B1730">
              <w:rPr>
                <w:rFonts w:eastAsia="Times New Roman"/>
                <w:color w:val="000000"/>
                <w:lang w:val="en-US"/>
              </w:rPr>
              <w:t>1</w:t>
            </w:r>
          </w:p>
        </w:tc>
      </w:tr>
      <w:tr w:rsidR="003D3D4C" w:rsidRPr="00C363BB" w14:paraId="5F194FEC" w14:textId="77777777" w:rsidTr="00DF2591">
        <w:tc>
          <w:tcPr>
            <w:tcW w:w="2972" w:type="dxa"/>
            <w:vAlign w:val="center"/>
          </w:tcPr>
          <w:p w14:paraId="4AE3C7D8" w14:textId="77777777" w:rsidR="003D3D4C" w:rsidRPr="000B1730" w:rsidRDefault="003D3D4C" w:rsidP="00DF2591">
            <w:pPr>
              <w:widowControl w:val="0"/>
              <w:spacing w:after="0" w:line="240" w:lineRule="auto"/>
              <w:ind w:left="238" w:right="-45"/>
              <w:rPr>
                <w:rFonts w:eastAsia="Times New Roman"/>
                <w:color w:val="000000"/>
                <w:lang w:val="en-US"/>
              </w:rPr>
            </w:pPr>
            <w:r w:rsidRPr="00C363BB">
              <w:rPr>
                <w:rFonts w:eastAsia="Times New Roman"/>
                <w:color w:val="000000"/>
                <w:lang w:val="en-US"/>
              </w:rPr>
              <w:t xml:space="preserve">AST </w:t>
            </w:r>
            <w:r w:rsidRPr="000B1730">
              <w:rPr>
                <w:rFonts w:eastAsia="Times New Roman"/>
                <w:color w:val="000000"/>
                <w:lang w:val="en-US"/>
              </w:rPr>
              <w:t>4</w:t>
            </w:r>
          </w:p>
        </w:tc>
        <w:tc>
          <w:tcPr>
            <w:tcW w:w="1418" w:type="dxa"/>
          </w:tcPr>
          <w:p w14:paraId="1F76900C" w14:textId="77777777" w:rsidR="003D3D4C" w:rsidRPr="000B1730" w:rsidRDefault="003D3D4C" w:rsidP="00DF2591">
            <w:pPr>
              <w:widowControl w:val="0"/>
              <w:spacing w:after="0" w:line="240" w:lineRule="auto"/>
              <w:ind w:left="172" w:right="-45"/>
              <w:jc w:val="center"/>
              <w:rPr>
                <w:rFonts w:eastAsia="Times New Roman"/>
                <w:color w:val="000000"/>
                <w:lang w:val="en-US"/>
              </w:rPr>
            </w:pPr>
            <w:r w:rsidRPr="000B1730">
              <w:rPr>
                <w:rFonts w:eastAsia="Times New Roman"/>
                <w:color w:val="000000"/>
                <w:lang w:val="en-US"/>
              </w:rPr>
              <w:t>4</w:t>
            </w:r>
          </w:p>
        </w:tc>
        <w:tc>
          <w:tcPr>
            <w:tcW w:w="1417" w:type="dxa"/>
          </w:tcPr>
          <w:p w14:paraId="2280E963" w14:textId="77777777" w:rsidR="003D3D4C" w:rsidRPr="000B1730" w:rsidRDefault="003D3D4C" w:rsidP="00DF2591">
            <w:pPr>
              <w:widowControl w:val="0"/>
              <w:spacing w:after="0" w:line="240" w:lineRule="auto"/>
              <w:ind w:left="94" w:right="-45"/>
              <w:jc w:val="center"/>
              <w:rPr>
                <w:rFonts w:eastAsia="Times New Roman"/>
                <w:color w:val="000000"/>
                <w:lang w:val="en-US"/>
              </w:rPr>
            </w:pPr>
            <w:r w:rsidRPr="000B1730">
              <w:rPr>
                <w:rFonts w:eastAsia="Times New Roman"/>
                <w:color w:val="000000"/>
                <w:lang w:val="en-US"/>
              </w:rPr>
              <w:t>4</w:t>
            </w:r>
          </w:p>
        </w:tc>
        <w:tc>
          <w:tcPr>
            <w:tcW w:w="1559" w:type="dxa"/>
          </w:tcPr>
          <w:p w14:paraId="46864A50" w14:textId="77777777" w:rsidR="003D3D4C" w:rsidRPr="000B1730" w:rsidRDefault="003D3D4C" w:rsidP="00DF2591">
            <w:pPr>
              <w:widowControl w:val="0"/>
              <w:spacing w:after="0" w:line="240" w:lineRule="auto"/>
              <w:ind w:left="142" w:right="-45"/>
              <w:jc w:val="center"/>
              <w:rPr>
                <w:rFonts w:eastAsia="Times New Roman"/>
                <w:color w:val="000000"/>
                <w:lang w:val="en-US"/>
              </w:rPr>
            </w:pPr>
            <w:r w:rsidRPr="000B1730">
              <w:rPr>
                <w:rFonts w:eastAsia="Times New Roman"/>
                <w:color w:val="000000"/>
                <w:lang w:val="en-US"/>
              </w:rPr>
              <w:t>3</w:t>
            </w:r>
          </w:p>
        </w:tc>
        <w:tc>
          <w:tcPr>
            <w:tcW w:w="1560" w:type="dxa"/>
          </w:tcPr>
          <w:p w14:paraId="28DDC69D" w14:textId="77777777" w:rsidR="003D3D4C" w:rsidRPr="000B1730" w:rsidRDefault="003D3D4C" w:rsidP="00DF2591">
            <w:pPr>
              <w:widowControl w:val="0"/>
              <w:spacing w:after="0" w:line="240" w:lineRule="auto"/>
              <w:ind w:left="179" w:right="-45"/>
              <w:jc w:val="center"/>
              <w:rPr>
                <w:rFonts w:eastAsia="Times New Roman"/>
                <w:color w:val="000000"/>
                <w:lang w:val="en-US"/>
              </w:rPr>
            </w:pPr>
            <w:r w:rsidRPr="000B1730">
              <w:rPr>
                <w:rFonts w:eastAsia="Times New Roman"/>
                <w:color w:val="000000"/>
                <w:lang w:val="en-US"/>
              </w:rPr>
              <w:t>5</w:t>
            </w:r>
          </w:p>
        </w:tc>
      </w:tr>
      <w:tr w:rsidR="003D3D4C" w:rsidRPr="00C363BB" w14:paraId="17711211" w14:textId="77777777" w:rsidTr="00DF2591">
        <w:trPr>
          <w:trHeight w:val="284"/>
        </w:trPr>
        <w:tc>
          <w:tcPr>
            <w:tcW w:w="2972" w:type="dxa"/>
            <w:tcBorders>
              <w:bottom w:val="single" w:sz="4" w:space="0" w:color="auto"/>
            </w:tcBorders>
            <w:shd w:val="clear" w:color="auto" w:fill="DBE5F1" w:themeFill="accent1" w:themeFillTint="33"/>
            <w:vAlign w:val="center"/>
          </w:tcPr>
          <w:p w14:paraId="691BF73C" w14:textId="77777777" w:rsidR="003D3D4C" w:rsidRPr="00F24205" w:rsidRDefault="003D3D4C" w:rsidP="00DF2591">
            <w:pPr>
              <w:widowControl w:val="0"/>
              <w:spacing w:after="0" w:line="240" w:lineRule="auto"/>
              <w:ind w:left="238" w:right="-45"/>
              <w:rPr>
                <w:rFonts w:eastAsia="Times New Roman"/>
                <w:b/>
                <w:bCs/>
                <w:color w:val="000000"/>
                <w:lang w:val="en-US"/>
              </w:rPr>
            </w:pPr>
            <w:r w:rsidRPr="00F24205">
              <w:rPr>
                <w:rFonts w:eastAsia="Times New Roman"/>
                <w:b/>
                <w:bCs/>
                <w:color w:val="000000"/>
                <w:lang w:val="en-US"/>
              </w:rPr>
              <w:t>Total AST</w:t>
            </w:r>
          </w:p>
        </w:tc>
        <w:tc>
          <w:tcPr>
            <w:tcW w:w="1418" w:type="dxa"/>
            <w:tcBorders>
              <w:bottom w:val="single" w:sz="4" w:space="0" w:color="auto"/>
            </w:tcBorders>
            <w:shd w:val="clear" w:color="auto" w:fill="DBE5F1" w:themeFill="accent1" w:themeFillTint="33"/>
          </w:tcPr>
          <w:p w14:paraId="70E8A537" w14:textId="77777777" w:rsidR="003D3D4C" w:rsidRPr="00F24205" w:rsidRDefault="003D3D4C" w:rsidP="00DF2591">
            <w:pPr>
              <w:widowControl w:val="0"/>
              <w:spacing w:after="0" w:line="240" w:lineRule="auto"/>
              <w:ind w:left="172" w:right="-45"/>
              <w:jc w:val="center"/>
              <w:rPr>
                <w:rFonts w:eastAsia="Times New Roman"/>
                <w:b/>
                <w:bCs/>
                <w:color w:val="000000"/>
                <w:lang w:val="en-US"/>
              </w:rPr>
            </w:pPr>
            <w:r w:rsidRPr="00F24205">
              <w:rPr>
                <w:rFonts w:eastAsia="Times New Roman"/>
                <w:b/>
                <w:bCs/>
                <w:color w:val="000000"/>
                <w:lang w:val="en-US"/>
              </w:rPr>
              <w:t>9</w:t>
            </w:r>
          </w:p>
        </w:tc>
        <w:tc>
          <w:tcPr>
            <w:tcW w:w="1417" w:type="dxa"/>
            <w:tcBorders>
              <w:bottom w:val="single" w:sz="4" w:space="0" w:color="auto"/>
            </w:tcBorders>
            <w:shd w:val="clear" w:color="auto" w:fill="DBE5F1" w:themeFill="accent1" w:themeFillTint="33"/>
          </w:tcPr>
          <w:p w14:paraId="281728D1" w14:textId="77777777" w:rsidR="003D3D4C" w:rsidRPr="00F24205" w:rsidRDefault="003D3D4C" w:rsidP="00DF2591">
            <w:pPr>
              <w:widowControl w:val="0"/>
              <w:spacing w:after="0" w:line="240" w:lineRule="auto"/>
              <w:ind w:left="94" w:right="-45"/>
              <w:jc w:val="center"/>
              <w:rPr>
                <w:rFonts w:eastAsia="Times New Roman"/>
                <w:b/>
                <w:bCs/>
                <w:color w:val="000000"/>
                <w:lang w:val="en-US"/>
              </w:rPr>
            </w:pPr>
            <w:r w:rsidRPr="00F24205">
              <w:rPr>
                <w:rFonts w:eastAsia="Times New Roman"/>
                <w:b/>
                <w:bCs/>
                <w:color w:val="000000"/>
                <w:lang w:val="en-US"/>
              </w:rPr>
              <w:t>9</w:t>
            </w:r>
          </w:p>
        </w:tc>
        <w:tc>
          <w:tcPr>
            <w:tcW w:w="1559" w:type="dxa"/>
            <w:tcBorders>
              <w:bottom w:val="single" w:sz="4" w:space="0" w:color="auto"/>
            </w:tcBorders>
            <w:shd w:val="clear" w:color="auto" w:fill="DBE5F1" w:themeFill="accent1" w:themeFillTint="33"/>
          </w:tcPr>
          <w:p w14:paraId="1B859AE4" w14:textId="77777777" w:rsidR="003D3D4C" w:rsidRPr="00F24205" w:rsidRDefault="003D3D4C" w:rsidP="00DF2591">
            <w:pPr>
              <w:widowControl w:val="0"/>
              <w:spacing w:after="0" w:line="240" w:lineRule="auto"/>
              <w:ind w:left="142" w:right="-45"/>
              <w:jc w:val="center"/>
              <w:rPr>
                <w:rFonts w:eastAsia="Times New Roman"/>
                <w:b/>
                <w:bCs/>
                <w:color w:val="000000"/>
                <w:lang w:val="en-US"/>
              </w:rPr>
            </w:pPr>
            <w:r w:rsidRPr="00F24205">
              <w:rPr>
                <w:rFonts w:eastAsia="Times New Roman"/>
                <w:b/>
                <w:bCs/>
                <w:color w:val="000000"/>
                <w:lang w:val="en-US"/>
              </w:rPr>
              <w:t>9</w:t>
            </w:r>
          </w:p>
        </w:tc>
        <w:tc>
          <w:tcPr>
            <w:tcW w:w="1560" w:type="dxa"/>
            <w:tcBorders>
              <w:bottom w:val="single" w:sz="4" w:space="0" w:color="auto"/>
            </w:tcBorders>
            <w:shd w:val="clear" w:color="auto" w:fill="DBE5F1" w:themeFill="accent1" w:themeFillTint="33"/>
          </w:tcPr>
          <w:p w14:paraId="6F93E2CF" w14:textId="77777777" w:rsidR="003D3D4C" w:rsidRPr="00F24205" w:rsidRDefault="003D3D4C" w:rsidP="00DF2591">
            <w:pPr>
              <w:widowControl w:val="0"/>
              <w:spacing w:after="0" w:line="240" w:lineRule="auto"/>
              <w:ind w:left="179" w:right="-45"/>
              <w:jc w:val="center"/>
              <w:rPr>
                <w:rFonts w:eastAsia="Times New Roman"/>
                <w:b/>
                <w:bCs/>
                <w:color w:val="000000"/>
                <w:lang w:val="en-US"/>
              </w:rPr>
            </w:pPr>
            <w:r w:rsidRPr="00F24205">
              <w:rPr>
                <w:rFonts w:eastAsia="Times New Roman"/>
                <w:b/>
                <w:bCs/>
                <w:color w:val="000000"/>
                <w:lang w:val="en-US"/>
              </w:rPr>
              <w:t>9</w:t>
            </w:r>
          </w:p>
        </w:tc>
      </w:tr>
      <w:tr w:rsidR="003D3D4C" w:rsidRPr="00C363BB" w14:paraId="77DE70CA" w14:textId="77777777" w:rsidTr="00DF2591">
        <w:trPr>
          <w:trHeight w:val="384"/>
        </w:trPr>
        <w:tc>
          <w:tcPr>
            <w:tcW w:w="2972" w:type="dxa"/>
            <w:vAlign w:val="center"/>
          </w:tcPr>
          <w:p w14:paraId="67CEDB2F" w14:textId="77777777" w:rsidR="003D3D4C" w:rsidRPr="000B1730" w:rsidRDefault="003D3D4C" w:rsidP="00DF2591">
            <w:pPr>
              <w:widowControl w:val="0"/>
              <w:spacing w:after="0" w:line="240" w:lineRule="auto"/>
              <w:ind w:left="238" w:right="-45"/>
              <w:rPr>
                <w:rFonts w:eastAsia="Times New Roman"/>
                <w:color w:val="000000"/>
                <w:lang w:val="en-US"/>
              </w:rPr>
            </w:pPr>
            <w:r w:rsidRPr="000B1730">
              <w:rPr>
                <w:rFonts w:eastAsia="Times New Roman"/>
                <w:color w:val="000000"/>
                <w:lang w:val="en-US"/>
              </w:rPr>
              <w:t>Function Group IV</w:t>
            </w:r>
          </w:p>
        </w:tc>
        <w:tc>
          <w:tcPr>
            <w:tcW w:w="1418" w:type="dxa"/>
          </w:tcPr>
          <w:p w14:paraId="05BB7F15" w14:textId="77777777" w:rsidR="003D3D4C" w:rsidRPr="000B1730" w:rsidRDefault="003D3D4C" w:rsidP="00DF2591">
            <w:pPr>
              <w:widowControl w:val="0"/>
              <w:suppressAutoHyphens/>
              <w:spacing w:after="0" w:line="240" w:lineRule="auto"/>
              <w:ind w:left="172" w:right="-45"/>
              <w:jc w:val="center"/>
              <w:rPr>
                <w:rFonts w:eastAsia="Times New Roman"/>
                <w:color w:val="000000"/>
                <w:lang w:val="en-US"/>
              </w:rPr>
            </w:pPr>
            <w:r w:rsidRPr="000B1730">
              <w:rPr>
                <w:rFonts w:eastAsia="Times New Roman"/>
                <w:color w:val="000000"/>
                <w:lang w:val="en-US"/>
              </w:rPr>
              <w:t>1</w:t>
            </w:r>
          </w:p>
        </w:tc>
        <w:tc>
          <w:tcPr>
            <w:tcW w:w="1417" w:type="dxa"/>
          </w:tcPr>
          <w:p w14:paraId="0506F66A" w14:textId="77777777" w:rsidR="003D3D4C" w:rsidRPr="000B1730" w:rsidRDefault="003D3D4C" w:rsidP="00DF2591">
            <w:pPr>
              <w:widowControl w:val="0"/>
              <w:suppressAutoHyphens/>
              <w:spacing w:after="0" w:line="240" w:lineRule="auto"/>
              <w:ind w:left="94" w:right="-45"/>
              <w:jc w:val="center"/>
              <w:rPr>
                <w:rFonts w:eastAsia="Times New Roman"/>
                <w:color w:val="000000"/>
                <w:lang w:val="en-US"/>
              </w:rPr>
            </w:pPr>
            <w:r w:rsidRPr="000B1730">
              <w:rPr>
                <w:rFonts w:eastAsia="Times New Roman"/>
                <w:color w:val="000000"/>
                <w:lang w:val="en-US"/>
              </w:rPr>
              <w:t>1</w:t>
            </w:r>
          </w:p>
        </w:tc>
        <w:tc>
          <w:tcPr>
            <w:tcW w:w="1559" w:type="dxa"/>
          </w:tcPr>
          <w:p w14:paraId="7727F34E" w14:textId="77777777" w:rsidR="003D3D4C" w:rsidRPr="000B1730" w:rsidRDefault="003D3D4C" w:rsidP="00DF2591">
            <w:pPr>
              <w:widowControl w:val="0"/>
              <w:suppressAutoHyphens/>
              <w:spacing w:after="0" w:line="240" w:lineRule="auto"/>
              <w:ind w:left="142" w:right="-45"/>
              <w:jc w:val="center"/>
              <w:rPr>
                <w:rFonts w:eastAsia="Times New Roman"/>
                <w:color w:val="000000"/>
                <w:lang w:val="en-US"/>
              </w:rPr>
            </w:pPr>
            <w:r w:rsidRPr="000B1730">
              <w:rPr>
                <w:rFonts w:eastAsia="Times New Roman"/>
                <w:color w:val="000000"/>
                <w:lang w:val="en-US"/>
              </w:rPr>
              <w:t>1</w:t>
            </w:r>
          </w:p>
        </w:tc>
        <w:tc>
          <w:tcPr>
            <w:tcW w:w="1560" w:type="dxa"/>
          </w:tcPr>
          <w:p w14:paraId="52ADFD62" w14:textId="77777777" w:rsidR="003D3D4C" w:rsidRPr="000B1730" w:rsidRDefault="003D3D4C" w:rsidP="00DF2591">
            <w:pPr>
              <w:widowControl w:val="0"/>
              <w:suppressAutoHyphens/>
              <w:spacing w:after="0" w:line="240" w:lineRule="auto"/>
              <w:ind w:left="179" w:right="-45"/>
              <w:jc w:val="center"/>
              <w:rPr>
                <w:rFonts w:eastAsia="Times New Roman"/>
                <w:color w:val="000000"/>
                <w:lang w:val="en-US"/>
              </w:rPr>
            </w:pPr>
            <w:r w:rsidRPr="000B1730">
              <w:rPr>
                <w:rFonts w:eastAsia="Times New Roman"/>
                <w:color w:val="000000"/>
                <w:lang w:val="en-US"/>
              </w:rPr>
              <w:t>1</w:t>
            </w:r>
          </w:p>
        </w:tc>
      </w:tr>
      <w:tr w:rsidR="003D3D4C" w:rsidRPr="00C363BB" w14:paraId="0A7481E3" w14:textId="77777777" w:rsidTr="00DF2591">
        <w:trPr>
          <w:trHeight w:val="349"/>
        </w:trPr>
        <w:tc>
          <w:tcPr>
            <w:tcW w:w="2972" w:type="dxa"/>
            <w:vAlign w:val="center"/>
          </w:tcPr>
          <w:p w14:paraId="2B99ED92" w14:textId="77777777" w:rsidR="003D3D4C" w:rsidRPr="000B1730" w:rsidRDefault="003D3D4C" w:rsidP="00DF2591">
            <w:pPr>
              <w:widowControl w:val="0"/>
              <w:spacing w:after="0" w:line="240" w:lineRule="auto"/>
              <w:ind w:left="238" w:right="-45"/>
              <w:rPr>
                <w:rFonts w:eastAsia="Times New Roman"/>
                <w:color w:val="000000"/>
                <w:lang w:val="en-US"/>
              </w:rPr>
            </w:pPr>
            <w:r w:rsidRPr="000B1730">
              <w:rPr>
                <w:rFonts w:eastAsia="Times New Roman"/>
                <w:color w:val="000000"/>
                <w:lang w:val="en-US"/>
              </w:rPr>
              <w:t>Function Group III</w:t>
            </w:r>
          </w:p>
        </w:tc>
        <w:tc>
          <w:tcPr>
            <w:tcW w:w="1418" w:type="dxa"/>
          </w:tcPr>
          <w:p w14:paraId="4B3BBB00" w14:textId="77777777" w:rsidR="003D3D4C" w:rsidRPr="000B1730" w:rsidRDefault="003D3D4C" w:rsidP="00DF2591">
            <w:pPr>
              <w:widowControl w:val="0"/>
              <w:suppressAutoHyphens/>
              <w:spacing w:after="0" w:line="240" w:lineRule="auto"/>
              <w:ind w:left="172" w:right="-45"/>
              <w:jc w:val="center"/>
              <w:rPr>
                <w:rFonts w:eastAsia="Times New Roman"/>
                <w:color w:val="000000"/>
                <w:lang w:val="en-US"/>
              </w:rPr>
            </w:pPr>
            <w:r w:rsidRPr="000B1730">
              <w:rPr>
                <w:rFonts w:eastAsia="Times New Roman"/>
                <w:color w:val="000000"/>
                <w:lang w:val="en-US"/>
              </w:rPr>
              <w:t>1</w:t>
            </w:r>
          </w:p>
        </w:tc>
        <w:tc>
          <w:tcPr>
            <w:tcW w:w="1417" w:type="dxa"/>
          </w:tcPr>
          <w:p w14:paraId="4D81DB59" w14:textId="77777777" w:rsidR="003D3D4C" w:rsidRPr="000B1730" w:rsidRDefault="003D3D4C" w:rsidP="00DF2591">
            <w:pPr>
              <w:widowControl w:val="0"/>
              <w:suppressAutoHyphens/>
              <w:spacing w:after="0" w:line="240" w:lineRule="auto"/>
              <w:ind w:left="94" w:right="-45"/>
              <w:jc w:val="center"/>
              <w:rPr>
                <w:rFonts w:eastAsia="Times New Roman"/>
                <w:color w:val="000000"/>
                <w:lang w:val="en-US"/>
              </w:rPr>
            </w:pPr>
            <w:r w:rsidRPr="000B1730">
              <w:rPr>
                <w:rFonts w:eastAsia="Times New Roman"/>
                <w:color w:val="000000"/>
                <w:lang w:val="en-US"/>
              </w:rPr>
              <w:t>1</w:t>
            </w:r>
          </w:p>
        </w:tc>
        <w:tc>
          <w:tcPr>
            <w:tcW w:w="1559" w:type="dxa"/>
          </w:tcPr>
          <w:p w14:paraId="09C8B1D6" w14:textId="77777777" w:rsidR="003D3D4C" w:rsidRPr="000B1730" w:rsidRDefault="003D3D4C" w:rsidP="00DF2591">
            <w:pPr>
              <w:widowControl w:val="0"/>
              <w:suppressAutoHyphens/>
              <w:spacing w:after="0" w:line="240" w:lineRule="auto"/>
              <w:ind w:left="142" w:right="-45"/>
              <w:jc w:val="center"/>
              <w:rPr>
                <w:rFonts w:eastAsia="Times New Roman"/>
                <w:color w:val="000000"/>
                <w:lang w:val="en-US"/>
              </w:rPr>
            </w:pPr>
            <w:r w:rsidRPr="000B1730">
              <w:rPr>
                <w:rFonts w:eastAsia="Times New Roman"/>
                <w:color w:val="000000"/>
                <w:lang w:val="en-US"/>
              </w:rPr>
              <w:t>1</w:t>
            </w:r>
          </w:p>
        </w:tc>
        <w:tc>
          <w:tcPr>
            <w:tcW w:w="1560" w:type="dxa"/>
          </w:tcPr>
          <w:p w14:paraId="735B23AC" w14:textId="77777777" w:rsidR="003D3D4C" w:rsidRPr="000B1730" w:rsidRDefault="003D3D4C" w:rsidP="00DF2591">
            <w:pPr>
              <w:widowControl w:val="0"/>
              <w:suppressAutoHyphens/>
              <w:spacing w:after="0" w:line="240" w:lineRule="auto"/>
              <w:ind w:left="179" w:right="-45"/>
              <w:jc w:val="center"/>
              <w:rPr>
                <w:rFonts w:eastAsia="Times New Roman"/>
                <w:color w:val="000000"/>
                <w:lang w:val="en-US"/>
              </w:rPr>
            </w:pPr>
            <w:r w:rsidRPr="000B1730">
              <w:rPr>
                <w:rFonts w:eastAsia="Times New Roman"/>
                <w:color w:val="000000"/>
                <w:lang w:val="en-US"/>
              </w:rPr>
              <w:t>1</w:t>
            </w:r>
          </w:p>
        </w:tc>
      </w:tr>
      <w:tr w:rsidR="003D3D4C" w:rsidRPr="00C363BB" w14:paraId="18B299FE" w14:textId="77777777" w:rsidTr="00DF2591">
        <w:trPr>
          <w:trHeight w:val="257"/>
        </w:trPr>
        <w:tc>
          <w:tcPr>
            <w:tcW w:w="2972" w:type="dxa"/>
            <w:vAlign w:val="center"/>
          </w:tcPr>
          <w:p w14:paraId="32A79371" w14:textId="77777777" w:rsidR="003D3D4C" w:rsidRPr="000B1730" w:rsidRDefault="003D3D4C" w:rsidP="00DF2591">
            <w:pPr>
              <w:widowControl w:val="0"/>
              <w:spacing w:after="0" w:line="240" w:lineRule="auto"/>
              <w:ind w:left="238" w:right="-45"/>
              <w:rPr>
                <w:rFonts w:eastAsia="Times New Roman"/>
                <w:color w:val="000000"/>
                <w:lang w:val="en-US"/>
              </w:rPr>
            </w:pPr>
            <w:r w:rsidRPr="000B1730">
              <w:rPr>
                <w:rFonts w:eastAsia="Times New Roman"/>
                <w:color w:val="000000"/>
                <w:lang w:val="en-US"/>
              </w:rPr>
              <w:t>Function Group II</w:t>
            </w:r>
          </w:p>
        </w:tc>
        <w:tc>
          <w:tcPr>
            <w:tcW w:w="1418" w:type="dxa"/>
          </w:tcPr>
          <w:p w14:paraId="61D035CF" w14:textId="77777777" w:rsidR="003D3D4C" w:rsidRPr="000B1730" w:rsidRDefault="003D3D4C" w:rsidP="00DF2591">
            <w:pPr>
              <w:widowControl w:val="0"/>
              <w:suppressAutoHyphens/>
              <w:spacing w:after="0" w:line="240" w:lineRule="auto"/>
              <w:ind w:left="172" w:right="-45"/>
              <w:jc w:val="center"/>
              <w:rPr>
                <w:rFonts w:eastAsia="Times New Roman"/>
                <w:color w:val="000000"/>
                <w:lang w:val="en-US"/>
              </w:rPr>
            </w:pPr>
            <w:r w:rsidRPr="000B1730">
              <w:rPr>
                <w:rFonts w:eastAsia="Times New Roman"/>
                <w:color w:val="000000"/>
                <w:lang w:val="en-US"/>
              </w:rPr>
              <w:t>1</w:t>
            </w:r>
          </w:p>
        </w:tc>
        <w:tc>
          <w:tcPr>
            <w:tcW w:w="1417" w:type="dxa"/>
          </w:tcPr>
          <w:p w14:paraId="0BAD2549" w14:textId="77777777" w:rsidR="003D3D4C" w:rsidRPr="000B1730" w:rsidRDefault="003D3D4C" w:rsidP="00DF2591">
            <w:pPr>
              <w:widowControl w:val="0"/>
              <w:suppressAutoHyphens/>
              <w:spacing w:after="0" w:line="240" w:lineRule="auto"/>
              <w:ind w:left="94" w:right="-45"/>
              <w:jc w:val="center"/>
              <w:rPr>
                <w:rFonts w:eastAsia="Times New Roman"/>
                <w:color w:val="000000"/>
                <w:lang w:val="en-US"/>
              </w:rPr>
            </w:pPr>
            <w:r w:rsidRPr="000B1730">
              <w:rPr>
                <w:rFonts w:eastAsia="Times New Roman"/>
                <w:color w:val="000000"/>
                <w:lang w:val="en-US"/>
              </w:rPr>
              <w:t>1</w:t>
            </w:r>
          </w:p>
        </w:tc>
        <w:tc>
          <w:tcPr>
            <w:tcW w:w="1559" w:type="dxa"/>
          </w:tcPr>
          <w:p w14:paraId="0C7C2841" w14:textId="77777777" w:rsidR="003D3D4C" w:rsidRPr="000B1730" w:rsidRDefault="003D3D4C" w:rsidP="00DF2591">
            <w:pPr>
              <w:widowControl w:val="0"/>
              <w:suppressAutoHyphens/>
              <w:spacing w:after="0" w:line="240" w:lineRule="auto"/>
              <w:ind w:left="142" w:right="-45"/>
              <w:jc w:val="center"/>
              <w:rPr>
                <w:rFonts w:eastAsia="Times New Roman"/>
                <w:color w:val="000000"/>
                <w:lang w:val="en-US"/>
              </w:rPr>
            </w:pPr>
            <w:r w:rsidRPr="000B1730">
              <w:rPr>
                <w:rFonts w:eastAsia="Times New Roman"/>
                <w:color w:val="000000"/>
                <w:lang w:val="en-US"/>
              </w:rPr>
              <w:t>1</w:t>
            </w:r>
          </w:p>
        </w:tc>
        <w:tc>
          <w:tcPr>
            <w:tcW w:w="1560" w:type="dxa"/>
          </w:tcPr>
          <w:p w14:paraId="12210B13" w14:textId="77777777" w:rsidR="003D3D4C" w:rsidRPr="000B1730" w:rsidRDefault="003D3D4C" w:rsidP="00DF2591">
            <w:pPr>
              <w:widowControl w:val="0"/>
              <w:suppressAutoHyphens/>
              <w:spacing w:after="0" w:line="240" w:lineRule="auto"/>
              <w:ind w:left="179" w:right="-45"/>
              <w:jc w:val="center"/>
              <w:rPr>
                <w:rFonts w:eastAsia="Times New Roman"/>
                <w:color w:val="000000"/>
                <w:lang w:val="en-US"/>
              </w:rPr>
            </w:pPr>
          </w:p>
        </w:tc>
      </w:tr>
      <w:tr w:rsidR="003D3D4C" w:rsidRPr="00C363BB" w14:paraId="63559392" w14:textId="77777777" w:rsidTr="00DF2591">
        <w:tc>
          <w:tcPr>
            <w:tcW w:w="2972" w:type="dxa"/>
            <w:tcBorders>
              <w:bottom w:val="single" w:sz="4" w:space="0" w:color="auto"/>
            </w:tcBorders>
            <w:shd w:val="clear" w:color="auto" w:fill="DBE5F1" w:themeFill="accent1" w:themeFillTint="33"/>
            <w:vAlign w:val="center"/>
          </w:tcPr>
          <w:p w14:paraId="16CA60B2" w14:textId="77777777" w:rsidR="003D3D4C" w:rsidRPr="00F24205" w:rsidRDefault="003D3D4C" w:rsidP="00DF2591">
            <w:pPr>
              <w:widowControl w:val="0"/>
              <w:spacing w:after="0" w:line="240" w:lineRule="auto"/>
              <w:ind w:left="238" w:right="-45"/>
              <w:rPr>
                <w:rFonts w:eastAsia="Times New Roman"/>
                <w:b/>
                <w:bCs/>
                <w:color w:val="000000"/>
                <w:lang w:val="en-US"/>
              </w:rPr>
            </w:pPr>
            <w:r w:rsidRPr="00F24205">
              <w:rPr>
                <w:rFonts w:eastAsia="Times New Roman"/>
                <w:b/>
                <w:bCs/>
                <w:color w:val="000000"/>
                <w:lang w:val="en-US"/>
              </w:rPr>
              <w:t>Total</w:t>
            </w:r>
          </w:p>
          <w:p w14:paraId="6CEC41B6" w14:textId="77777777" w:rsidR="003D3D4C" w:rsidRPr="00F24205" w:rsidRDefault="003D3D4C" w:rsidP="00DF2591">
            <w:pPr>
              <w:widowControl w:val="0"/>
              <w:spacing w:after="0" w:line="240" w:lineRule="auto"/>
              <w:ind w:left="238" w:right="-45"/>
              <w:rPr>
                <w:rFonts w:eastAsia="Times New Roman"/>
                <w:b/>
                <w:bCs/>
                <w:color w:val="000000"/>
                <w:lang w:val="en-US"/>
              </w:rPr>
            </w:pPr>
            <w:r w:rsidRPr="00F24205">
              <w:rPr>
                <w:rFonts w:eastAsia="Times New Roman"/>
                <w:b/>
                <w:bCs/>
                <w:color w:val="000000"/>
                <w:lang w:val="en-US"/>
              </w:rPr>
              <w:t>contract agents</w:t>
            </w:r>
          </w:p>
        </w:tc>
        <w:tc>
          <w:tcPr>
            <w:tcW w:w="1418" w:type="dxa"/>
            <w:tcBorders>
              <w:bottom w:val="single" w:sz="4" w:space="0" w:color="auto"/>
            </w:tcBorders>
            <w:shd w:val="clear" w:color="auto" w:fill="DBE5F1" w:themeFill="accent1" w:themeFillTint="33"/>
          </w:tcPr>
          <w:p w14:paraId="3EA1D409" w14:textId="77777777" w:rsidR="003D3D4C" w:rsidRPr="00F24205" w:rsidRDefault="003D3D4C" w:rsidP="00DF2591">
            <w:pPr>
              <w:widowControl w:val="0"/>
              <w:spacing w:after="0" w:line="240" w:lineRule="auto"/>
              <w:ind w:left="172" w:right="-45"/>
              <w:jc w:val="center"/>
              <w:rPr>
                <w:rFonts w:eastAsia="Times New Roman"/>
                <w:b/>
                <w:bCs/>
                <w:color w:val="000000"/>
                <w:lang w:val="en-US"/>
              </w:rPr>
            </w:pPr>
            <w:r w:rsidRPr="00F24205">
              <w:rPr>
                <w:rFonts w:eastAsia="Times New Roman"/>
                <w:b/>
                <w:bCs/>
                <w:color w:val="000000"/>
                <w:lang w:val="en-US"/>
              </w:rPr>
              <w:t>3</w:t>
            </w:r>
          </w:p>
        </w:tc>
        <w:tc>
          <w:tcPr>
            <w:tcW w:w="1417" w:type="dxa"/>
            <w:tcBorders>
              <w:bottom w:val="single" w:sz="4" w:space="0" w:color="auto"/>
            </w:tcBorders>
            <w:shd w:val="clear" w:color="auto" w:fill="DBE5F1" w:themeFill="accent1" w:themeFillTint="33"/>
          </w:tcPr>
          <w:p w14:paraId="61502CEB" w14:textId="77777777" w:rsidR="003D3D4C" w:rsidRPr="00F24205" w:rsidRDefault="003D3D4C" w:rsidP="00DF2591">
            <w:pPr>
              <w:widowControl w:val="0"/>
              <w:spacing w:after="0" w:line="240" w:lineRule="auto"/>
              <w:ind w:left="94" w:right="-45"/>
              <w:jc w:val="center"/>
              <w:rPr>
                <w:rFonts w:eastAsia="Times New Roman"/>
                <w:b/>
                <w:bCs/>
                <w:color w:val="000000"/>
                <w:lang w:val="en-US"/>
              </w:rPr>
            </w:pPr>
            <w:r w:rsidRPr="00F24205">
              <w:rPr>
                <w:rFonts w:eastAsia="Times New Roman"/>
                <w:b/>
                <w:bCs/>
                <w:color w:val="000000"/>
                <w:lang w:val="en-US"/>
              </w:rPr>
              <w:t>3</w:t>
            </w:r>
          </w:p>
        </w:tc>
        <w:tc>
          <w:tcPr>
            <w:tcW w:w="1559" w:type="dxa"/>
            <w:tcBorders>
              <w:bottom w:val="single" w:sz="4" w:space="0" w:color="auto"/>
            </w:tcBorders>
            <w:shd w:val="clear" w:color="auto" w:fill="DBE5F1" w:themeFill="accent1" w:themeFillTint="33"/>
          </w:tcPr>
          <w:p w14:paraId="5BD8106E" w14:textId="77777777" w:rsidR="003D3D4C" w:rsidRPr="00F24205" w:rsidRDefault="003D3D4C" w:rsidP="00DF2591">
            <w:pPr>
              <w:widowControl w:val="0"/>
              <w:spacing w:after="0" w:line="240" w:lineRule="auto"/>
              <w:ind w:left="142" w:right="-45"/>
              <w:jc w:val="center"/>
              <w:rPr>
                <w:rFonts w:eastAsia="Times New Roman"/>
                <w:b/>
                <w:bCs/>
                <w:color w:val="000000"/>
                <w:lang w:val="en-US"/>
              </w:rPr>
            </w:pPr>
            <w:r w:rsidRPr="00F24205">
              <w:rPr>
                <w:rFonts w:eastAsia="Times New Roman"/>
                <w:b/>
                <w:bCs/>
                <w:color w:val="000000"/>
                <w:lang w:val="en-US"/>
              </w:rPr>
              <w:t>3</w:t>
            </w:r>
          </w:p>
        </w:tc>
        <w:tc>
          <w:tcPr>
            <w:tcW w:w="1560" w:type="dxa"/>
            <w:tcBorders>
              <w:bottom w:val="single" w:sz="4" w:space="0" w:color="auto"/>
            </w:tcBorders>
            <w:shd w:val="clear" w:color="auto" w:fill="DBE5F1" w:themeFill="accent1" w:themeFillTint="33"/>
          </w:tcPr>
          <w:p w14:paraId="0AFB3CBB" w14:textId="77777777" w:rsidR="003D3D4C" w:rsidRPr="00F24205" w:rsidRDefault="003D3D4C" w:rsidP="00DF2591">
            <w:pPr>
              <w:widowControl w:val="0"/>
              <w:spacing w:after="0" w:line="240" w:lineRule="auto"/>
              <w:ind w:left="179" w:right="-45"/>
              <w:jc w:val="center"/>
              <w:rPr>
                <w:rFonts w:eastAsia="Times New Roman"/>
                <w:b/>
                <w:bCs/>
                <w:color w:val="000000"/>
                <w:lang w:val="en-US"/>
              </w:rPr>
            </w:pPr>
            <w:r w:rsidRPr="00F24205">
              <w:rPr>
                <w:rFonts w:eastAsia="Times New Roman"/>
                <w:b/>
                <w:bCs/>
                <w:color w:val="000000"/>
                <w:lang w:val="en-US"/>
              </w:rPr>
              <w:t>2</w:t>
            </w:r>
          </w:p>
        </w:tc>
      </w:tr>
      <w:tr w:rsidR="003D3D4C" w:rsidRPr="00C363BB" w14:paraId="577E80C3" w14:textId="77777777" w:rsidTr="00DF2591">
        <w:trPr>
          <w:trHeight w:val="677"/>
        </w:trPr>
        <w:tc>
          <w:tcPr>
            <w:tcW w:w="2972" w:type="dxa"/>
            <w:shd w:val="clear" w:color="auto" w:fill="DBE5F1" w:themeFill="accent1" w:themeFillTint="33"/>
            <w:vAlign w:val="center"/>
          </w:tcPr>
          <w:p w14:paraId="650B265F" w14:textId="77777777" w:rsidR="003D3D4C" w:rsidRPr="00F24205" w:rsidRDefault="003D3D4C" w:rsidP="00DF2591">
            <w:pPr>
              <w:widowControl w:val="0"/>
              <w:spacing w:after="0" w:line="240" w:lineRule="auto"/>
              <w:ind w:left="238" w:right="-45"/>
              <w:rPr>
                <w:rFonts w:eastAsia="Times New Roman"/>
                <w:b/>
                <w:bCs/>
                <w:color w:val="000000"/>
                <w:lang w:val="en-US"/>
              </w:rPr>
            </w:pPr>
            <w:r w:rsidRPr="00F24205">
              <w:rPr>
                <w:rFonts w:eastAsia="Times New Roman"/>
                <w:b/>
                <w:bCs/>
                <w:color w:val="000000"/>
                <w:lang w:val="en-US"/>
              </w:rPr>
              <w:t>Total</w:t>
            </w:r>
          </w:p>
          <w:p w14:paraId="77CBFEA6" w14:textId="77777777" w:rsidR="003D3D4C" w:rsidRPr="00F24205" w:rsidRDefault="003D3D4C" w:rsidP="00DF2591">
            <w:pPr>
              <w:widowControl w:val="0"/>
              <w:spacing w:after="0" w:line="240" w:lineRule="auto"/>
              <w:ind w:left="238" w:right="-45"/>
              <w:rPr>
                <w:rFonts w:eastAsia="Times New Roman"/>
                <w:b/>
                <w:bCs/>
                <w:color w:val="000000"/>
                <w:lang w:val="en-US"/>
              </w:rPr>
            </w:pPr>
            <w:r w:rsidRPr="00F24205">
              <w:rPr>
                <w:rFonts w:eastAsia="Times New Roman"/>
                <w:b/>
                <w:bCs/>
                <w:color w:val="000000"/>
                <w:lang w:val="en-US"/>
              </w:rPr>
              <w:t>Seconded National Experts</w:t>
            </w:r>
          </w:p>
        </w:tc>
        <w:tc>
          <w:tcPr>
            <w:tcW w:w="1418" w:type="dxa"/>
            <w:shd w:val="clear" w:color="auto" w:fill="DBE5F1" w:themeFill="accent1" w:themeFillTint="33"/>
          </w:tcPr>
          <w:p w14:paraId="67F514F9" w14:textId="77777777" w:rsidR="003D3D4C" w:rsidRPr="00F24205" w:rsidRDefault="003D3D4C" w:rsidP="00DF2591">
            <w:pPr>
              <w:widowControl w:val="0"/>
              <w:spacing w:after="0" w:line="240" w:lineRule="auto"/>
              <w:ind w:left="172" w:right="-45"/>
              <w:jc w:val="center"/>
              <w:rPr>
                <w:rFonts w:eastAsia="Times New Roman"/>
                <w:b/>
                <w:bCs/>
                <w:color w:val="000000"/>
                <w:lang w:val="en-US"/>
              </w:rPr>
            </w:pPr>
            <w:r w:rsidRPr="00F24205">
              <w:rPr>
                <w:rFonts w:eastAsia="Times New Roman"/>
                <w:b/>
                <w:bCs/>
                <w:color w:val="000000"/>
                <w:lang w:val="en-US"/>
              </w:rPr>
              <w:t>2</w:t>
            </w:r>
          </w:p>
        </w:tc>
        <w:tc>
          <w:tcPr>
            <w:tcW w:w="1417" w:type="dxa"/>
            <w:shd w:val="clear" w:color="auto" w:fill="DBE5F1" w:themeFill="accent1" w:themeFillTint="33"/>
          </w:tcPr>
          <w:p w14:paraId="4032793C" w14:textId="77777777" w:rsidR="003D3D4C" w:rsidRPr="00F24205" w:rsidRDefault="003D3D4C" w:rsidP="00DF2591">
            <w:pPr>
              <w:widowControl w:val="0"/>
              <w:spacing w:after="0" w:line="240" w:lineRule="auto"/>
              <w:ind w:left="94" w:right="-45"/>
              <w:jc w:val="center"/>
              <w:rPr>
                <w:rFonts w:eastAsia="Times New Roman"/>
                <w:b/>
                <w:bCs/>
                <w:color w:val="000000"/>
                <w:lang w:val="en-US"/>
              </w:rPr>
            </w:pPr>
            <w:r w:rsidRPr="00F24205">
              <w:rPr>
                <w:rFonts w:eastAsia="Times New Roman"/>
                <w:b/>
                <w:bCs/>
                <w:color w:val="000000"/>
                <w:lang w:val="en-US"/>
              </w:rPr>
              <w:t>2</w:t>
            </w:r>
          </w:p>
        </w:tc>
        <w:tc>
          <w:tcPr>
            <w:tcW w:w="1559" w:type="dxa"/>
            <w:shd w:val="clear" w:color="auto" w:fill="DBE5F1" w:themeFill="accent1" w:themeFillTint="33"/>
          </w:tcPr>
          <w:p w14:paraId="6B61D866" w14:textId="77777777" w:rsidR="003D3D4C" w:rsidRPr="00F24205" w:rsidRDefault="003D3D4C" w:rsidP="00DF2591">
            <w:pPr>
              <w:widowControl w:val="0"/>
              <w:spacing w:after="0" w:line="240" w:lineRule="auto"/>
              <w:ind w:left="142" w:right="-45"/>
              <w:jc w:val="center"/>
              <w:rPr>
                <w:rFonts w:eastAsia="Times New Roman"/>
                <w:b/>
                <w:bCs/>
                <w:color w:val="000000"/>
                <w:lang w:val="en-US"/>
              </w:rPr>
            </w:pPr>
            <w:r w:rsidRPr="00F24205">
              <w:rPr>
                <w:rFonts w:eastAsia="Times New Roman"/>
                <w:b/>
                <w:bCs/>
                <w:color w:val="000000"/>
                <w:lang w:val="en-US"/>
              </w:rPr>
              <w:t>2</w:t>
            </w:r>
          </w:p>
        </w:tc>
        <w:tc>
          <w:tcPr>
            <w:tcW w:w="1560" w:type="dxa"/>
            <w:shd w:val="clear" w:color="auto" w:fill="DBE5F1" w:themeFill="accent1" w:themeFillTint="33"/>
          </w:tcPr>
          <w:p w14:paraId="23B7A696" w14:textId="77777777" w:rsidR="003D3D4C" w:rsidRPr="00F24205" w:rsidRDefault="003D3D4C" w:rsidP="00DF2591">
            <w:pPr>
              <w:widowControl w:val="0"/>
              <w:spacing w:after="0" w:line="240" w:lineRule="auto"/>
              <w:ind w:left="179" w:right="-45"/>
              <w:jc w:val="center"/>
              <w:rPr>
                <w:rFonts w:eastAsia="Times New Roman"/>
                <w:b/>
                <w:bCs/>
                <w:color w:val="000000"/>
                <w:lang w:val="en-US"/>
              </w:rPr>
            </w:pPr>
            <w:r w:rsidRPr="00F24205">
              <w:rPr>
                <w:rFonts w:eastAsia="Times New Roman"/>
                <w:b/>
                <w:bCs/>
                <w:color w:val="000000"/>
                <w:lang w:val="en-US"/>
              </w:rPr>
              <w:t>2</w:t>
            </w:r>
          </w:p>
        </w:tc>
      </w:tr>
    </w:tbl>
    <w:p w14:paraId="3F363C31" w14:textId="77777777" w:rsidR="003D3D4C" w:rsidRPr="003D3D4C" w:rsidRDefault="003D3D4C" w:rsidP="003D3D4C"/>
    <w:p w14:paraId="79267B45" w14:textId="77777777" w:rsidR="00D3705A" w:rsidRPr="00896AB4" w:rsidRDefault="00D3705A" w:rsidP="00D3705A">
      <w:pPr>
        <w:spacing w:after="0"/>
        <w:jc w:val="right"/>
        <w:rPr>
          <w:rFonts w:asciiTheme="minorHAnsi" w:hAnsiTheme="minorHAnsi"/>
          <w:sz w:val="18"/>
          <w:szCs w:val="18"/>
        </w:rPr>
      </w:pPr>
    </w:p>
    <w:p w14:paraId="58C2D735" w14:textId="77777777" w:rsidR="00D3705A" w:rsidRDefault="00D3705A" w:rsidP="00FA7494">
      <w:pPr>
        <w:rPr>
          <w:rFonts w:asciiTheme="minorHAnsi" w:hAnsiTheme="minorHAnsi"/>
        </w:rPr>
        <w:sectPr w:rsidR="00D3705A" w:rsidSect="00D3705A">
          <w:type w:val="continuous"/>
          <w:pgSz w:w="11906" w:h="16838"/>
          <w:pgMar w:top="1417" w:right="1417" w:bottom="1417" w:left="1417" w:header="708" w:footer="708" w:gutter="0"/>
          <w:cols w:space="708"/>
          <w:docGrid w:linePitch="360"/>
        </w:sectPr>
      </w:pPr>
    </w:p>
    <w:p w14:paraId="37475C15" w14:textId="77777777" w:rsidR="00BD154D" w:rsidRDefault="00BD154D" w:rsidP="00BD154D">
      <w:pPr>
        <w:pStyle w:val="Heading2"/>
        <w:ind w:left="567" w:hanging="576"/>
      </w:pPr>
      <w:bookmarkStart w:id="216" w:name="_Toc98496386"/>
      <w:bookmarkStart w:id="217" w:name="_Toc101516103"/>
      <w:r w:rsidRPr="00141D60">
        <w:lastRenderedPageBreak/>
        <w:t xml:space="preserve">Annex </w:t>
      </w:r>
      <w:r>
        <w:t>3</w:t>
      </w:r>
      <w:r w:rsidRPr="00141D60">
        <w:t xml:space="preserve"> </w:t>
      </w:r>
      <w:r>
        <w:t xml:space="preserve">- </w:t>
      </w:r>
      <w:r w:rsidRPr="005C257D">
        <w:t>Publications from projects</w:t>
      </w:r>
      <w:bookmarkEnd w:id="216"/>
      <w:bookmarkEnd w:id="217"/>
    </w:p>
    <w:p w14:paraId="47A47369" w14:textId="77777777" w:rsidR="00BD154D" w:rsidRDefault="00BD154D" w:rsidP="00BD154D">
      <w:r>
        <w:t>Publications related to H2020 projects. Information extracted from CORDA for the years 2020 and after, that were not already included in AAR2020. For previous years, please refer to our past Annual Activity Report publications.</w:t>
      </w:r>
    </w:p>
    <w:tbl>
      <w:tblPr>
        <w:tblW w:w="0" w:type="auto"/>
        <w:tblLook w:val="04A0" w:firstRow="1" w:lastRow="0" w:firstColumn="1" w:lastColumn="0" w:noHBand="0" w:noVBand="1"/>
      </w:tblPr>
      <w:tblGrid>
        <w:gridCol w:w="363"/>
        <w:gridCol w:w="480"/>
        <w:gridCol w:w="1991"/>
        <w:gridCol w:w="542"/>
        <w:gridCol w:w="375"/>
        <w:gridCol w:w="3616"/>
        <w:gridCol w:w="1041"/>
        <w:gridCol w:w="707"/>
        <w:gridCol w:w="666"/>
        <w:gridCol w:w="774"/>
        <w:gridCol w:w="427"/>
        <w:gridCol w:w="430"/>
        <w:gridCol w:w="502"/>
        <w:gridCol w:w="424"/>
        <w:gridCol w:w="1656"/>
      </w:tblGrid>
      <w:tr w:rsidR="00BD154D" w:rsidRPr="004535FA" w14:paraId="1168C94C" w14:textId="77777777" w:rsidTr="00DF2591">
        <w:trPr>
          <w:cantSplit/>
          <w:trHeight w:val="1134"/>
        </w:trPr>
        <w:tc>
          <w:tcPr>
            <w:tcW w:w="0" w:type="auto"/>
            <w:tcBorders>
              <w:top w:val="single" w:sz="4" w:space="0" w:color="3877A6"/>
              <w:left w:val="single" w:sz="4" w:space="0" w:color="3877A6"/>
              <w:bottom w:val="single" w:sz="4" w:space="0" w:color="A5A5B1"/>
              <w:right w:val="single" w:sz="4" w:space="0" w:color="3877A6"/>
            </w:tcBorders>
            <w:shd w:val="clear" w:color="FFFFFF" w:fill="0B64A0"/>
            <w:noWrap/>
            <w:vAlign w:val="bottom"/>
            <w:hideMark/>
          </w:tcPr>
          <w:p w14:paraId="0AEC5E90" w14:textId="77777777" w:rsidR="00BD154D" w:rsidRPr="00F07F7C" w:rsidRDefault="00BD154D" w:rsidP="00DF2591">
            <w:pPr>
              <w:spacing w:after="0" w:line="240" w:lineRule="auto"/>
              <w:rPr>
                <w:rFonts w:ascii="Arial" w:eastAsia="Times New Roman" w:hAnsi="Arial" w:cs="Arial"/>
                <w:b/>
                <w:bCs/>
                <w:color w:val="FFFFFF"/>
                <w:sz w:val="12"/>
                <w:szCs w:val="12"/>
                <w:lang w:eastAsia="en-GB"/>
              </w:rPr>
            </w:pPr>
            <w:r w:rsidRPr="00F07F7C">
              <w:rPr>
                <w:rFonts w:ascii="Arial" w:eastAsia="Times New Roman" w:hAnsi="Arial" w:cs="Arial"/>
                <w:b/>
                <w:bCs/>
                <w:color w:val="FFFFFF"/>
                <w:sz w:val="12"/>
                <w:szCs w:val="12"/>
                <w:lang w:eastAsia="en-GB"/>
              </w:rPr>
              <w:t>Project Acronym</w:t>
            </w:r>
          </w:p>
        </w:tc>
        <w:tc>
          <w:tcPr>
            <w:tcW w:w="0" w:type="auto"/>
            <w:tcBorders>
              <w:top w:val="single" w:sz="4" w:space="0" w:color="3877A6"/>
              <w:left w:val="nil"/>
              <w:bottom w:val="single" w:sz="4" w:space="0" w:color="A5A5B1"/>
              <w:right w:val="single" w:sz="4" w:space="0" w:color="3877A6"/>
            </w:tcBorders>
            <w:shd w:val="clear" w:color="FFFFFF" w:fill="0B64A0"/>
            <w:noWrap/>
            <w:vAlign w:val="bottom"/>
            <w:hideMark/>
          </w:tcPr>
          <w:p w14:paraId="28F45E81" w14:textId="77777777" w:rsidR="00BD154D" w:rsidRPr="00F07F7C" w:rsidRDefault="00BD154D" w:rsidP="00DF2591">
            <w:pPr>
              <w:spacing w:after="0" w:line="240" w:lineRule="auto"/>
              <w:rPr>
                <w:rFonts w:ascii="Arial" w:eastAsia="Times New Roman" w:hAnsi="Arial" w:cs="Arial"/>
                <w:b/>
                <w:bCs/>
                <w:color w:val="FFFFFF"/>
                <w:sz w:val="12"/>
                <w:szCs w:val="12"/>
                <w:lang w:eastAsia="en-GB"/>
              </w:rPr>
            </w:pPr>
            <w:r w:rsidRPr="00F07F7C">
              <w:rPr>
                <w:rFonts w:ascii="Arial" w:eastAsia="Times New Roman" w:hAnsi="Arial" w:cs="Arial"/>
                <w:b/>
                <w:bCs/>
                <w:color w:val="FFFFFF"/>
                <w:sz w:val="12"/>
                <w:szCs w:val="12"/>
                <w:lang w:eastAsia="en-GB"/>
              </w:rPr>
              <w:t>CR Publ Type</w:t>
            </w:r>
          </w:p>
        </w:tc>
        <w:tc>
          <w:tcPr>
            <w:tcW w:w="0" w:type="auto"/>
            <w:tcBorders>
              <w:top w:val="single" w:sz="4" w:space="0" w:color="3877A6"/>
              <w:left w:val="nil"/>
              <w:bottom w:val="single" w:sz="4" w:space="0" w:color="A5A5B1"/>
              <w:right w:val="single" w:sz="4" w:space="0" w:color="3877A6"/>
            </w:tcBorders>
            <w:shd w:val="clear" w:color="FFFFFF" w:fill="0B64A0"/>
            <w:noWrap/>
            <w:vAlign w:val="bottom"/>
            <w:hideMark/>
          </w:tcPr>
          <w:p w14:paraId="41DA4A70" w14:textId="77777777" w:rsidR="00BD154D" w:rsidRPr="00F07F7C" w:rsidRDefault="00BD154D" w:rsidP="00DF2591">
            <w:pPr>
              <w:spacing w:after="0" w:line="240" w:lineRule="auto"/>
              <w:rPr>
                <w:rFonts w:ascii="Arial" w:eastAsia="Times New Roman" w:hAnsi="Arial" w:cs="Arial"/>
                <w:b/>
                <w:bCs/>
                <w:color w:val="FFFFFF"/>
                <w:sz w:val="12"/>
                <w:szCs w:val="12"/>
                <w:lang w:eastAsia="en-GB"/>
              </w:rPr>
            </w:pPr>
            <w:r w:rsidRPr="00F07F7C">
              <w:rPr>
                <w:rFonts w:ascii="Arial" w:eastAsia="Times New Roman" w:hAnsi="Arial" w:cs="Arial"/>
                <w:b/>
                <w:bCs/>
                <w:color w:val="FFFFFF"/>
                <w:sz w:val="12"/>
                <w:szCs w:val="12"/>
                <w:lang w:eastAsia="en-GB"/>
              </w:rPr>
              <w:t>CR Publ Title</w:t>
            </w:r>
          </w:p>
        </w:tc>
        <w:tc>
          <w:tcPr>
            <w:tcW w:w="0" w:type="auto"/>
            <w:tcBorders>
              <w:top w:val="single" w:sz="4" w:space="0" w:color="3877A6"/>
              <w:left w:val="nil"/>
              <w:bottom w:val="single" w:sz="4" w:space="0" w:color="A5A5B1"/>
              <w:right w:val="single" w:sz="4" w:space="0" w:color="3877A6"/>
            </w:tcBorders>
            <w:shd w:val="clear" w:color="FFFFFF" w:fill="0B64A0"/>
            <w:noWrap/>
            <w:vAlign w:val="bottom"/>
            <w:hideMark/>
          </w:tcPr>
          <w:p w14:paraId="6E6680C7" w14:textId="77777777" w:rsidR="00BD154D" w:rsidRPr="00F07F7C" w:rsidRDefault="00BD154D" w:rsidP="00DF2591">
            <w:pPr>
              <w:spacing w:after="0" w:line="240" w:lineRule="auto"/>
              <w:rPr>
                <w:rFonts w:ascii="Arial" w:eastAsia="Times New Roman" w:hAnsi="Arial" w:cs="Arial"/>
                <w:b/>
                <w:bCs/>
                <w:color w:val="FFFFFF"/>
                <w:sz w:val="12"/>
                <w:szCs w:val="12"/>
                <w:lang w:eastAsia="en-GB"/>
              </w:rPr>
            </w:pPr>
            <w:r w:rsidRPr="00F07F7C">
              <w:rPr>
                <w:rFonts w:ascii="Arial" w:eastAsia="Times New Roman" w:hAnsi="Arial" w:cs="Arial"/>
                <w:b/>
                <w:bCs/>
                <w:color w:val="FFFFFF"/>
                <w:sz w:val="12"/>
                <w:szCs w:val="12"/>
                <w:lang w:eastAsia="en-GB"/>
              </w:rPr>
              <w:t>CR Publ DOI</w:t>
            </w:r>
          </w:p>
        </w:tc>
        <w:tc>
          <w:tcPr>
            <w:tcW w:w="0" w:type="auto"/>
            <w:tcBorders>
              <w:top w:val="single" w:sz="4" w:space="0" w:color="3877A6"/>
              <w:left w:val="nil"/>
              <w:bottom w:val="single" w:sz="4" w:space="0" w:color="A5A5B1"/>
              <w:right w:val="single" w:sz="4" w:space="0" w:color="3877A6"/>
            </w:tcBorders>
            <w:shd w:val="clear" w:color="FFFFFF" w:fill="0B64A0"/>
            <w:noWrap/>
            <w:vAlign w:val="bottom"/>
            <w:hideMark/>
          </w:tcPr>
          <w:p w14:paraId="6D67472E" w14:textId="77777777" w:rsidR="00BD154D" w:rsidRPr="00F07F7C" w:rsidRDefault="00BD154D" w:rsidP="00DF2591">
            <w:pPr>
              <w:spacing w:after="0" w:line="240" w:lineRule="auto"/>
              <w:rPr>
                <w:rFonts w:ascii="Arial" w:eastAsia="Times New Roman" w:hAnsi="Arial" w:cs="Arial"/>
                <w:b/>
                <w:bCs/>
                <w:color w:val="FFFFFF"/>
                <w:sz w:val="12"/>
                <w:szCs w:val="12"/>
                <w:lang w:eastAsia="en-GB"/>
              </w:rPr>
            </w:pPr>
            <w:r w:rsidRPr="00F07F7C">
              <w:rPr>
                <w:rFonts w:ascii="Arial" w:eastAsia="Times New Roman" w:hAnsi="Arial" w:cs="Arial"/>
                <w:b/>
                <w:bCs/>
                <w:color w:val="FFFFFF"/>
                <w:sz w:val="12"/>
                <w:szCs w:val="12"/>
                <w:lang w:eastAsia="en-GB"/>
              </w:rPr>
              <w:t>CR Publ ISSN</w:t>
            </w:r>
          </w:p>
        </w:tc>
        <w:tc>
          <w:tcPr>
            <w:tcW w:w="0" w:type="auto"/>
            <w:tcBorders>
              <w:top w:val="single" w:sz="4" w:space="0" w:color="3877A6"/>
              <w:left w:val="nil"/>
              <w:bottom w:val="single" w:sz="4" w:space="0" w:color="A5A5B1"/>
              <w:right w:val="single" w:sz="4" w:space="0" w:color="3877A6"/>
            </w:tcBorders>
            <w:shd w:val="clear" w:color="FFFFFF" w:fill="0B64A0"/>
            <w:noWrap/>
            <w:vAlign w:val="bottom"/>
            <w:hideMark/>
          </w:tcPr>
          <w:p w14:paraId="2E229757" w14:textId="77777777" w:rsidR="00BD154D" w:rsidRPr="00F07F7C" w:rsidRDefault="00BD154D" w:rsidP="00DF2591">
            <w:pPr>
              <w:spacing w:after="0" w:line="240" w:lineRule="auto"/>
              <w:rPr>
                <w:rFonts w:ascii="Arial" w:eastAsia="Times New Roman" w:hAnsi="Arial" w:cs="Arial"/>
                <w:b/>
                <w:bCs/>
                <w:color w:val="FFFFFF"/>
                <w:sz w:val="12"/>
                <w:szCs w:val="12"/>
                <w:lang w:eastAsia="en-GB"/>
              </w:rPr>
            </w:pPr>
            <w:r w:rsidRPr="00F07F7C">
              <w:rPr>
                <w:rFonts w:ascii="Arial" w:eastAsia="Times New Roman" w:hAnsi="Arial" w:cs="Arial"/>
                <w:b/>
                <w:bCs/>
                <w:color w:val="FFFFFF"/>
                <w:sz w:val="12"/>
                <w:szCs w:val="12"/>
                <w:lang w:eastAsia="en-GB"/>
              </w:rPr>
              <w:t>CR Publ Authors</w:t>
            </w:r>
          </w:p>
        </w:tc>
        <w:tc>
          <w:tcPr>
            <w:tcW w:w="0" w:type="auto"/>
            <w:tcBorders>
              <w:top w:val="single" w:sz="4" w:space="0" w:color="3877A6"/>
              <w:left w:val="nil"/>
              <w:bottom w:val="single" w:sz="4" w:space="0" w:color="A5A5B1"/>
              <w:right w:val="single" w:sz="4" w:space="0" w:color="3877A6"/>
            </w:tcBorders>
            <w:shd w:val="clear" w:color="FFFFFF" w:fill="0B64A0"/>
            <w:noWrap/>
            <w:vAlign w:val="bottom"/>
            <w:hideMark/>
          </w:tcPr>
          <w:p w14:paraId="0014A02D" w14:textId="77777777" w:rsidR="00BD154D" w:rsidRPr="00F07F7C" w:rsidRDefault="00BD154D" w:rsidP="00DF2591">
            <w:pPr>
              <w:spacing w:after="0" w:line="240" w:lineRule="auto"/>
              <w:rPr>
                <w:rFonts w:ascii="Arial" w:eastAsia="Times New Roman" w:hAnsi="Arial" w:cs="Arial"/>
                <w:b/>
                <w:bCs/>
                <w:color w:val="FFFFFF"/>
                <w:sz w:val="12"/>
                <w:szCs w:val="12"/>
                <w:lang w:eastAsia="en-GB"/>
              </w:rPr>
            </w:pPr>
            <w:r w:rsidRPr="00F07F7C">
              <w:rPr>
                <w:rFonts w:ascii="Arial" w:eastAsia="Times New Roman" w:hAnsi="Arial" w:cs="Arial"/>
                <w:b/>
                <w:bCs/>
                <w:color w:val="FFFFFF"/>
                <w:sz w:val="12"/>
                <w:szCs w:val="12"/>
                <w:lang w:eastAsia="en-GB"/>
              </w:rPr>
              <w:t>CR Publ Journal Title</w:t>
            </w:r>
          </w:p>
        </w:tc>
        <w:tc>
          <w:tcPr>
            <w:tcW w:w="0" w:type="auto"/>
            <w:tcBorders>
              <w:top w:val="single" w:sz="4" w:space="0" w:color="3877A6"/>
              <w:left w:val="nil"/>
              <w:bottom w:val="single" w:sz="4" w:space="0" w:color="A5A5B1"/>
              <w:right w:val="single" w:sz="4" w:space="0" w:color="3877A6"/>
            </w:tcBorders>
            <w:shd w:val="clear" w:color="FFFFFF" w:fill="0B64A0"/>
            <w:noWrap/>
            <w:vAlign w:val="bottom"/>
            <w:hideMark/>
          </w:tcPr>
          <w:p w14:paraId="3251A156" w14:textId="77777777" w:rsidR="00BD154D" w:rsidRPr="00F07F7C" w:rsidRDefault="00BD154D" w:rsidP="00DF2591">
            <w:pPr>
              <w:spacing w:after="0" w:line="240" w:lineRule="auto"/>
              <w:rPr>
                <w:rFonts w:ascii="Arial" w:eastAsia="Times New Roman" w:hAnsi="Arial" w:cs="Arial"/>
                <w:b/>
                <w:bCs/>
                <w:color w:val="FFFFFF"/>
                <w:sz w:val="12"/>
                <w:szCs w:val="12"/>
                <w:lang w:eastAsia="en-GB"/>
              </w:rPr>
            </w:pPr>
            <w:r w:rsidRPr="00F07F7C">
              <w:rPr>
                <w:rFonts w:ascii="Arial" w:eastAsia="Times New Roman" w:hAnsi="Arial" w:cs="Arial"/>
                <w:b/>
                <w:bCs/>
                <w:color w:val="FFFFFF"/>
                <w:sz w:val="12"/>
                <w:szCs w:val="12"/>
                <w:lang w:eastAsia="en-GB"/>
              </w:rPr>
              <w:t>CR Publ Journal Nbr</w:t>
            </w:r>
          </w:p>
        </w:tc>
        <w:tc>
          <w:tcPr>
            <w:tcW w:w="0" w:type="auto"/>
            <w:tcBorders>
              <w:top w:val="single" w:sz="4" w:space="0" w:color="3877A6"/>
              <w:left w:val="nil"/>
              <w:bottom w:val="single" w:sz="4" w:space="0" w:color="A5A5B1"/>
              <w:right w:val="single" w:sz="4" w:space="0" w:color="3877A6"/>
            </w:tcBorders>
            <w:shd w:val="clear" w:color="FFFFFF" w:fill="0B64A0"/>
            <w:noWrap/>
            <w:vAlign w:val="bottom"/>
            <w:hideMark/>
          </w:tcPr>
          <w:p w14:paraId="00A7228F" w14:textId="77777777" w:rsidR="00BD154D" w:rsidRPr="00F07F7C" w:rsidRDefault="00BD154D" w:rsidP="00DF2591">
            <w:pPr>
              <w:spacing w:after="0" w:line="240" w:lineRule="auto"/>
              <w:rPr>
                <w:rFonts w:ascii="Arial" w:eastAsia="Times New Roman" w:hAnsi="Arial" w:cs="Arial"/>
                <w:b/>
                <w:bCs/>
                <w:color w:val="FFFFFF"/>
                <w:sz w:val="12"/>
                <w:szCs w:val="12"/>
                <w:lang w:eastAsia="en-GB"/>
              </w:rPr>
            </w:pPr>
            <w:r w:rsidRPr="00F07F7C">
              <w:rPr>
                <w:rFonts w:ascii="Arial" w:eastAsia="Times New Roman" w:hAnsi="Arial" w:cs="Arial"/>
                <w:b/>
                <w:bCs/>
                <w:color w:val="FFFFFF"/>
                <w:sz w:val="12"/>
                <w:szCs w:val="12"/>
                <w:lang w:eastAsia="en-GB"/>
              </w:rPr>
              <w:t>CR Publ Publisher</w:t>
            </w:r>
          </w:p>
        </w:tc>
        <w:tc>
          <w:tcPr>
            <w:tcW w:w="0" w:type="auto"/>
            <w:tcBorders>
              <w:top w:val="single" w:sz="4" w:space="0" w:color="3877A6"/>
              <w:left w:val="nil"/>
              <w:bottom w:val="single" w:sz="4" w:space="0" w:color="A5A5B1"/>
              <w:right w:val="single" w:sz="4" w:space="0" w:color="3877A6"/>
            </w:tcBorders>
            <w:shd w:val="clear" w:color="FFFFFF" w:fill="0B64A0"/>
            <w:noWrap/>
            <w:vAlign w:val="bottom"/>
            <w:hideMark/>
          </w:tcPr>
          <w:p w14:paraId="26E57F8C" w14:textId="77777777" w:rsidR="00BD154D" w:rsidRPr="00F07F7C" w:rsidRDefault="00BD154D" w:rsidP="00DF2591">
            <w:pPr>
              <w:spacing w:after="0" w:line="240" w:lineRule="auto"/>
              <w:rPr>
                <w:rFonts w:ascii="Arial" w:eastAsia="Times New Roman" w:hAnsi="Arial" w:cs="Arial"/>
                <w:b/>
                <w:bCs/>
                <w:color w:val="FFFFFF"/>
                <w:sz w:val="12"/>
                <w:szCs w:val="12"/>
                <w:lang w:eastAsia="en-GB"/>
              </w:rPr>
            </w:pPr>
            <w:r w:rsidRPr="00F07F7C">
              <w:rPr>
                <w:rFonts w:ascii="Arial" w:eastAsia="Times New Roman" w:hAnsi="Arial" w:cs="Arial"/>
                <w:b/>
                <w:bCs/>
                <w:color w:val="FFFFFF"/>
                <w:sz w:val="12"/>
                <w:szCs w:val="12"/>
                <w:lang w:eastAsia="en-GB"/>
              </w:rPr>
              <w:t>CR Publ Published Place</w:t>
            </w:r>
          </w:p>
        </w:tc>
        <w:tc>
          <w:tcPr>
            <w:tcW w:w="0" w:type="auto"/>
            <w:tcBorders>
              <w:top w:val="single" w:sz="4" w:space="0" w:color="3877A6"/>
              <w:left w:val="nil"/>
              <w:bottom w:val="single" w:sz="4" w:space="0" w:color="A5A5B1"/>
              <w:right w:val="single" w:sz="4" w:space="0" w:color="3877A6"/>
            </w:tcBorders>
            <w:shd w:val="clear" w:color="FFFFFF" w:fill="0B64A0"/>
            <w:noWrap/>
            <w:vAlign w:val="bottom"/>
            <w:hideMark/>
          </w:tcPr>
          <w:p w14:paraId="4D5AEF28" w14:textId="77777777" w:rsidR="00BD154D" w:rsidRPr="00F07F7C" w:rsidRDefault="00BD154D" w:rsidP="00DF2591">
            <w:pPr>
              <w:spacing w:after="0" w:line="240" w:lineRule="auto"/>
              <w:rPr>
                <w:rFonts w:ascii="Arial" w:eastAsia="Times New Roman" w:hAnsi="Arial" w:cs="Arial"/>
                <w:b/>
                <w:bCs/>
                <w:color w:val="FFFFFF"/>
                <w:sz w:val="12"/>
                <w:szCs w:val="12"/>
                <w:lang w:eastAsia="en-GB"/>
              </w:rPr>
            </w:pPr>
            <w:r w:rsidRPr="00F07F7C">
              <w:rPr>
                <w:rFonts w:ascii="Arial" w:eastAsia="Times New Roman" w:hAnsi="Arial" w:cs="Arial"/>
                <w:b/>
                <w:bCs/>
                <w:color w:val="FFFFFF"/>
                <w:sz w:val="12"/>
                <w:szCs w:val="12"/>
                <w:lang w:eastAsia="en-GB"/>
              </w:rPr>
              <w:t>CR Publ Published Year</w:t>
            </w:r>
          </w:p>
        </w:tc>
        <w:tc>
          <w:tcPr>
            <w:tcW w:w="0" w:type="auto"/>
            <w:tcBorders>
              <w:top w:val="single" w:sz="4" w:space="0" w:color="3877A6"/>
              <w:left w:val="nil"/>
              <w:bottom w:val="single" w:sz="4" w:space="0" w:color="A5A5B1"/>
              <w:right w:val="single" w:sz="4" w:space="0" w:color="3877A6"/>
            </w:tcBorders>
            <w:shd w:val="clear" w:color="FFFFFF" w:fill="0B64A0"/>
            <w:noWrap/>
            <w:vAlign w:val="bottom"/>
            <w:hideMark/>
          </w:tcPr>
          <w:p w14:paraId="3495B9F2" w14:textId="77777777" w:rsidR="00BD154D" w:rsidRPr="00F07F7C" w:rsidRDefault="00BD154D" w:rsidP="00DF2591">
            <w:pPr>
              <w:spacing w:after="0" w:line="240" w:lineRule="auto"/>
              <w:rPr>
                <w:rFonts w:ascii="Arial" w:eastAsia="Times New Roman" w:hAnsi="Arial" w:cs="Arial"/>
                <w:b/>
                <w:bCs/>
                <w:color w:val="FFFFFF"/>
                <w:sz w:val="12"/>
                <w:szCs w:val="12"/>
                <w:lang w:eastAsia="en-GB"/>
              </w:rPr>
            </w:pPr>
            <w:r w:rsidRPr="00F07F7C">
              <w:rPr>
                <w:rFonts w:ascii="Arial" w:eastAsia="Times New Roman" w:hAnsi="Arial" w:cs="Arial"/>
                <w:b/>
                <w:bCs/>
                <w:color w:val="FFFFFF"/>
                <w:sz w:val="12"/>
                <w:szCs w:val="12"/>
                <w:lang w:eastAsia="en-GB"/>
              </w:rPr>
              <w:t>CR Publ Relevant Pages</w:t>
            </w:r>
          </w:p>
        </w:tc>
        <w:tc>
          <w:tcPr>
            <w:tcW w:w="0" w:type="auto"/>
            <w:tcBorders>
              <w:top w:val="single" w:sz="4" w:space="0" w:color="3877A6"/>
              <w:left w:val="nil"/>
              <w:bottom w:val="single" w:sz="4" w:space="0" w:color="A5A5B1"/>
              <w:right w:val="single" w:sz="4" w:space="0" w:color="3877A6"/>
            </w:tcBorders>
            <w:shd w:val="clear" w:color="FFFFFF" w:fill="0B64A0"/>
            <w:noWrap/>
            <w:vAlign w:val="bottom"/>
            <w:hideMark/>
          </w:tcPr>
          <w:p w14:paraId="6F0B43FD" w14:textId="77777777" w:rsidR="00BD154D" w:rsidRPr="00F07F7C" w:rsidRDefault="00BD154D" w:rsidP="00DF2591">
            <w:pPr>
              <w:spacing w:after="0" w:line="240" w:lineRule="auto"/>
              <w:rPr>
                <w:rFonts w:ascii="Arial" w:eastAsia="Times New Roman" w:hAnsi="Arial" w:cs="Arial"/>
                <w:b/>
                <w:bCs/>
                <w:color w:val="FFFFFF"/>
                <w:sz w:val="12"/>
                <w:szCs w:val="12"/>
                <w:lang w:eastAsia="en-GB"/>
              </w:rPr>
            </w:pPr>
            <w:r w:rsidRPr="00F07F7C">
              <w:rPr>
                <w:rFonts w:ascii="Arial" w:eastAsia="Times New Roman" w:hAnsi="Arial" w:cs="Arial"/>
                <w:b/>
                <w:bCs/>
                <w:color w:val="FFFFFF"/>
                <w:sz w:val="12"/>
                <w:szCs w:val="12"/>
                <w:lang w:eastAsia="en-GB"/>
              </w:rPr>
              <w:t>CR Publ Is Joint Public/</w:t>
            </w:r>
            <w:proofErr w:type="gramStart"/>
            <w:r w:rsidRPr="00F07F7C">
              <w:rPr>
                <w:rFonts w:ascii="Arial" w:eastAsia="Times New Roman" w:hAnsi="Arial" w:cs="Arial"/>
                <w:b/>
                <w:bCs/>
                <w:color w:val="FFFFFF"/>
                <w:sz w:val="12"/>
                <w:szCs w:val="12"/>
                <w:lang w:eastAsia="en-GB"/>
              </w:rPr>
              <w:t>Private ?</w:t>
            </w:r>
            <w:proofErr w:type="gramEnd"/>
          </w:p>
        </w:tc>
        <w:tc>
          <w:tcPr>
            <w:tcW w:w="0" w:type="auto"/>
            <w:tcBorders>
              <w:top w:val="single" w:sz="4" w:space="0" w:color="3877A6"/>
              <w:left w:val="nil"/>
              <w:bottom w:val="single" w:sz="4" w:space="0" w:color="A5A5B1"/>
              <w:right w:val="single" w:sz="4" w:space="0" w:color="3877A6"/>
            </w:tcBorders>
            <w:shd w:val="clear" w:color="FFFFFF" w:fill="0B64A0"/>
            <w:noWrap/>
            <w:vAlign w:val="bottom"/>
            <w:hideMark/>
          </w:tcPr>
          <w:p w14:paraId="1E3C4144" w14:textId="77777777" w:rsidR="00BD154D" w:rsidRPr="00F07F7C" w:rsidRDefault="00BD154D" w:rsidP="00DF2591">
            <w:pPr>
              <w:spacing w:after="0" w:line="240" w:lineRule="auto"/>
              <w:rPr>
                <w:rFonts w:ascii="Arial" w:eastAsia="Times New Roman" w:hAnsi="Arial" w:cs="Arial"/>
                <w:b/>
                <w:bCs/>
                <w:color w:val="FFFFFF"/>
                <w:sz w:val="12"/>
                <w:szCs w:val="12"/>
                <w:lang w:eastAsia="en-GB"/>
              </w:rPr>
            </w:pPr>
            <w:r w:rsidRPr="00F07F7C">
              <w:rPr>
                <w:rFonts w:ascii="Arial" w:eastAsia="Times New Roman" w:hAnsi="Arial" w:cs="Arial"/>
                <w:b/>
                <w:bCs/>
                <w:color w:val="FFFFFF"/>
                <w:sz w:val="12"/>
                <w:szCs w:val="12"/>
                <w:lang w:eastAsia="en-GB"/>
              </w:rPr>
              <w:t>CR Publ In Green O-</w:t>
            </w:r>
            <w:proofErr w:type="gramStart"/>
            <w:r w:rsidRPr="00F07F7C">
              <w:rPr>
                <w:rFonts w:ascii="Arial" w:eastAsia="Times New Roman" w:hAnsi="Arial" w:cs="Arial"/>
                <w:b/>
                <w:bCs/>
                <w:color w:val="FFFFFF"/>
                <w:sz w:val="12"/>
                <w:szCs w:val="12"/>
                <w:lang w:eastAsia="en-GB"/>
              </w:rPr>
              <w:t>A ?</w:t>
            </w:r>
            <w:proofErr w:type="gramEnd"/>
          </w:p>
        </w:tc>
        <w:tc>
          <w:tcPr>
            <w:tcW w:w="0" w:type="auto"/>
            <w:tcBorders>
              <w:top w:val="single" w:sz="4" w:space="0" w:color="3877A6"/>
              <w:left w:val="nil"/>
              <w:bottom w:val="single" w:sz="4" w:space="0" w:color="A5A5B1"/>
              <w:right w:val="single" w:sz="4" w:space="0" w:color="3877A6"/>
            </w:tcBorders>
            <w:shd w:val="clear" w:color="FFFFFF" w:fill="0B64A0"/>
            <w:noWrap/>
            <w:vAlign w:val="bottom"/>
            <w:hideMark/>
          </w:tcPr>
          <w:p w14:paraId="08A08707" w14:textId="77777777" w:rsidR="00BD154D" w:rsidRPr="00F07F7C" w:rsidRDefault="00BD154D" w:rsidP="00DF2591">
            <w:pPr>
              <w:spacing w:after="0" w:line="240" w:lineRule="auto"/>
              <w:rPr>
                <w:rFonts w:ascii="Arial" w:eastAsia="Times New Roman" w:hAnsi="Arial" w:cs="Arial"/>
                <w:b/>
                <w:bCs/>
                <w:color w:val="FFFFFF"/>
                <w:sz w:val="12"/>
                <w:szCs w:val="12"/>
                <w:lang w:eastAsia="en-GB"/>
              </w:rPr>
            </w:pPr>
            <w:r w:rsidRPr="00F07F7C">
              <w:rPr>
                <w:rFonts w:ascii="Arial" w:eastAsia="Times New Roman" w:hAnsi="Arial" w:cs="Arial"/>
                <w:b/>
                <w:bCs/>
                <w:color w:val="FFFFFF"/>
                <w:sz w:val="12"/>
                <w:szCs w:val="12"/>
                <w:lang w:eastAsia="en-GB"/>
              </w:rPr>
              <w:t>CR Publ Repository URL</w:t>
            </w:r>
          </w:p>
        </w:tc>
      </w:tr>
      <w:tr w:rsidR="00BD154D" w:rsidRPr="004535FA" w14:paraId="32614107"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7BFF337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ANIONE</w:t>
            </w:r>
          </w:p>
        </w:tc>
        <w:tc>
          <w:tcPr>
            <w:tcW w:w="0" w:type="auto"/>
            <w:tcBorders>
              <w:top w:val="nil"/>
              <w:left w:val="nil"/>
              <w:bottom w:val="single" w:sz="4" w:space="0" w:color="DDDDDD"/>
              <w:right w:val="single" w:sz="4" w:space="0" w:color="DDDDDD"/>
            </w:tcBorders>
            <w:shd w:val="clear" w:color="FFFFFF" w:fill="FFFFFF"/>
            <w:noWrap/>
            <w:vAlign w:val="bottom"/>
            <w:hideMark/>
          </w:tcPr>
          <w:p w14:paraId="0866215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CONFERENCE_PROCEEDING</w:t>
            </w:r>
          </w:p>
        </w:tc>
        <w:tc>
          <w:tcPr>
            <w:tcW w:w="0" w:type="auto"/>
            <w:tcBorders>
              <w:top w:val="nil"/>
              <w:left w:val="nil"/>
              <w:bottom w:val="single" w:sz="4" w:space="0" w:color="DDDDDD"/>
              <w:right w:val="single" w:sz="4" w:space="0" w:color="DDDDDD"/>
            </w:tcBorders>
            <w:shd w:val="clear" w:color="FFFFFF" w:fill="FFFFFF"/>
            <w:noWrap/>
            <w:vAlign w:val="bottom"/>
            <w:hideMark/>
          </w:tcPr>
          <w:p w14:paraId="5118E62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Green hydrogen production by innovative membrane electrolysis technologies</w:t>
            </w:r>
          </w:p>
        </w:tc>
        <w:tc>
          <w:tcPr>
            <w:tcW w:w="0" w:type="auto"/>
            <w:tcBorders>
              <w:top w:val="nil"/>
              <w:left w:val="nil"/>
              <w:bottom w:val="single" w:sz="4" w:space="0" w:color="DDDDDD"/>
              <w:right w:val="single" w:sz="4" w:space="0" w:color="DDDDDD"/>
            </w:tcBorders>
            <w:shd w:val="clear" w:color="FFFFFF" w:fill="FFFFFF"/>
            <w:noWrap/>
            <w:vAlign w:val="bottom"/>
            <w:hideMark/>
          </w:tcPr>
          <w:p w14:paraId="4343770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0E3A659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71574896" w14:textId="77777777" w:rsidR="00BD154D" w:rsidRPr="00A60794" w:rsidRDefault="00BD154D" w:rsidP="00DF2591">
            <w:pPr>
              <w:spacing w:after="0" w:line="240" w:lineRule="auto"/>
              <w:rPr>
                <w:rFonts w:ascii="Arial" w:eastAsia="Times New Roman" w:hAnsi="Arial" w:cs="Arial"/>
                <w:color w:val="333333"/>
                <w:sz w:val="12"/>
                <w:szCs w:val="12"/>
                <w:lang w:val="es-ES" w:eastAsia="en-GB"/>
              </w:rPr>
            </w:pPr>
            <w:r w:rsidRPr="00A60794">
              <w:rPr>
                <w:rFonts w:ascii="Arial" w:eastAsia="Times New Roman" w:hAnsi="Arial" w:cs="Arial"/>
                <w:color w:val="333333"/>
                <w:sz w:val="12"/>
                <w:szCs w:val="12"/>
                <w:lang w:val="es-ES" w:eastAsia="en-GB"/>
              </w:rPr>
              <w:t>Antonino Salvatore Aricò, Stefania Siracusano, Sabrina Campagna Zignani, Alessandra Carbone</w:t>
            </w:r>
          </w:p>
        </w:tc>
        <w:tc>
          <w:tcPr>
            <w:tcW w:w="0" w:type="auto"/>
            <w:tcBorders>
              <w:top w:val="nil"/>
              <w:left w:val="nil"/>
              <w:bottom w:val="single" w:sz="4" w:space="0" w:color="DDDDDD"/>
              <w:right w:val="single" w:sz="4" w:space="0" w:color="DDDDDD"/>
            </w:tcBorders>
            <w:shd w:val="clear" w:color="FFFFFF" w:fill="FFFFFF"/>
            <w:noWrap/>
            <w:vAlign w:val="bottom"/>
            <w:hideMark/>
          </w:tcPr>
          <w:p w14:paraId="3C88855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Electrolysers, Fuel Cells &amp; H2 Processing, Proceedings of EFCF 2021 Conference,</w:t>
            </w:r>
          </w:p>
        </w:tc>
        <w:tc>
          <w:tcPr>
            <w:tcW w:w="0" w:type="auto"/>
            <w:tcBorders>
              <w:top w:val="nil"/>
              <w:left w:val="nil"/>
              <w:bottom w:val="single" w:sz="4" w:space="0" w:color="DDDDDD"/>
              <w:right w:val="single" w:sz="4" w:space="0" w:color="DDDDDD"/>
            </w:tcBorders>
            <w:shd w:val="clear" w:color="FFFFFF" w:fill="FFFFFF"/>
            <w:noWrap/>
            <w:vAlign w:val="bottom"/>
            <w:hideMark/>
          </w:tcPr>
          <w:p w14:paraId="5C6F8B1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EFCF-2021_PoC_Proceedings_A-Sessions_ConfVersion_s</w:t>
            </w:r>
          </w:p>
        </w:tc>
        <w:tc>
          <w:tcPr>
            <w:tcW w:w="0" w:type="auto"/>
            <w:tcBorders>
              <w:top w:val="nil"/>
              <w:left w:val="nil"/>
              <w:bottom w:val="single" w:sz="4" w:space="0" w:color="DDDDDD"/>
              <w:right w:val="single" w:sz="4" w:space="0" w:color="DDDDDD"/>
            </w:tcBorders>
            <w:shd w:val="clear" w:color="FFFFFF" w:fill="FFFFFF"/>
            <w:noWrap/>
            <w:vAlign w:val="bottom"/>
            <w:hideMark/>
          </w:tcPr>
          <w:p w14:paraId="3E386F5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European Fuel Cell Forum AG</w:t>
            </w:r>
          </w:p>
        </w:tc>
        <w:tc>
          <w:tcPr>
            <w:tcW w:w="0" w:type="auto"/>
            <w:tcBorders>
              <w:top w:val="nil"/>
              <w:left w:val="nil"/>
              <w:bottom w:val="single" w:sz="4" w:space="0" w:color="DDDDDD"/>
              <w:right w:val="single" w:sz="4" w:space="0" w:color="DDDDDD"/>
            </w:tcBorders>
            <w:shd w:val="clear" w:color="FFFFFF" w:fill="FFFFFF"/>
            <w:noWrap/>
            <w:vAlign w:val="bottom"/>
            <w:hideMark/>
          </w:tcPr>
          <w:p w14:paraId="1615137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Luzern-Adligenswil / Switzerland</w:t>
            </w:r>
          </w:p>
        </w:tc>
        <w:tc>
          <w:tcPr>
            <w:tcW w:w="0" w:type="auto"/>
            <w:tcBorders>
              <w:top w:val="nil"/>
              <w:left w:val="nil"/>
              <w:bottom w:val="single" w:sz="4" w:space="0" w:color="DDDDDD"/>
              <w:right w:val="single" w:sz="4" w:space="0" w:color="DDDDDD"/>
            </w:tcBorders>
            <w:shd w:val="clear" w:color="FFFFFF" w:fill="FFFFFF"/>
            <w:noWrap/>
            <w:vAlign w:val="bottom"/>
            <w:hideMark/>
          </w:tcPr>
          <w:p w14:paraId="41994793"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305BAFD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123-127</w:t>
            </w:r>
          </w:p>
        </w:tc>
        <w:tc>
          <w:tcPr>
            <w:tcW w:w="0" w:type="auto"/>
            <w:tcBorders>
              <w:top w:val="nil"/>
              <w:left w:val="nil"/>
              <w:bottom w:val="single" w:sz="4" w:space="0" w:color="DDDDDD"/>
              <w:right w:val="single" w:sz="4" w:space="0" w:color="DDDDDD"/>
            </w:tcBorders>
            <w:shd w:val="clear" w:color="FFFFFF" w:fill="FFFFFF"/>
            <w:noWrap/>
            <w:vAlign w:val="bottom"/>
            <w:hideMark/>
          </w:tcPr>
          <w:p w14:paraId="487591F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616E6A4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Yes</w:t>
            </w:r>
          </w:p>
        </w:tc>
        <w:tc>
          <w:tcPr>
            <w:tcW w:w="0" w:type="auto"/>
            <w:tcBorders>
              <w:top w:val="nil"/>
              <w:left w:val="nil"/>
              <w:bottom w:val="single" w:sz="4" w:space="0" w:color="DDDDDD"/>
              <w:right w:val="single" w:sz="4" w:space="0" w:color="DDDDDD"/>
            </w:tcBorders>
            <w:shd w:val="clear" w:color="FFFFFF" w:fill="FFFFFF"/>
            <w:noWrap/>
            <w:vAlign w:val="bottom"/>
            <w:hideMark/>
          </w:tcPr>
          <w:p w14:paraId="63F1128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www.Zenodo.org</w:t>
            </w:r>
          </w:p>
        </w:tc>
      </w:tr>
      <w:tr w:rsidR="00BD154D" w:rsidRPr="004535FA" w14:paraId="2192134F" w14:textId="77777777" w:rsidTr="00DF2591">
        <w:trPr>
          <w:trHeight w:val="330"/>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58087DE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CHANNEL</w:t>
            </w:r>
          </w:p>
        </w:tc>
        <w:tc>
          <w:tcPr>
            <w:tcW w:w="0" w:type="auto"/>
            <w:tcBorders>
              <w:top w:val="nil"/>
              <w:left w:val="nil"/>
              <w:bottom w:val="single" w:sz="4" w:space="0" w:color="DDDDDD"/>
              <w:right w:val="single" w:sz="4" w:space="0" w:color="DDDDDD"/>
            </w:tcBorders>
            <w:shd w:val="clear" w:color="FFFFFF" w:fill="FFFFFF"/>
            <w:noWrap/>
            <w:vAlign w:val="bottom"/>
            <w:hideMark/>
          </w:tcPr>
          <w:p w14:paraId="58D341B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vAlign w:val="bottom"/>
            <w:hideMark/>
          </w:tcPr>
          <w:p w14:paraId="3B8CDCC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Tuning Ni–MoO2 Catalyst–Ionomer and Electrolyte Interaction for Water Electrolyzers with Anion Exchange Membranes</w:t>
            </w:r>
          </w:p>
        </w:tc>
        <w:tc>
          <w:tcPr>
            <w:tcW w:w="0" w:type="auto"/>
            <w:tcBorders>
              <w:top w:val="nil"/>
              <w:left w:val="nil"/>
              <w:bottom w:val="single" w:sz="4" w:space="0" w:color="DDDDDD"/>
              <w:right w:val="single" w:sz="4" w:space="0" w:color="DDDDDD"/>
            </w:tcBorders>
            <w:shd w:val="clear" w:color="FFFFFF" w:fill="FFFFFF"/>
            <w:noWrap/>
            <w:vAlign w:val="bottom"/>
            <w:hideMark/>
          </w:tcPr>
          <w:p w14:paraId="25FF7DB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10.1021/acsaem.0c03072</w:t>
            </w:r>
          </w:p>
        </w:tc>
        <w:tc>
          <w:tcPr>
            <w:tcW w:w="0" w:type="auto"/>
            <w:tcBorders>
              <w:top w:val="nil"/>
              <w:left w:val="nil"/>
              <w:bottom w:val="single" w:sz="4" w:space="0" w:color="DDDDDD"/>
              <w:right w:val="single" w:sz="4" w:space="0" w:color="DDDDDD"/>
            </w:tcBorders>
            <w:shd w:val="clear" w:color="FFFFFF" w:fill="FFFFFF"/>
            <w:noWrap/>
            <w:vAlign w:val="bottom"/>
            <w:hideMark/>
          </w:tcPr>
          <w:p w14:paraId="558695C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25740962</w:t>
            </w:r>
          </w:p>
        </w:tc>
        <w:tc>
          <w:tcPr>
            <w:tcW w:w="0" w:type="auto"/>
            <w:tcBorders>
              <w:top w:val="nil"/>
              <w:left w:val="nil"/>
              <w:bottom w:val="single" w:sz="4" w:space="0" w:color="DDDDDD"/>
              <w:right w:val="single" w:sz="4" w:space="0" w:color="DDDDDD"/>
            </w:tcBorders>
            <w:shd w:val="clear" w:color="FFFFFF" w:fill="FFFFFF"/>
            <w:noWrap/>
            <w:vAlign w:val="bottom"/>
            <w:hideMark/>
          </w:tcPr>
          <w:p w14:paraId="272C7A9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Alaa Y. Faid, Alejandro Oyarce Barnett, Frode Seland, Svein Sunde</w:t>
            </w:r>
          </w:p>
        </w:tc>
        <w:tc>
          <w:tcPr>
            <w:tcW w:w="0" w:type="auto"/>
            <w:tcBorders>
              <w:top w:val="nil"/>
              <w:left w:val="nil"/>
              <w:bottom w:val="single" w:sz="4" w:space="0" w:color="DDDDDD"/>
              <w:right w:val="single" w:sz="4" w:space="0" w:color="DDDDDD"/>
            </w:tcBorders>
            <w:shd w:val="clear" w:color="FFFFFF" w:fill="FFFFFF"/>
            <w:noWrap/>
            <w:vAlign w:val="bottom"/>
            <w:hideMark/>
          </w:tcPr>
          <w:p w14:paraId="7066B18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ACS Applied Energy Materials</w:t>
            </w:r>
          </w:p>
        </w:tc>
        <w:tc>
          <w:tcPr>
            <w:tcW w:w="0" w:type="auto"/>
            <w:tcBorders>
              <w:top w:val="nil"/>
              <w:left w:val="nil"/>
              <w:bottom w:val="single" w:sz="4" w:space="0" w:color="DDDDDD"/>
              <w:right w:val="single" w:sz="4" w:space="0" w:color="DDDDDD"/>
            </w:tcBorders>
            <w:shd w:val="clear" w:color="FFFFFF" w:fill="FFFFFF"/>
            <w:noWrap/>
            <w:vAlign w:val="bottom"/>
            <w:hideMark/>
          </w:tcPr>
          <w:p w14:paraId="2EB5E30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4/4</w:t>
            </w:r>
          </w:p>
        </w:tc>
        <w:tc>
          <w:tcPr>
            <w:tcW w:w="0" w:type="auto"/>
            <w:tcBorders>
              <w:top w:val="nil"/>
              <w:left w:val="nil"/>
              <w:bottom w:val="single" w:sz="4" w:space="0" w:color="DDDDDD"/>
              <w:right w:val="single" w:sz="4" w:space="0" w:color="DDDDDD"/>
            </w:tcBorders>
            <w:shd w:val="clear" w:color="FFFFFF" w:fill="FFFFFF"/>
            <w:noWrap/>
            <w:vAlign w:val="bottom"/>
            <w:hideMark/>
          </w:tcPr>
          <w:p w14:paraId="12D48DE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ACS Publications American Chemical Society</w:t>
            </w:r>
          </w:p>
        </w:tc>
        <w:tc>
          <w:tcPr>
            <w:tcW w:w="0" w:type="auto"/>
            <w:tcBorders>
              <w:top w:val="nil"/>
              <w:left w:val="nil"/>
              <w:bottom w:val="single" w:sz="4" w:space="0" w:color="DDDDDD"/>
              <w:right w:val="single" w:sz="4" w:space="0" w:color="DDDDDD"/>
            </w:tcBorders>
            <w:shd w:val="clear" w:color="FFFFFF" w:fill="FFFFFF"/>
            <w:noWrap/>
            <w:vAlign w:val="bottom"/>
            <w:hideMark/>
          </w:tcPr>
          <w:p w14:paraId="7F543CB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Washington, USA</w:t>
            </w:r>
          </w:p>
        </w:tc>
        <w:tc>
          <w:tcPr>
            <w:tcW w:w="0" w:type="auto"/>
            <w:tcBorders>
              <w:top w:val="nil"/>
              <w:left w:val="nil"/>
              <w:bottom w:val="single" w:sz="4" w:space="0" w:color="DDDDDD"/>
              <w:right w:val="single" w:sz="4" w:space="0" w:color="DDDDDD"/>
            </w:tcBorders>
            <w:shd w:val="clear" w:color="FFFFFF" w:fill="FFFFFF"/>
            <w:noWrap/>
            <w:vAlign w:val="bottom"/>
            <w:hideMark/>
          </w:tcPr>
          <w:p w14:paraId="5DA93C79"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4081D6A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3327-3340</w:t>
            </w:r>
          </w:p>
        </w:tc>
        <w:tc>
          <w:tcPr>
            <w:tcW w:w="0" w:type="auto"/>
            <w:tcBorders>
              <w:top w:val="nil"/>
              <w:left w:val="nil"/>
              <w:bottom w:val="single" w:sz="4" w:space="0" w:color="DDDDDD"/>
              <w:right w:val="single" w:sz="4" w:space="0" w:color="DDDDDD"/>
            </w:tcBorders>
            <w:shd w:val="clear" w:color="FFFFFF" w:fill="FFFFFF"/>
            <w:noWrap/>
            <w:vAlign w:val="bottom"/>
            <w:hideMark/>
          </w:tcPr>
          <w:p w14:paraId="5013D52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Yes</w:t>
            </w:r>
          </w:p>
        </w:tc>
        <w:tc>
          <w:tcPr>
            <w:tcW w:w="0" w:type="auto"/>
            <w:tcBorders>
              <w:top w:val="nil"/>
              <w:left w:val="nil"/>
              <w:bottom w:val="single" w:sz="4" w:space="0" w:color="DDDDDD"/>
              <w:right w:val="single" w:sz="4" w:space="0" w:color="DDDDDD"/>
            </w:tcBorders>
            <w:shd w:val="clear" w:color="FFFFFF" w:fill="FFFFFF"/>
            <w:noWrap/>
            <w:vAlign w:val="bottom"/>
            <w:hideMark/>
          </w:tcPr>
          <w:p w14:paraId="23E5EE6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46F78AB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r>
      <w:tr w:rsidR="00BD154D" w:rsidRPr="004535FA" w14:paraId="3B7DD32F"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7BFB7C5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ComSos</w:t>
            </w:r>
          </w:p>
        </w:tc>
        <w:tc>
          <w:tcPr>
            <w:tcW w:w="0" w:type="auto"/>
            <w:tcBorders>
              <w:top w:val="nil"/>
              <w:left w:val="nil"/>
              <w:bottom w:val="single" w:sz="4" w:space="0" w:color="DDDDDD"/>
              <w:right w:val="single" w:sz="4" w:space="0" w:color="DDDDDD"/>
            </w:tcBorders>
            <w:shd w:val="clear" w:color="FFFFFF" w:fill="FFFFFF"/>
            <w:noWrap/>
            <w:vAlign w:val="bottom"/>
            <w:hideMark/>
          </w:tcPr>
          <w:p w14:paraId="79DDE9B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515D43F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Fuel cell cogeneration for building sector: European status</w:t>
            </w:r>
          </w:p>
        </w:tc>
        <w:tc>
          <w:tcPr>
            <w:tcW w:w="0" w:type="auto"/>
            <w:tcBorders>
              <w:top w:val="nil"/>
              <w:left w:val="nil"/>
              <w:bottom w:val="single" w:sz="4" w:space="0" w:color="DDDDDD"/>
              <w:right w:val="single" w:sz="4" w:space="0" w:color="DDDDDD"/>
            </w:tcBorders>
            <w:shd w:val="clear" w:color="FFFFFF" w:fill="FFFFFF"/>
            <w:noWrap/>
            <w:vAlign w:val="bottom"/>
            <w:hideMark/>
          </w:tcPr>
          <w:p w14:paraId="020627A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412B732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1307-3729</w:t>
            </w:r>
          </w:p>
        </w:tc>
        <w:tc>
          <w:tcPr>
            <w:tcW w:w="0" w:type="auto"/>
            <w:tcBorders>
              <w:top w:val="nil"/>
              <w:left w:val="nil"/>
              <w:bottom w:val="single" w:sz="4" w:space="0" w:color="DDDDDD"/>
              <w:right w:val="single" w:sz="4" w:space="0" w:color="DDDDDD"/>
            </w:tcBorders>
            <w:shd w:val="clear" w:color="FFFFFF" w:fill="FFFFFF"/>
            <w:noWrap/>
            <w:vAlign w:val="bottom"/>
            <w:hideMark/>
          </w:tcPr>
          <w:p w14:paraId="3AEE72D2" w14:textId="77777777" w:rsidR="00BD154D" w:rsidRPr="00A60794" w:rsidRDefault="00BD154D" w:rsidP="00DF2591">
            <w:pPr>
              <w:spacing w:after="0" w:line="240" w:lineRule="auto"/>
              <w:rPr>
                <w:rFonts w:ascii="Arial" w:eastAsia="Times New Roman" w:hAnsi="Arial" w:cs="Arial"/>
                <w:color w:val="333333"/>
                <w:sz w:val="12"/>
                <w:szCs w:val="12"/>
                <w:lang w:val="es-ES" w:eastAsia="en-GB"/>
              </w:rPr>
            </w:pPr>
            <w:r w:rsidRPr="00A60794">
              <w:rPr>
                <w:rFonts w:ascii="Arial" w:eastAsia="Times New Roman" w:hAnsi="Arial" w:cs="Arial"/>
                <w:color w:val="333333"/>
                <w:sz w:val="12"/>
                <w:szCs w:val="12"/>
                <w:lang w:val="es-ES" w:eastAsia="en-GB"/>
              </w:rPr>
              <w:t>Marta Gandiglio, Domenico Ferrero, Andrea Lanzini, Massimo Santarelli</w:t>
            </w:r>
          </w:p>
        </w:tc>
        <w:tc>
          <w:tcPr>
            <w:tcW w:w="0" w:type="auto"/>
            <w:tcBorders>
              <w:top w:val="nil"/>
              <w:left w:val="nil"/>
              <w:bottom w:val="single" w:sz="4" w:space="0" w:color="DDDDDD"/>
              <w:right w:val="single" w:sz="4" w:space="0" w:color="DDDDDD"/>
            </w:tcBorders>
            <w:shd w:val="clear" w:color="FFFFFF" w:fill="FFFFFF"/>
            <w:noWrap/>
            <w:vAlign w:val="bottom"/>
            <w:hideMark/>
          </w:tcPr>
          <w:p w14:paraId="68B7BB3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REHVA Journal (REHVA is the Federation of European Heating, Ventilation and Air Conditioning)</w:t>
            </w:r>
          </w:p>
        </w:tc>
        <w:tc>
          <w:tcPr>
            <w:tcW w:w="0" w:type="auto"/>
            <w:tcBorders>
              <w:top w:val="nil"/>
              <w:left w:val="nil"/>
              <w:bottom w:val="single" w:sz="4" w:space="0" w:color="DDDDDD"/>
              <w:right w:val="single" w:sz="4" w:space="0" w:color="DDDDDD"/>
            </w:tcBorders>
            <w:shd w:val="clear" w:color="FFFFFF" w:fill="FFFFFF"/>
            <w:noWrap/>
            <w:vAlign w:val="bottom"/>
            <w:hideMark/>
          </w:tcPr>
          <w:p w14:paraId="6B96913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01/2020 (Volume: 57 Issue: 1 February 2020)</w:t>
            </w:r>
          </w:p>
        </w:tc>
        <w:tc>
          <w:tcPr>
            <w:tcW w:w="0" w:type="auto"/>
            <w:tcBorders>
              <w:top w:val="nil"/>
              <w:left w:val="nil"/>
              <w:bottom w:val="single" w:sz="4" w:space="0" w:color="DDDDDD"/>
              <w:right w:val="single" w:sz="4" w:space="0" w:color="DDDDDD"/>
            </w:tcBorders>
            <w:shd w:val="clear" w:color="FFFFFF" w:fill="FFFFFF"/>
            <w:noWrap/>
            <w:vAlign w:val="bottom"/>
            <w:hideMark/>
          </w:tcPr>
          <w:p w14:paraId="0A4DA91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xml:space="preserve">Publisher TEKNİK SEKTÖR YAYINCILIĞI </w:t>
            </w:r>
            <w:proofErr w:type="gramStart"/>
            <w:r w:rsidRPr="00F07F7C">
              <w:rPr>
                <w:rFonts w:ascii="Arial" w:eastAsia="Times New Roman" w:hAnsi="Arial" w:cs="Arial"/>
                <w:color w:val="333333"/>
                <w:sz w:val="12"/>
                <w:szCs w:val="12"/>
                <w:lang w:eastAsia="en-GB"/>
              </w:rPr>
              <w:t>A.Ş</w:t>
            </w:r>
            <w:proofErr w:type="gramEnd"/>
          </w:p>
        </w:tc>
        <w:tc>
          <w:tcPr>
            <w:tcW w:w="0" w:type="auto"/>
            <w:tcBorders>
              <w:top w:val="nil"/>
              <w:left w:val="nil"/>
              <w:bottom w:val="single" w:sz="4" w:space="0" w:color="DDDDDD"/>
              <w:right w:val="single" w:sz="4" w:space="0" w:color="DDDDDD"/>
            </w:tcBorders>
            <w:shd w:val="clear" w:color="FFFFFF" w:fill="FFFFFF"/>
            <w:noWrap/>
            <w:vAlign w:val="bottom"/>
            <w:hideMark/>
          </w:tcPr>
          <w:p w14:paraId="605CEDE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Barbaros Mahallesi, Uğur Sk. No: 2/2 Üsküdar/İstanbul, Turkey</w:t>
            </w:r>
          </w:p>
        </w:tc>
        <w:tc>
          <w:tcPr>
            <w:tcW w:w="0" w:type="auto"/>
            <w:tcBorders>
              <w:top w:val="nil"/>
              <w:left w:val="nil"/>
              <w:bottom w:val="single" w:sz="4" w:space="0" w:color="DDDDDD"/>
              <w:right w:val="single" w:sz="4" w:space="0" w:color="DDDDDD"/>
            </w:tcBorders>
            <w:shd w:val="clear" w:color="FFFFFF" w:fill="FFFFFF"/>
            <w:noWrap/>
            <w:vAlign w:val="bottom"/>
            <w:hideMark/>
          </w:tcPr>
          <w:p w14:paraId="681EF414"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2020</w:t>
            </w:r>
          </w:p>
        </w:tc>
        <w:tc>
          <w:tcPr>
            <w:tcW w:w="0" w:type="auto"/>
            <w:tcBorders>
              <w:top w:val="nil"/>
              <w:left w:val="nil"/>
              <w:bottom w:val="single" w:sz="4" w:space="0" w:color="DDDDDD"/>
              <w:right w:val="single" w:sz="4" w:space="0" w:color="DDDDDD"/>
            </w:tcBorders>
            <w:shd w:val="clear" w:color="FFFFFF" w:fill="FFFFFF"/>
            <w:noWrap/>
            <w:vAlign w:val="bottom"/>
            <w:hideMark/>
          </w:tcPr>
          <w:p w14:paraId="0686A29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Pages 21-25</w:t>
            </w:r>
          </w:p>
        </w:tc>
        <w:tc>
          <w:tcPr>
            <w:tcW w:w="0" w:type="auto"/>
            <w:tcBorders>
              <w:top w:val="nil"/>
              <w:left w:val="nil"/>
              <w:bottom w:val="single" w:sz="4" w:space="0" w:color="DDDDDD"/>
              <w:right w:val="single" w:sz="4" w:space="0" w:color="DDDDDD"/>
            </w:tcBorders>
            <w:shd w:val="clear" w:color="FFFFFF" w:fill="FFFFFF"/>
            <w:noWrap/>
            <w:vAlign w:val="bottom"/>
            <w:hideMark/>
          </w:tcPr>
          <w:p w14:paraId="761785D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7F75876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5AD86A9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r>
      <w:tr w:rsidR="00BD154D" w:rsidRPr="004535FA" w14:paraId="2A16CBB5"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651B91F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ComSos</w:t>
            </w:r>
          </w:p>
        </w:tc>
        <w:tc>
          <w:tcPr>
            <w:tcW w:w="0" w:type="auto"/>
            <w:tcBorders>
              <w:top w:val="nil"/>
              <w:left w:val="nil"/>
              <w:bottom w:val="single" w:sz="4" w:space="0" w:color="DDDDDD"/>
              <w:right w:val="single" w:sz="4" w:space="0" w:color="DDDDDD"/>
            </w:tcBorders>
            <w:shd w:val="clear" w:color="FFFFFF" w:fill="FFFFFF"/>
            <w:noWrap/>
            <w:vAlign w:val="bottom"/>
            <w:hideMark/>
          </w:tcPr>
          <w:p w14:paraId="6DBC373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689EAAB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Installation of fuel cell-based cogeneration systems in the commercial and retail sector: Assessment in the framework of the COMSOS project</w:t>
            </w:r>
          </w:p>
        </w:tc>
        <w:tc>
          <w:tcPr>
            <w:tcW w:w="0" w:type="auto"/>
            <w:tcBorders>
              <w:top w:val="nil"/>
              <w:left w:val="nil"/>
              <w:bottom w:val="single" w:sz="4" w:space="0" w:color="DDDDDD"/>
              <w:right w:val="single" w:sz="4" w:space="0" w:color="DDDDDD"/>
            </w:tcBorders>
            <w:shd w:val="clear" w:color="FFFFFF" w:fill="FFFFFF"/>
            <w:noWrap/>
            <w:vAlign w:val="bottom"/>
            <w:hideMark/>
          </w:tcPr>
          <w:p w14:paraId="2A0927B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10.1016/j.enconman.2021.114202</w:t>
            </w:r>
          </w:p>
        </w:tc>
        <w:tc>
          <w:tcPr>
            <w:tcW w:w="0" w:type="auto"/>
            <w:tcBorders>
              <w:top w:val="nil"/>
              <w:left w:val="nil"/>
              <w:bottom w:val="single" w:sz="4" w:space="0" w:color="DDDDDD"/>
              <w:right w:val="single" w:sz="4" w:space="0" w:color="DDDDDD"/>
            </w:tcBorders>
            <w:shd w:val="clear" w:color="FFFFFF" w:fill="FFFFFF"/>
            <w:noWrap/>
            <w:vAlign w:val="bottom"/>
            <w:hideMark/>
          </w:tcPr>
          <w:p w14:paraId="3C46935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01968904</w:t>
            </w:r>
          </w:p>
        </w:tc>
        <w:tc>
          <w:tcPr>
            <w:tcW w:w="0" w:type="auto"/>
            <w:tcBorders>
              <w:top w:val="nil"/>
              <w:left w:val="nil"/>
              <w:bottom w:val="single" w:sz="4" w:space="0" w:color="DDDDDD"/>
              <w:right w:val="single" w:sz="4" w:space="0" w:color="DDDDDD"/>
            </w:tcBorders>
            <w:shd w:val="clear" w:color="FFFFFF" w:fill="FFFFFF"/>
            <w:noWrap/>
            <w:vAlign w:val="bottom"/>
            <w:hideMark/>
          </w:tcPr>
          <w:p w14:paraId="7A9053D6" w14:textId="77777777" w:rsidR="00BD154D" w:rsidRPr="00A60794" w:rsidRDefault="00BD154D" w:rsidP="00DF2591">
            <w:pPr>
              <w:spacing w:after="0" w:line="240" w:lineRule="auto"/>
              <w:rPr>
                <w:rFonts w:ascii="Arial" w:eastAsia="Times New Roman" w:hAnsi="Arial" w:cs="Arial"/>
                <w:color w:val="333333"/>
                <w:sz w:val="12"/>
                <w:szCs w:val="12"/>
                <w:lang w:val="es-ES" w:eastAsia="en-GB"/>
              </w:rPr>
            </w:pPr>
            <w:r w:rsidRPr="00A60794">
              <w:rPr>
                <w:rFonts w:ascii="Arial" w:eastAsia="Times New Roman" w:hAnsi="Arial" w:cs="Arial"/>
                <w:color w:val="333333"/>
                <w:sz w:val="12"/>
                <w:szCs w:val="12"/>
                <w:lang w:val="es-ES" w:eastAsia="en-GB"/>
              </w:rPr>
              <w:t>F. Accurso, M. Gandiglio, M. Santarelli, J Buunk, T. Hakala, J. Kiviaho, S. Modena, M. Münch, E. Varkaraki</w:t>
            </w:r>
          </w:p>
        </w:tc>
        <w:tc>
          <w:tcPr>
            <w:tcW w:w="0" w:type="auto"/>
            <w:tcBorders>
              <w:top w:val="nil"/>
              <w:left w:val="nil"/>
              <w:bottom w:val="single" w:sz="4" w:space="0" w:color="DDDDDD"/>
              <w:right w:val="single" w:sz="4" w:space="0" w:color="DDDDDD"/>
            </w:tcBorders>
            <w:shd w:val="clear" w:color="FFFFFF" w:fill="FFFFFF"/>
            <w:noWrap/>
            <w:vAlign w:val="bottom"/>
            <w:hideMark/>
          </w:tcPr>
          <w:p w14:paraId="0DED3F0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Energy Conversion and Management</w:t>
            </w:r>
          </w:p>
        </w:tc>
        <w:tc>
          <w:tcPr>
            <w:tcW w:w="0" w:type="auto"/>
            <w:tcBorders>
              <w:top w:val="nil"/>
              <w:left w:val="nil"/>
              <w:bottom w:val="single" w:sz="4" w:space="0" w:color="DDDDDD"/>
              <w:right w:val="single" w:sz="4" w:space="0" w:color="DDDDDD"/>
            </w:tcBorders>
            <w:shd w:val="clear" w:color="FFFFFF" w:fill="FFFFFF"/>
            <w:noWrap/>
            <w:vAlign w:val="bottom"/>
            <w:hideMark/>
          </w:tcPr>
          <w:p w14:paraId="6197431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239</w:t>
            </w:r>
          </w:p>
        </w:tc>
        <w:tc>
          <w:tcPr>
            <w:tcW w:w="0" w:type="auto"/>
            <w:tcBorders>
              <w:top w:val="nil"/>
              <w:left w:val="nil"/>
              <w:bottom w:val="single" w:sz="4" w:space="0" w:color="DDDDDD"/>
              <w:right w:val="single" w:sz="4" w:space="0" w:color="DDDDDD"/>
            </w:tcBorders>
            <w:shd w:val="clear" w:color="FFFFFF" w:fill="FFFFFF"/>
            <w:noWrap/>
            <w:vAlign w:val="bottom"/>
            <w:hideMark/>
          </w:tcPr>
          <w:p w14:paraId="02F66E0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Pergamon Press Ltd.</w:t>
            </w:r>
          </w:p>
        </w:tc>
        <w:tc>
          <w:tcPr>
            <w:tcW w:w="0" w:type="auto"/>
            <w:tcBorders>
              <w:top w:val="nil"/>
              <w:left w:val="nil"/>
              <w:bottom w:val="single" w:sz="4" w:space="0" w:color="DDDDDD"/>
              <w:right w:val="single" w:sz="4" w:space="0" w:color="DDDDDD"/>
            </w:tcBorders>
            <w:shd w:val="clear" w:color="FFFFFF" w:fill="FFFFFF"/>
            <w:noWrap/>
            <w:vAlign w:val="bottom"/>
            <w:hideMark/>
          </w:tcPr>
          <w:p w14:paraId="42E7C8C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United Kingdom</w:t>
            </w:r>
          </w:p>
        </w:tc>
        <w:tc>
          <w:tcPr>
            <w:tcW w:w="0" w:type="auto"/>
            <w:tcBorders>
              <w:top w:val="nil"/>
              <w:left w:val="nil"/>
              <w:bottom w:val="single" w:sz="4" w:space="0" w:color="DDDDDD"/>
              <w:right w:val="single" w:sz="4" w:space="0" w:color="DDDDDD"/>
            </w:tcBorders>
            <w:shd w:val="clear" w:color="FFFFFF" w:fill="FFFFFF"/>
            <w:noWrap/>
            <w:vAlign w:val="bottom"/>
            <w:hideMark/>
          </w:tcPr>
          <w:p w14:paraId="510D4F29"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06A2A77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114202</w:t>
            </w:r>
          </w:p>
        </w:tc>
        <w:tc>
          <w:tcPr>
            <w:tcW w:w="0" w:type="auto"/>
            <w:tcBorders>
              <w:top w:val="nil"/>
              <w:left w:val="nil"/>
              <w:bottom w:val="single" w:sz="4" w:space="0" w:color="DDDDDD"/>
              <w:right w:val="single" w:sz="4" w:space="0" w:color="DDDDDD"/>
            </w:tcBorders>
            <w:shd w:val="clear" w:color="FFFFFF" w:fill="FFFFFF"/>
            <w:noWrap/>
            <w:vAlign w:val="bottom"/>
            <w:hideMark/>
          </w:tcPr>
          <w:p w14:paraId="28FF7CB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Yes</w:t>
            </w:r>
          </w:p>
        </w:tc>
        <w:tc>
          <w:tcPr>
            <w:tcW w:w="0" w:type="auto"/>
            <w:tcBorders>
              <w:top w:val="nil"/>
              <w:left w:val="nil"/>
              <w:bottom w:val="single" w:sz="4" w:space="0" w:color="DDDDDD"/>
              <w:right w:val="single" w:sz="4" w:space="0" w:color="DDDDDD"/>
            </w:tcBorders>
            <w:shd w:val="clear" w:color="FFFFFF" w:fill="FFFFFF"/>
            <w:noWrap/>
            <w:vAlign w:val="bottom"/>
            <w:hideMark/>
          </w:tcPr>
          <w:p w14:paraId="6C5F3A7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1C52A87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http://hdl.handle.net/11583/2899252</w:t>
            </w:r>
          </w:p>
        </w:tc>
      </w:tr>
      <w:tr w:rsidR="00BD154D" w:rsidRPr="004535FA" w14:paraId="7AC51263"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4791A1B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COSMHYC XL</w:t>
            </w:r>
          </w:p>
        </w:tc>
        <w:tc>
          <w:tcPr>
            <w:tcW w:w="0" w:type="auto"/>
            <w:tcBorders>
              <w:top w:val="nil"/>
              <w:left w:val="nil"/>
              <w:bottom w:val="single" w:sz="4" w:space="0" w:color="DDDDDD"/>
              <w:right w:val="single" w:sz="4" w:space="0" w:color="DDDDDD"/>
            </w:tcBorders>
            <w:shd w:val="clear" w:color="FFFFFF" w:fill="FFFFFF"/>
            <w:noWrap/>
            <w:vAlign w:val="bottom"/>
            <w:hideMark/>
          </w:tcPr>
          <w:p w14:paraId="38F6B85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6C0A8B9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Hydrogen Compression with Metal Hydrides - Novel compression concept for hydrogen refueling stations based on metal hydrides</w:t>
            </w:r>
          </w:p>
        </w:tc>
        <w:tc>
          <w:tcPr>
            <w:tcW w:w="0" w:type="auto"/>
            <w:tcBorders>
              <w:top w:val="nil"/>
              <w:left w:val="nil"/>
              <w:bottom w:val="single" w:sz="4" w:space="0" w:color="DDDDDD"/>
              <w:right w:val="single" w:sz="4" w:space="0" w:color="DDDDDD"/>
            </w:tcBorders>
            <w:shd w:val="clear" w:color="FFFFFF" w:fill="FFFFFF"/>
            <w:noWrap/>
            <w:vAlign w:val="bottom"/>
            <w:hideMark/>
          </w:tcPr>
          <w:p w14:paraId="6B9908B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68F0935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2367-3931</w:t>
            </w:r>
          </w:p>
        </w:tc>
        <w:tc>
          <w:tcPr>
            <w:tcW w:w="0" w:type="auto"/>
            <w:tcBorders>
              <w:top w:val="nil"/>
              <w:left w:val="nil"/>
              <w:bottom w:val="single" w:sz="4" w:space="0" w:color="DDDDDD"/>
              <w:right w:val="single" w:sz="4" w:space="0" w:color="DDDDDD"/>
            </w:tcBorders>
            <w:shd w:val="clear" w:color="FFFFFF" w:fill="FFFFFF"/>
            <w:noWrap/>
            <w:vAlign w:val="bottom"/>
            <w:hideMark/>
          </w:tcPr>
          <w:p w14:paraId="7050A33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Jan Zerhusen</w:t>
            </w:r>
          </w:p>
        </w:tc>
        <w:tc>
          <w:tcPr>
            <w:tcW w:w="0" w:type="auto"/>
            <w:tcBorders>
              <w:top w:val="nil"/>
              <w:left w:val="nil"/>
              <w:bottom w:val="single" w:sz="4" w:space="0" w:color="DDDDDD"/>
              <w:right w:val="single" w:sz="4" w:space="0" w:color="DDDDDD"/>
            </w:tcBorders>
            <w:shd w:val="clear" w:color="FFFFFF" w:fill="FFFFFF"/>
            <w:noWrap/>
            <w:vAlign w:val="bottom"/>
            <w:hideMark/>
          </w:tcPr>
          <w:p w14:paraId="6091E9B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H2international - The e-journal on hydrogen and fuel cells</w:t>
            </w:r>
          </w:p>
        </w:tc>
        <w:tc>
          <w:tcPr>
            <w:tcW w:w="0" w:type="auto"/>
            <w:tcBorders>
              <w:top w:val="nil"/>
              <w:left w:val="nil"/>
              <w:bottom w:val="single" w:sz="4" w:space="0" w:color="DDDDDD"/>
              <w:right w:val="single" w:sz="4" w:space="0" w:color="DDDDDD"/>
            </w:tcBorders>
            <w:shd w:val="clear" w:color="FFFFFF" w:fill="FFFFFF"/>
            <w:noWrap/>
            <w:vAlign w:val="bottom"/>
            <w:hideMark/>
          </w:tcPr>
          <w:p w14:paraId="58C0EE9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04</w:t>
            </w:r>
          </w:p>
        </w:tc>
        <w:tc>
          <w:tcPr>
            <w:tcW w:w="0" w:type="auto"/>
            <w:tcBorders>
              <w:top w:val="nil"/>
              <w:left w:val="nil"/>
              <w:bottom w:val="single" w:sz="4" w:space="0" w:color="DDDDDD"/>
              <w:right w:val="single" w:sz="4" w:space="0" w:color="DDDDDD"/>
            </w:tcBorders>
            <w:shd w:val="clear" w:color="FFFFFF" w:fill="FFFFFF"/>
            <w:noWrap/>
            <w:vAlign w:val="bottom"/>
            <w:hideMark/>
          </w:tcPr>
          <w:p w14:paraId="7C8D3AF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Hydrogeit Verlag</w:t>
            </w:r>
          </w:p>
        </w:tc>
        <w:tc>
          <w:tcPr>
            <w:tcW w:w="0" w:type="auto"/>
            <w:tcBorders>
              <w:top w:val="nil"/>
              <w:left w:val="nil"/>
              <w:bottom w:val="single" w:sz="4" w:space="0" w:color="DDDDDD"/>
              <w:right w:val="single" w:sz="4" w:space="0" w:color="DDDDDD"/>
            </w:tcBorders>
            <w:shd w:val="clear" w:color="FFFFFF" w:fill="FFFFFF"/>
            <w:noWrap/>
            <w:vAlign w:val="bottom"/>
            <w:hideMark/>
          </w:tcPr>
          <w:p w14:paraId="511D07F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Oberkraemer, Germany</w:t>
            </w:r>
          </w:p>
        </w:tc>
        <w:tc>
          <w:tcPr>
            <w:tcW w:w="0" w:type="auto"/>
            <w:tcBorders>
              <w:top w:val="nil"/>
              <w:left w:val="nil"/>
              <w:bottom w:val="single" w:sz="4" w:space="0" w:color="DDDDDD"/>
              <w:right w:val="single" w:sz="4" w:space="0" w:color="DDDDDD"/>
            </w:tcBorders>
            <w:shd w:val="clear" w:color="FFFFFF" w:fill="FFFFFF"/>
            <w:noWrap/>
            <w:vAlign w:val="bottom"/>
            <w:hideMark/>
          </w:tcPr>
          <w:p w14:paraId="61C6E1D9"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25D3233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34-36</w:t>
            </w:r>
          </w:p>
        </w:tc>
        <w:tc>
          <w:tcPr>
            <w:tcW w:w="0" w:type="auto"/>
            <w:tcBorders>
              <w:top w:val="nil"/>
              <w:left w:val="nil"/>
              <w:bottom w:val="single" w:sz="4" w:space="0" w:color="DDDDDD"/>
              <w:right w:val="single" w:sz="4" w:space="0" w:color="DDDDDD"/>
            </w:tcBorders>
            <w:shd w:val="clear" w:color="FFFFFF" w:fill="FFFFFF"/>
            <w:noWrap/>
            <w:vAlign w:val="bottom"/>
            <w:hideMark/>
          </w:tcPr>
          <w:p w14:paraId="2FFBBA1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671F09E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2CCACA7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r>
      <w:tr w:rsidR="00BD154D" w:rsidRPr="004535FA" w14:paraId="6ABA92EA" w14:textId="77777777" w:rsidTr="00DF2591">
        <w:trPr>
          <w:trHeight w:val="480"/>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755F48C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CRE</w:t>
            </w:r>
            <w:r w:rsidRPr="00F07F7C">
              <w:rPr>
                <w:rFonts w:ascii="Arial" w:eastAsia="Times New Roman" w:hAnsi="Arial" w:cs="Arial"/>
                <w:color w:val="333333"/>
                <w:sz w:val="12"/>
                <w:szCs w:val="12"/>
                <w:lang w:eastAsia="en-GB"/>
              </w:rPr>
              <w:lastRenderedPageBreak/>
              <w:t>SCENDO</w:t>
            </w:r>
          </w:p>
        </w:tc>
        <w:tc>
          <w:tcPr>
            <w:tcW w:w="0" w:type="auto"/>
            <w:tcBorders>
              <w:top w:val="nil"/>
              <w:left w:val="nil"/>
              <w:bottom w:val="single" w:sz="4" w:space="0" w:color="DDDDDD"/>
              <w:right w:val="single" w:sz="4" w:space="0" w:color="DDDDDD"/>
            </w:tcBorders>
            <w:shd w:val="clear" w:color="FFFFFF" w:fill="FFFFFF"/>
            <w:noWrap/>
            <w:vAlign w:val="bottom"/>
            <w:hideMark/>
          </w:tcPr>
          <w:p w14:paraId="63784BB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lastRenderedPageBreak/>
              <w:t>PEER_REVI</w:t>
            </w:r>
            <w:r w:rsidRPr="00F07F7C">
              <w:rPr>
                <w:rFonts w:ascii="Arial" w:eastAsia="Times New Roman" w:hAnsi="Arial" w:cs="Arial"/>
                <w:color w:val="333333"/>
                <w:sz w:val="12"/>
                <w:szCs w:val="12"/>
                <w:lang w:eastAsia="en-GB"/>
              </w:rPr>
              <w:lastRenderedPageBreak/>
              <w:t>EWED_ARTICLE</w:t>
            </w:r>
          </w:p>
        </w:tc>
        <w:tc>
          <w:tcPr>
            <w:tcW w:w="0" w:type="auto"/>
            <w:tcBorders>
              <w:top w:val="nil"/>
              <w:left w:val="nil"/>
              <w:bottom w:val="single" w:sz="4" w:space="0" w:color="DDDDDD"/>
              <w:right w:val="single" w:sz="4" w:space="0" w:color="DDDDDD"/>
            </w:tcBorders>
            <w:shd w:val="clear" w:color="FFFFFF" w:fill="FFFFFF"/>
            <w:vAlign w:val="bottom"/>
            <w:hideMark/>
          </w:tcPr>
          <w:p w14:paraId="18FD9FB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lastRenderedPageBreak/>
              <w:t xml:space="preserve">A comparative perspective of electrochemical and </w:t>
            </w:r>
            <w:r w:rsidRPr="00F07F7C">
              <w:rPr>
                <w:rFonts w:ascii="Arial" w:eastAsia="Times New Roman" w:hAnsi="Arial" w:cs="Arial"/>
                <w:color w:val="333333"/>
                <w:sz w:val="12"/>
                <w:szCs w:val="12"/>
                <w:lang w:eastAsia="en-GB"/>
              </w:rPr>
              <w:lastRenderedPageBreak/>
              <w:t>photochemical approaches for catalytic H2O2 production</w:t>
            </w:r>
          </w:p>
        </w:tc>
        <w:tc>
          <w:tcPr>
            <w:tcW w:w="0" w:type="auto"/>
            <w:tcBorders>
              <w:top w:val="nil"/>
              <w:left w:val="nil"/>
              <w:bottom w:val="single" w:sz="4" w:space="0" w:color="DDDDDD"/>
              <w:right w:val="single" w:sz="4" w:space="0" w:color="DDDDDD"/>
            </w:tcBorders>
            <w:shd w:val="clear" w:color="FFFFFF" w:fill="FFFFFF"/>
            <w:noWrap/>
            <w:vAlign w:val="bottom"/>
            <w:hideMark/>
          </w:tcPr>
          <w:p w14:paraId="54E43EF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lastRenderedPageBreak/>
              <w:t>10.1039/d0</w:t>
            </w:r>
            <w:r w:rsidRPr="00F07F7C">
              <w:rPr>
                <w:rFonts w:ascii="Arial" w:eastAsia="Times New Roman" w:hAnsi="Arial" w:cs="Arial"/>
                <w:color w:val="333333"/>
                <w:sz w:val="12"/>
                <w:szCs w:val="12"/>
                <w:lang w:eastAsia="en-GB"/>
              </w:rPr>
              <w:lastRenderedPageBreak/>
              <w:t>cs00458h</w:t>
            </w:r>
          </w:p>
        </w:tc>
        <w:tc>
          <w:tcPr>
            <w:tcW w:w="0" w:type="auto"/>
            <w:tcBorders>
              <w:top w:val="nil"/>
              <w:left w:val="nil"/>
              <w:bottom w:val="single" w:sz="4" w:space="0" w:color="DDDDDD"/>
              <w:right w:val="single" w:sz="4" w:space="0" w:color="DDDDDD"/>
            </w:tcBorders>
            <w:shd w:val="clear" w:color="FFFFFF" w:fill="FFFFFF"/>
            <w:noWrap/>
            <w:vAlign w:val="bottom"/>
            <w:hideMark/>
          </w:tcPr>
          <w:p w14:paraId="534F5DC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lastRenderedPageBreak/>
              <w:t>0306</w:t>
            </w:r>
            <w:r w:rsidRPr="00F07F7C">
              <w:rPr>
                <w:rFonts w:ascii="Arial" w:eastAsia="Times New Roman" w:hAnsi="Arial" w:cs="Arial"/>
                <w:color w:val="333333"/>
                <w:sz w:val="12"/>
                <w:szCs w:val="12"/>
                <w:lang w:eastAsia="en-GB"/>
              </w:rPr>
              <w:lastRenderedPageBreak/>
              <w:t>0012</w:t>
            </w:r>
          </w:p>
        </w:tc>
        <w:tc>
          <w:tcPr>
            <w:tcW w:w="0" w:type="auto"/>
            <w:tcBorders>
              <w:top w:val="nil"/>
              <w:left w:val="nil"/>
              <w:bottom w:val="single" w:sz="4" w:space="0" w:color="DDDDDD"/>
              <w:right w:val="single" w:sz="4" w:space="0" w:color="DDDDDD"/>
            </w:tcBorders>
            <w:shd w:val="clear" w:color="FFFFFF" w:fill="FFFFFF"/>
            <w:noWrap/>
            <w:vAlign w:val="bottom"/>
            <w:hideMark/>
          </w:tcPr>
          <w:p w14:paraId="26CD2D94" w14:textId="77777777" w:rsidR="00BD154D" w:rsidRPr="00974B49" w:rsidRDefault="00BD154D" w:rsidP="00DF2591">
            <w:pPr>
              <w:spacing w:after="0" w:line="240" w:lineRule="auto"/>
              <w:rPr>
                <w:rFonts w:ascii="Arial" w:eastAsia="Times New Roman" w:hAnsi="Arial" w:cs="Arial"/>
                <w:color w:val="333333"/>
                <w:sz w:val="12"/>
                <w:szCs w:val="12"/>
                <w:lang w:val="it-IT" w:eastAsia="en-GB"/>
              </w:rPr>
            </w:pPr>
            <w:r w:rsidRPr="00974B49">
              <w:rPr>
                <w:rFonts w:ascii="Arial" w:eastAsia="Times New Roman" w:hAnsi="Arial" w:cs="Arial"/>
                <w:color w:val="333333"/>
                <w:sz w:val="12"/>
                <w:szCs w:val="12"/>
                <w:lang w:val="it-IT" w:eastAsia="en-GB"/>
              </w:rPr>
              <w:lastRenderedPageBreak/>
              <w:t>Yanyan Sun, Lei Han, Peter Strasser</w:t>
            </w:r>
          </w:p>
        </w:tc>
        <w:tc>
          <w:tcPr>
            <w:tcW w:w="0" w:type="auto"/>
            <w:tcBorders>
              <w:top w:val="nil"/>
              <w:left w:val="nil"/>
              <w:bottom w:val="single" w:sz="4" w:space="0" w:color="DDDDDD"/>
              <w:right w:val="single" w:sz="4" w:space="0" w:color="DDDDDD"/>
            </w:tcBorders>
            <w:shd w:val="clear" w:color="FFFFFF" w:fill="FFFFFF"/>
            <w:noWrap/>
            <w:vAlign w:val="bottom"/>
            <w:hideMark/>
          </w:tcPr>
          <w:p w14:paraId="285A468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Chemical Society Reviews</w:t>
            </w:r>
          </w:p>
        </w:tc>
        <w:tc>
          <w:tcPr>
            <w:tcW w:w="0" w:type="auto"/>
            <w:tcBorders>
              <w:top w:val="nil"/>
              <w:left w:val="nil"/>
              <w:bottom w:val="single" w:sz="4" w:space="0" w:color="DDDDDD"/>
              <w:right w:val="single" w:sz="4" w:space="0" w:color="DDDDDD"/>
            </w:tcBorders>
            <w:shd w:val="clear" w:color="FFFFFF" w:fill="FFFFFF"/>
            <w:noWrap/>
            <w:vAlign w:val="bottom"/>
            <w:hideMark/>
          </w:tcPr>
          <w:p w14:paraId="2A5098F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49/18</w:t>
            </w:r>
          </w:p>
        </w:tc>
        <w:tc>
          <w:tcPr>
            <w:tcW w:w="0" w:type="auto"/>
            <w:tcBorders>
              <w:top w:val="nil"/>
              <w:left w:val="nil"/>
              <w:bottom w:val="single" w:sz="4" w:space="0" w:color="DDDDDD"/>
              <w:right w:val="single" w:sz="4" w:space="0" w:color="DDDDDD"/>
            </w:tcBorders>
            <w:shd w:val="clear" w:color="FFFFFF" w:fill="FFFFFF"/>
            <w:noWrap/>
            <w:vAlign w:val="bottom"/>
            <w:hideMark/>
          </w:tcPr>
          <w:p w14:paraId="7109E39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xml:space="preserve">Royal Society of </w:t>
            </w:r>
            <w:r w:rsidRPr="00F07F7C">
              <w:rPr>
                <w:rFonts w:ascii="Arial" w:eastAsia="Times New Roman" w:hAnsi="Arial" w:cs="Arial"/>
                <w:color w:val="333333"/>
                <w:sz w:val="12"/>
                <w:szCs w:val="12"/>
                <w:lang w:eastAsia="en-GB"/>
              </w:rPr>
              <w:lastRenderedPageBreak/>
              <w:t>Chemistry</w:t>
            </w:r>
          </w:p>
        </w:tc>
        <w:tc>
          <w:tcPr>
            <w:tcW w:w="0" w:type="auto"/>
            <w:tcBorders>
              <w:top w:val="nil"/>
              <w:left w:val="nil"/>
              <w:bottom w:val="single" w:sz="4" w:space="0" w:color="DDDDDD"/>
              <w:right w:val="single" w:sz="4" w:space="0" w:color="DDDDDD"/>
            </w:tcBorders>
            <w:shd w:val="clear" w:color="FFFFFF" w:fill="FFFFFF"/>
            <w:noWrap/>
            <w:vAlign w:val="bottom"/>
            <w:hideMark/>
          </w:tcPr>
          <w:p w14:paraId="236E301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lastRenderedPageBreak/>
              <w:t>United Kingdom</w:t>
            </w:r>
          </w:p>
        </w:tc>
        <w:tc>
          <w:tcPr>
            <w:tcW w:w="0" w:type="auto"/>
            <w:tcBorders>
              <w:top w:val="nil"/>
              <w:left w:val="nil"/>
              <w:bottom w:val="single" w:sz="4" w:space="0" w:color="DDDDDD"/>
              <w:right w:val="single" w:sz="4" w:space="0" w:color="DDDDDD"/>
            </w:tcBorders>
            <w:shd w:val="clear" w:color="FFFFFF" w:fill="FFFFFF"/>
            <w:noWrap/>
            <w:vAlign w:val="bottom"/>
            <w:hideMark/>
          </w:tcPr>
          <w:p w14:paraId="5536C5D4"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2020</w:t>
            </w:r>
          </w:p>
        </w:tc>
        <w:tc>
          <w:tcPr>
            <w:tcW w:w="0" w:type="auto"/>
            <w:tcBorders>
              <w:top w:val="nil"/>
              <w:left w:val="nil"/>
              <w:bottom w:val="single" w:sz="4" w:space="0" w:color="DDDDDD"/>
              <w:right w:val="single" w:sz="4" w:space="0" w:color="DDDDDD"/>
            </w:tcBorders>
            <w:shd w:val="clear" w:color="FFFFFF" w:fill="FFFFFF"/>
            <w:noWrap/>
            <w:vAlign w:val="bottom"/>
            <w:hideMark/>
          </w:tcPr>
          <w:p w14:paraId="3150451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6605-</w:t>
            </w:r>
            <w:r w:rsidRPr="00F07F7C">
              <w:rPr>
                <w:rFonts w:ascii="Arial" w:eastAsia="Times New Roman" w:hAnsi="Arial" w:cs="Arial"/>
                <w:color w:val="333333"/>
                <w:sz w:val="12"/>
                <w:szCs w:val="12"/>
                <w:lang w:eastAsia="en-GB"/>
              </w:rPr>
              <w:lastRenderedPageBreak/>
              <w:t>6631</w:t>
            </w:r>
          </w:p>
        </w:tc>
        <w:tc>
          <w:tcPr>
            <w:tcW w:w="0" w:type="auto"/>
            <w:tcBorders>
              <w:top w:val="nil"/>
              <w:left w:val="nil"/>
              <w:bottom w:val="single" w:sz="4" w:space="0" w:color="DDDDDD"/>
              <w:right w:val="single" w:sz="4" w:space="0" w:color="DDDDDD"/>
            </w:tcBorders>
            <w:shd w:val="clear" w:color="FFFFFF" w:fill="FFFFFF"/>
            <w:noWrap/>
            <w:vAlign w:val="bottom"/>
            <w:hideMark/>
          </w:tcPr>
          <w:p w14:paraId="6F7631A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lastRenderedPageBreak/>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245ADDE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4CFEEC4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https://zenodo.org/deposit/5607364</w:t>
            </w:r>
          </w:p>
        </w:tc>
      </w:tr>
      <w:tr w:rsidR="00BD154D" w:rsidRPr="004535FA" w14:paraId="03B6CE32"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12A30D4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CRESCENDO</w:t>
            </w:r>
          </w:p>
        </w:tc>
        <w:tc>
          <w:tcPr>
            <w:tcW w:w="0" w:type="auto"/>
            <w:tcBorders>
              <w:top w:val="nil"/>
              <w:left w:val="nil"/>
              <w:bottom w:val="single" w:sz="4" w:space="0" w:color="DDDDDD"/>
              <w:right w:val="single" w:sz="4" w:space="0" w:color="DDDDDD"/>
            </w:tcBorders>
            <w:shd w:val="clear" w:color="FFFFFF" w:fill="FFFFFF"/>
            <w:noWrap/>
            <w:vAlign w:val="bottom"/>
            <w:hideMark/>
          </w:tcPr>
          <w:p w14:paraId="1441105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1F1CD89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Advancements in cathode catalyst and cathode layer design for proton exchange membrane fuel cells</w:t>
            </w:r>
          </w:p>
        </w:tc>
        <w:tc>
          <w:tcPr>
            <w:tcW w:w="0" w:type="auto"/>
            <w:tcBorders>
              <w:top w:val="nil"/>
              <w:left w:val="nil"/>
              <w:bottom w:val="single" w:sz="4" w:space="0" w:color="DDDDDD"/>
              <w:right w:val="single" w:sz="4" w:space="0" w:color="DDDDDD"/>
            </w:tcBorders>
            <w:shd w:val="clear" w:color="FFFFFF" w:fill="FFFFFF"/>
            <w:noWrap/>
            <w:vAlign w:val="bottom"/>
            <w:hideMark/>
          </w:tcPr>
          <w:p w14:paraId="30AEADF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10.1038/s41467-021-25911-x</w:t>
            </w:r>
          </w:p>
        </w:tc>
        <w:tc>
          <w:tcPr>
            <w:tcW w:w="0" w:type="auto"/>
            <w:tcBorders>
              <w:top w:val="nil"/>
              <w:left w:val="nil"/>
              <w:bottom w:val="single" w:sz="4" w:space="0" w:color="DDDDDD"/>
              <w:right w:val="single" w:sz="4" w:space="0" w:color="DDDDDD"/>
            </w:tcBorders>
            <w:shd w:val="clear" w:color="FFFFFF" w:fill="FFFFFF"/>
            <w:noWrap/>
            <w:vAlign w:val="bottom"/>
            <w:hideMark/>
          </w:tcPr>
          <w:p w14:paraId="3853C52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20411723</w:t>
            </w:r>
          </w:p>
        </w:tc>
        <w:tc>
          <w:tcPr>
            <w:tcW w:w="0" w:type="auto"/>
            <w:tcBorders>
              <w:top w:val="nil"/>
              <w:left w:val="nil"/>
              <w:bottom w:val="single" w:sz="4" w:space="0" w:color="DDDDDD"/>
              <w:right w:val="single" w:sz="4" w:space="0" w:color="DDDDDD"/>
            </w:tcBorders>
            <w:shd w:val="clear" w:color="FFFFFF" w:fill="FFFFFF"/>
            <w:noWrap/>
            <w:vAlign w:val="bottom"/>
            <w:hideMark/>
          </w:tcPr>
          <w:p w14:paraId="00BF3167" w14:textId="77777777" w:rsidR="00BD154D" w:rsidRPr="00A60794" w:rsidRDefault="00BD154D" w:rsidP="00DF2591">
            <w:pPr>
              <w:spacing w:after="0" w:line="240" w:lineRule="auto"/>
              <w:rPr>
                <w:rFonts w:ascii="Arial" w:eastAsia="Times New Roman" w:hAnsi="Arial" w:cs="Arial"/>
                <w:color w:val="333333"/>
                <w:sz w:val="12"/>
                <w:szCs w:val="12"/>
                <w:lang w:val="es-ES" w:eastAsia="en-GB"/>
              </w:rPr>
            </w:pPr>
            <w:r w:rsidRPr="00A60794">
              <w:rPr>
                <w:rFonts w:ascii="Arial" w:eastAsia="Times New Roman" w:hAnsi="Arial" w:cs="Arial"/>
                <w:color w:val="333333"/>
                <w:sz w:val="12"/>
                <w:szCs w:val="12"/>
                <w:lang w:val="es-ES" w:eastAsia="en-GB"/>
              </w:rPr>
              <w:t>Yanyan Sun, Shlomi Polani, Fang Luo, Sebastian Ott, Peter Strasser, Fabio Dionigi</w:t>
            </w:r>
          </w:p>
        </w:tc>
        <w:tc>
          <w:tcPr>
            <w:tcW w:w="0" w:type="auto"/>
            <w:tcBorders>
              <w:top w:val="nil"/>
              <w:left w:val="nil"/>
              <w:bottom w:val="single" w:sz="4" w:space="0" w:color="DDDDDD"/>
              <w:right w:val="single" w:sz="4" w:space="0" w:color="DDDDDD"/>
            </w:tcBorders>
            <w:shd w:val="clear" w:color="FFFFFF" w:fill="FFFFFF"/>
            <w:noWrap/>
            <w:vAlign w:val="bottom"/>
            <w:hideMark/>
          </w:tcPr>
          <w:p w14:paraId="41D6F3C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Nature Communications</w:t>
            </w:r>
          </w:p>
        </w:tc>
        <w:tc>
          <w:tcPr>
            <w:tcW w:w="0" w:type="auto"/>
            <w:tcBorders>
              <w:top w:val="nil"/>
              <w:left w:val="nil"/>
              <w:bottom w:val="single" w:sz="4" w:space="0" w:color="DDDDDD"/>
              <w:right w:val="single" w:sz="4" w:space="0" w:color="DDDDDD"/>
            </w:tcBorders>
            <w:shd w:val="clear" w:color="FFFFFF" w:fill="FFFFFF"/>
            <w:noWrap/>
            <w:vAlign w:val="bottom"/>
            <w:hideMark/>
          </w:tcPr>
          <w:p w14:paraId="6E536F2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12/1</w:t>
            </w:r>
          </w:p>
        </w:tc>
        <w:tc>
          <w:tcPr>
            <w:tcW w:w="0" w:type="auto"/>
            <w:tcBorders>
              <w:top w:val="nil"/>
              <w:left w:val="nil"/>
              <w:bottom w:val="single" w:sz="4" w:space="0" w:color="DDDDDD"/>
              <w:right w:val="single" w:sz="4" w:space="0" w:color="DDDDDD"/>
            </w:tcBorders>
            <w:shd w:val="clear" w:color="FFFFFF" w:fill="FFFFFF"/>
            <w:noWrap/>
            <w:vAlign w:val="bottom"/>
            <w:hideMark/>
          </w:tcPr>
          <w:p w14:paraId="11DB867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Nature Publishing Group</w:t>
            </w:r>
          </w:p>
        </w:tc>
        <w:tc>
          <w:tcPr>
            <w:tcW w:w="0" w:type="auto"/>
            <w:tcBorders>
              <w:top w:val="nil"/>
              <w:left w:val="nil"/>
              <w:bottom w:val="single" w:sz="4" w:space="0" w:color="DDDDDD"/>
              <w:right w:val="single" w:sz="4" w:space="0" w:color="DDDDDD"/>
            </w:tcBorders>
            <w:shd w:val="clear" w:color="FFFFFF" w:fill="FFFFFF"/>
            <w:noWrap/>
            <w:vAlign w:val="bottom"/>
            <w:hideMark/>
          </w:tcPr>
          <w:p w14:paraId="2DC1E9F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United Kingdom</w:t>
            </w:r>
          </w:p>
        </w:tc>
        <w:tc>
          <w:tcPr>
            <w:tcW w:w="0" w:type="auto"/>
            <w:tcBorders>
              <w:top w:val="nil"/>
              <w:left w:val="nil"/>
              <w:bottom w:val="single" w:sz="4" w:space="0" w:color="DDDDDD"/>
              <w:right w:val="single" w:sz="4" w:space="0" w:color="DDDDDD"/>
            </w:tcBorders>
            <w:shd w:val="clear" w:color="FFFFFF" w:fill="FFFFFF"/>
            <w:noWrap/>
            <w:vAlign w:val="bottom"/>
            <w:hideMark/>
          </w:tcPr>
          <w:p w14:paraId="033A13DC"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661891F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57A3E58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45A8689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68C25EA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https://zenodo.org/record/5643621</w:t>
            </w:r>
          </w:p>
        </w:tc>
      </w:tr>
      <w:tr w:rsidR="00BD154D" w:rsidRPr="004535FA" w14:paraId="3238EB3A"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1711023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CRESCENDO</w:t>
            </w:r>
          </w:p>
        </w:tc>
        <w:tc>
          <w:tcPr>
            <w:tcW w:w="0" w:type="auto"/>
            <w:tcBorders>
              <w:top w:val="nil"/>
              <w:left w:val="nil"/>
              <w:bottom w:val="single" w:sz="4" w:space="0" w:color="DDDDDD"/>
              <w:right w:val="single" w:sz="4" w:space="0" w:color="DDDDDD"/>
            </w:tcBorders>
            <w:shd w:val="clear" w:color="FFFFFF" w:fill="FFFFFF"/>
            <w:noWrap/>
            <w:vAlign w:val="bottom"/>
            <w:hideMark/>
          </w:tcPr>
          <w:p w14:paraId="028FF99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6865D88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xml:space="preserve">Deactivation, </w:t>
            </w:r>
            <w:proofErr w:type="gramStart"/>
            <w:r w:rsidRPr="00F07F7C">
              <w:rPr>
                <w:rFonts w:ascii="Arial" w:eastAsia="Times New Roman" w:hAnsi="Arial" w:cs="Arial"/>
                <w:color w:val="333333"/>
                <w:sz w:val="12"/>
                <w:szCs w:val="12"/>
                <w:lang w:eastAsia="en-GB"/>
              </w:rPr>
              <w:t>reactivation</w:t>
            </w:r>
            <w:proofErr w:type="gramEnd"/>
            <w:r w:rsidRPr="00F07F7C">
              <w:rPr>
                <w:rFonts w:ascii="Arial" w:eastAsia="Times New Roman" w:hAnsi="Arial" w:cs="Arial"/>
                <w:color w:val="333333"/>
                <w:sz w:val="12"/>
                <w:szCs w:val="12"/>
                <w:lang w:eastAsia="en-GB"/>
              </w:rPr>
              <w:t xml:space="preserve"> and super-activation of Fe-N/C oxygen reduction electrocatalysts: Gas sorption, physical and electrochemical investigation using NO and O2</w:t>
            </w:r>
          </w:p>
        </w:tc>
        <w:tc>
          <w:tcPr>
            <w:tcW w:w="0" w:type="auto"/>
            <w:tcBorders>
              <w:top w:val="nil"/>
              <w:left w:val="nil"/>
              <w:bottom w:val="single" w:sz="4" w:space="0" w:color="DDDDDD"/>
              <w:right w:val="single" w:sz="4" w:space="0" w:color="DDDDDD"/>
            </w:tcBorders>
            <w:shd w:val="clear" w:color="FFFFFF" w:fill="FFFFFF"/>
            <w:noWrap/>
            <w:vAlign w:val="bottom"/>
            <w:hideMark/>
          </w:tcPr>
          <w:p w14:paraId="262FF33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10.1016/j.apcatb.2021.120169</w:t>
            </w:r>
          </w:p>
        </w:tc>
        <w:tc>
          <w:tcPr>
            <w:tcW w:w="0" w:type="auto"/>
            <w:tcBorders>
              <w:top w:val="nil"/>
              <w:left w:val="nil"/>
              <w:bottom w:val="single" w:sz="4" w:space="0" w:color="DDDDDD"/>
              <w:right w:val="single" w:sz="4" w:space="0" w:color="DDDDDD"/>
            </w:tcBorders>
            <w:shd w:val="clear" w:color="FFFFFF" w:fill="FFFFFF"/>
            <w:noWrap/>
            <w:vAlign w:val="bottom"/>
            <w:hideMark/>
          </w:tcPr>
          <w:p w14:paraId="18920C0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09263373</w:t>
            </w:r>
          </w:p>
        </w:tc>
        <w:tc>
          <w:tcPr>
            <w:tcW w:w="0" w:type="auto"/>
            <w:tcBorders>
              <w:top w:val="nil"/>
              <w:left w:val="nil"/>
              <w:bottom w:val="single" w:sz="4" w:space="0" w:color="DDDDDD"/>
              <w:right w:val="single" w:sz="4" w:space="0" w:color="DDDDDD"/>
            </w:tcBorders>
            <w:shd w:val="clear" w:color="FFFFFF" w:fill="FFFFFF"/>
            <w:noWrap/>
            <w:vAlign w:val="bottom"/>
            <w:hideMark/>
          </w:tcPr>
          <w:p w14:paraId="35E41ED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Paul Boldrin, Daniel Malko, Asad Mehmood, Ulrike I. Kramm, Stephan Wagner, Stephen Paul, Natascha Weidler, Anthony Kucernak</w:t>
            </w:r>
          </w:p>
        </w:tc>
        <w:tc>
          <w:tcPr>
            <w:tcW w:w="0" w:type="auto"/>
            <w:tcBorders>
              <w:top w:val="nil"/>
              <w:left w:val="nil"/>
              <w:bottom w:val="single" w:sz="4" w:space="0" w:color="DDDDDD"/>
              <w:right w:val="single" w:sz="4" w:space="0" w:color="DDDDDD"/>
            </w:tcBorders>
            <w:shd w:val="clear" w:color="FFFFFF" w:fill="FFFFFF"/>
            <w:noWrap/>
            <w:vAlign w:val="bottom"/>
            <w:hideMark/>
          </w:tcPr>
          <w:p w14:paraId="0B80F89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Applied Catalysis B: Environmental</w:t>
            </w:r>
          </w:p>
        </w:tc>
        <w:tc>
          <w:tcPr>
            <w:tcW w:w="0" w:type="auto"/>
            <w:tcBorders>
              <w:top w:val="nil"/>
              <w:left w:val="nil"/>
              <w:bottom w:val="single" w:sz="4" w:space="0" w:color="DDDDDD"/>
              <w:right w:val="single" w:sz="4" w:space="0" w:color="DDDDDD"/>
            </w:tcBorders>
            <w:shd w:val="clear" w:color="FFFFFF" w:fill="FFFFFF"/>
            <w:noWrap/>
            <w:vAlign w:val="bottom"/>
            <w:hideMark/>
          </w:tcPr>
          <w:p w14:paraId="6DCCF5A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292</w:t>
            </w:r>
          </w:p>
        </w:tc>
        <w:tc>
          <w:tcPr>
            <w:tcW w:w="0" w:type="auto"/>
            <w:tcBorders>
              <w:top w:val="nil"/>
              <w:left w:val="nil"/>
              <w:bottom w:val="single" w:sz="4" w:space="0" w:color="DDDDDD"/>
              <w:right w:val="single" w:sz="4" w:space="0" w:color="DDDDDD"/>
            </w:tcBorders>
            <w:shd w:val="clear" w:color="FFFFFF" w:fill="FFFFFF"/>
            <w:noWrap/>
            <w:vAlign w:val="bottom"/>
            <w:hideMark/>
          </w:tcPr>
          <w:p w14:paraId="6AF8976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Elsevier BV</w:t>
            </w:r>
          </w:p>
        </w:tc>
        <w:tc>
          <w:tcPr>
            <w:tcW w:w="0" w:type="auto"/>
            <w:tcBorders>
              <w:top w:val="nil"/>
              <w:left w:val="nil"/>
              <w:bottom w:val="single" w:sz="4" w:space="0" w:color="DDDDDD"/>
              <w:right w:val="single" w:sz="4" w:space="0" w:color="DDDDDD"/>
            </w:tcBorders>
            <w:shd w:val="clear" w:color="FFFFFF" w:fill="FFFFFF"/>
            <w:noWrap/>
            <w:vAlign w:val="bottom"/>
            <w:hideMark/>
          </w:tcPr>
          <w:p w14:paraId="5DD529F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Netherlands</w:t>
            </w:r>
          </w:p>
        </w:tc>
        <w:tc>
          <w:tcPr>
            <w:tcW w:w="0" w:type="auto"/>
            <w:tcBorders>
              <w:top w:val="nil"/>
              <w:left w:val="nil"/>
              <w:bottom w:val="single" w:sz="4" w:space="0" w:color="DDDDDD"/>
              <w:right w:val="single" w:sz="4" w:space="0" w:color="DDDDDD"/>
            </w:tcBorders>
            <w:shd w:val="clear" w:color="FFFFFF" w:fill="FFFFFF"/>
            <w:noWrap/>
            <w:vAlign w:val="bottom"/>
            <w:hideMark/>
          </w:tcPr>
          <w:p w14:paraId="55B73FE5"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721B0E4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120169</w:t>
            </w:r>
          </w:p>
        </w:tc>
        <w:tc>
          <w:tcPr>
            <w:tcW w:w="0" w:type="auto"/>
            <w:tcBorders>
              <w:top w:val="nil"/>
              <w:left w:val="nil"/>
              <w:bottom w:val="single" w:sz="4" w:space="0" w:color="DDDDDD"/>
              <w:right w:val="single" w:sz="4" w:space="0" w:color="DDDDDD"/>
            </w:tcBorders>
            <w:shd w:val="clear" w:color="FFFFFF" w:fill="FFFFFF"/>
            <w:noWrap/>
            <w:vAlign w:val="bottom"/>
            <w:hideMark/>
          </w:tcPr>
          <w:p w14:paraId="12FEBA3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5139B6E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Yes</w:t>
            </w:r>
          </w:p>
        </w:tc>
        <w:tc>
          <w:tcPr>
            <w:tcW w:w="0" w:type="auto"/>
            <w:tcBorders>
              <w:top w:val="nil"/>
              <w:left w:val="nil"/>
              <w:bottom w:val="single" w:sz="4" w:space="0" w:color="DDDDDD"/>
              <w:right w:val="single" w:sz="4" w:space="0" w:color="DDDDDD"/>
            </w:tcBorders>
            <w:shd w:val="clear" w:color="FFFFFF" w:fill="FFFFFF"/>
            <w:noWrap/>
            <w:vAlign w:val="bottom"/>
            <w:hideMark/>
          </w:tcPr>
          <w:p w14:paraId="2E2A923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https://spiral.imperial.ac.uk/handle/10044/1/87903</w:t>
            </w:r>
          </w:p>
        </w:tc>
      </w:tr>
      <w:tr w:rsidR="00BD154D" w:rsidRPr="004535FA" w14:paraId="5B2198B5"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4CA4EB5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CRESCENDO</w:t>
            </w:r>
          </w:p>
        </w:tc>
        <w:tc>
          <w:tcPr>
            <w:tcW w:w="0" w:type="auto"/>
            <w:tcBorders>
              <w:top w:val="nil"/>
              <w:left w:val="nil"/>
              <w:bottom w:val="single" w:sz="4" w:space="0" w:color="DDDDDD"/>
              <w:right w:val="single" w:sz="4" w:space="0" w:color="DDDDDD"/>
            </w:tcBorders>
            <w:shd w:val="clear" w:color="FFFFFF" w:fill="FFFFFF"/>
            <w:noWrap/>
            <w:vAlign w:val="bottom"/>
            <w:hideMark/>
          </w:tcPr>
          <w:p w14:paraId="6DE4FED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051215B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Effects of the induced micro- and meso-porosity on the single site density and turn over frequency of Fe-N-C carbon electrodes for the oxygen reduction reaction</w:t>
            </w:r>
          </w:p>
        </w:tc>
        <w:tc>
          <w:tcPr>
            <w:tcW w:w="0" w:type="auto"/>
            <w:tcBorders>
              <w:top w:val="nil"/>
              <w:left w:val="nil"/>
              <w:bottom w:val="single" w:sz="4" w:space="0" w:color="DDDDDD"/>
              <w:right w:val="single" w:sz="4" w:space="0" w:color="DDDDDD"/>
            </w:tcBorders>
            <w:shd w:val="clear" w:color="FFFFFF" w:fill="FFFFFF"/>
            <w:noWrap/>
            <w:vAlign w:val="bottom"/>
            <w:hideMark/>
          </w:tcPr>
          <w:p w14:paraId="21D8C90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10.1016/j.apcatb.2021.120068</w:t>
            </w:r>
          </w:p>
        </w:tc>
        <w:tc>
          <w:tcPr>
            <w:tcW w:w="0" w:type="auto"/>
            <w:tcBorders>
              <w:top w:val="nil"/>
              <w:left w:val="nil"/>
              <w:bottom w:val="single" w:sz="4" w:space="0" w:color="DDDDDD"/>
              <w:right w:val="single" w:sz="4" w:space="0" w:color="DDDDDD"/>
            </w:tcBorders>
            <w:shd w:val="clear" w:color="FFFFFF" w:fill="FFFFFF"/>
            <w:noWrap/>
            <w:vAlign w:val="bottom"/>
            <w:hideMark/>
          </w:tcPr>
          <w:p w14:paraId="14A400E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09263373</w:t>
            </w:r>
          </w:p>
        </w:tc>
        <w:tc>
          <w:tcPr>
            <w:tcW w:w="0" w:type="auto"/>
            <w:tcBorders>
              <w:top w:val="nil"/>
              <w:left w:val="nil"/>
              <w:bottom w:val="single" w:sz="4" w:space="0" w:color="DDDDDD"/>
              <w:right w:val="single" w:sz="4" w:space="0" w:color="DDDDDD"/>
            </w:tcBorders>
            <w:shd w:val="clear" w:color="FFFFFF" w:fill="FFFFFF"/>
            <w:noWrap/>
            <w:vAlign w:val="bottom"/>
            <w:hideMark/>
          </w:tcPr>
          <w:p w14:paraId="72C494E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Marco Mazzucato, Giorgia Daniel, Asad Mehmood, Tomasz Kosmala, Gaetano Granozzi, Anthony Kucernak, Christian Durante</w:t>
            </w:r>
          </w:p>
        </w:tc>
        <w:tc>
          <w:tcPr>
            <w:tcW w:w="0" w:type="auto"/>
            <w:tcBorders>
              <w:top w:val="nil"/>
              <w:left w:val="nil"/>
              <w:bottom w:val="single" w:sz="4" w:space="0" w:color="DDDDDD"/>
              <w:right w:val="single" w:sz="4" w:space="0" w:color="DDDDDD"/>
            </w:tcBorders>
            <w:shd w:val="clear" w:color="FFFFFF" w:fill="FFFFFF"/>
            <w:noWrap/>
            <w:vAlign w:val="bottom"/>
            <w:hideMark/>
          </w:tcPr>
          <w:p w14:paraId="7A9272E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Applied Catalysis B: Environmental</w:t>
            </w:r>
          </w:p>
        </w:tc>
        <w:tc>
          <w:tcPr>
            <w:tcW w:w="0" w:type="auto"/>
            <w:tcBorders>
              <w:top w:val="nil"/>
              <w:left w:val="nil"/>
              <w:bottom w:val="single" w:sz="4" w:space="0" w:color="DDDDDD"/>
              <w:right w:val="single" w:sz="4" w:space="0" w:color="DDDDDD"/>
            </w:tcBorders>
            <w:shd w:val="clear" w:color="FFFFFF" w:fill="FFFFFF"/>
            <w:noWrap/>
            <w:vAlign w:val="bottom"/>
            <w:hideMark/>
          </w:tcPr>
          <w:p w14:paraId="5F501A0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291</w:t>
            </w:r>
          </w:p>
        </w:tc>
        <w:tc>
          <w:tcPr>
            <w:tcW w:w="0" w:type="auto"/>
            <w:tcBorders>
              <w:top w:val="nil"/>
              <w:left w:val="nil"/>
              <w:bottom w:val="single" w:sz="4" w:space="0" w:color="DDDDDD"/>
              <w:right w:val="single" w:sz="4" w:space="0" w:color="DDDDDD"/>
            </w:tcBorders>
            <w:shd w:val="clear" w:color="FFFFFF" w:fill="FFFFFF"/>
            <w:noWrap/>
            <w:vAlign w:val="bottom"/>
            <w:hideMark/>
          </w:tcPr>
          <w:p w14:paraId="1F04863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Elsevier BV</w:t>
            </w:r>
          </w:p>
        </w:tc>
        <w:tc>
          <w:tcPr>
            <w:tcW w:w="0" w:type="auto"/>
            <w:tcBorders>
              <w:top w:val="nil"/>
              <w:left w:val="nil"/>
              <w:bottom w:val="single" w:sz="4" w:space="0" w:color="DDDDDD"/>
              <w:right w:val="single" w:sz="4" w:space="0" w:color="DDDDDD"/>
            </w:tcBorders>
            <w:shd w:val="clear" w:color="FFFFFF" w:fill="FFFFFF"/>
            <w:noWrap/>
            <w:vAlign w:val="bottom"/>
            <w:hideMark/>
          </w:tcPr>
          <w:p w14:paraId="0B9CF05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Netherlands</w:t>
            </w:r>
          </w:p>
        </w:tc>
        <w:tc>
          <w:tcPr>
            <w:tcW w:w="0" w:type="auto"/>
            <w:tcBorders>
              <w:top w:val="nil"/>
              <w:left w:val="nil"/>
              <w:bottom w:val="single" w:sz="4" w:space="0" w:color="DDDDDD"/>
              <w:right w:val="single" w:sz="4" w:space="0" w:color="DDDDDD"/>
            </w:tcBorders>
            <w:shd w:val="clear" w:color="FFFFFF" w:fill="FFFFFF"/>
            <w:noWrap/>
            <w:vAlign w:val="bottom"/>
            <w:hideMark/>
          </w:tcPr>
          <w:p w14:paraId="1EBD6B6A"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63CE764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120068</w:t>
            </w:r>
          </w:p>
        </w:tc>
        <w:tc>
          <w:tcPr>
            <w:tcW w:w="0" w:type="auto"/>
            <w:tcBorders>
              <w:top w:val="nil"/>
              <w:left w:val="nil"/>
              <w:bottom w:val="single" w:sz="4" w:space="0" w:color="DDDDDD"/>
              <w:right w:val="single" w:sz="4" w:space="0" w:color="DDDDDD"/>
            </w:tcBorders>
            <w:shd w:val="clear" w:color="FFFFFF" w:fill="FFFFFF"/>
            <w:noWrap/>
            <w:vAlign w:val="bottom"/>
            <w:hideMark/>
          </w:tcPr>
          <w:p w14:paraId="029B970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25FD7AE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085FB7F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https://zenodo.org/record/5607330</w:t>
            </w:r>
          </w:p>
        </w:tc>
      </w:tr>
      <w:tr w:rsidR="00BD154D" w:rsidRPr="004535FA" w14:paraId="421274FE"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32EC3C0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CRESCENDO</w:t>
            </w:r>
          </w:p>
        </w:tc>
        <w:tc>
          <w:tcPr>
            <w:tcW w:w="0" w:type="auto"/>
            <w:tcBorders>
              <w:top w:val="nil"/>
              <w:left w:val="nil"/>
              <w:bottom w:val="single" w:sz="4" w:space="0" w:color="DDDDDD"/>
              <w:right w:val="single" w:sz="4" w:space="0" w:color="DDDDDD"/>
            </w:tcBorders>
            <w:shd w:val="clear" w:color="FFFFFF" w:fill="FFFFFF"/>
            <w:noWrap/>
            <w:vAlign w:val="bottom"/>
            <w:hideMark/>
          </w:tcPr>
          <w:p w14:paraId="2BC6F3E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0A88340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Establishing reactivity descriptors for platinum group metal (PGM)-free Fe–N–C catalysts for PEM fuel cells</w:t>
            </w:r>
          </w:p>
        </w:tc>
        <w:tc>
          <w:tcPr>
            <w:tcW w:w="0" w:type="auto"/>
            <w:tcBorders>
              <w:top w:val="nil"/>
              <w:left w:val="nil"/>
              <w:bottom w:val="single" w:sz="4" w:space="0" w:color="DDDDDD"/>
              <w:right w:val="single" w:sz="4" w:space="0" w:color="DDDDDD"/>
            </w:tcBorders>
            <w:shd w:val="clear" w:color="FFFFFF" w:fill="FFFFFF"/>
            <w:noWrap/>
            <w:vAlign w:val="bottom"/>
            <w:hideMark/>
          </w:tcPr>
          <w:p w14:paraId="26407FC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10.1039/d0ee01013h</w:t>
            </w:r>
          </w:p>
        </w:tc>
        <w:tc>
          <w:tcPr>
            <w:tcW w:w="0" w:type="auto"/>
            <w:tcBorders>
              <w:top w:val="nil"/>
              <w:left w:val="nil"/>
              <w:bottom w:val="single" w:sz="4" w:space="0" w:color="DDDDDD"/>
              <w:right w:val="single" w:sz="4" w:space="0" w:color="DDDDDD"/>
            </w:tcBorders>
            <w:shd w:val="clear" w:color="FFFFFF" w:fill="FFFFFF"/>
            <w:noWrap/>
            <w:vAlign w:val="bottom"/>
            <w:hideMark/>
          </w:tcPr>
          <w:p w14:paraId="1371E41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17545692</w:t>
            </w:r>
          </w:p>
        </w:tc>
        <w:tc>
          <w:tcPr>
            <w:tcW w:w="0" w:type="auto"/>
            <w:tcBorders>
              <w:top w:val="nil"/>
              <w:left w:val="nil"/>
              <w:bottom w:val="single" w:sz="4" w:space="0" w:color="DDDDDD"/>
              <w:right w:val="single" w:sz="4" w:space="0" w:color="DDDDDD"/>
            </w:tcBorders>
            <w:shd w:val="clear" w:color="FFFFFF" w:fill="FFFFFF"/>
            <w:noWrap/>
            <w:vAlign w:val="bottom"/>
            <w:hideMark/>
          </w:tcPr>
          <w:p w14:paraId="1347D2B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Mathias Primbs, Yanyan Sun, Aaron Roy, Daniel Malko, Asad Mehmood, Moulay-Tahar Sougrati, Pierre-Yves Blanchard, Gaetano Granozzi, Tomasz Kosmala, Giorgia Daniel, Plamen Atanassov, Jonathan Sharman, Christian Durante, Anthony Kucernak, Deborah Jones, Frédéric Jaouen, Peter Strasser</w:t>
            </w:r>
          </w:p>
        </w:tc>
        <w:tc>
          <w:tcPr>
            <w:tcW w:w="0" w:type="auto"/>
            <w:tcBorders>
              <w:top w:val="nil"/>
              <w:left w:val="nil"/>
              <w:bottom w:val="single" w:sz="4" w:space="0" w:color="DDDDDD"/>
              <w:right w:val="single" w:sz="4" w:space="0" w:color="DDDDDD"/>
            </w:tcBorders>
            <w:shd w:val="clear" w:color="FFFFFF" w:fill="FFFFFF"/>
            <w:noWrap/>
            <w:vAlign w:val="bottom"/>
            <w:hideMark/>
          </w:tcPr>
          <w:p w14:paraId="456BB58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Energy &amp; Environmental Science</w:t>
            </w:r>
          </w:p>
        </w:tc>
        <w:tc>
          <w:tcPr>
            <w:tcW w:w="0" w:type="auto"/>
            <w:tcBorders>
              <w:top w:val="nil"/>
              <w:left w:val="nil"/>
              <w:bottom w:val="single" w:sz="4" w:space="0" w:color="DDDDDD"/>
              <w:right w:val="single" w:sz="4" w:space="0" w:color="DDDDDD"/>
            </w:tcBorders>
            <w:shd w:val="clear" w:color="FFFFFF" w:fill="FFFFFF"/>
            <w:noWrap/>
            <w:vAlign w:val="bottom"/>
            <w:hideMark/>
          </w:tcPr>
          <w:p w14:paraId="50210B2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13/8</w:t>
            </w:r>
          </w:p>
        </w:tc>
        <w:tc>
          <w:tcPr>
            <w:tcW w:w="0" w:type="auto"/>
            <w:tcBorders>
              <w:top w:val="nil"/>
              <w:left w:val="nil"/>
              <w:bottom w:val="single" w:sz="4" w:space="0" w:color="DDDDDD"/>
              <w:right w:val="single" w:sz="4" w:space="0" w:color="DDDDDD"/>
            </w:tcBorders>
            <w:shd w:val="clear" w:color="FFFFFF" w:fill="FFFFFF"/>
            <w:noWrap/>
            <w:vAlign w:val="bottom"/>
            <w:hideMark/>
          </w:tcPr>
          <w:p w14:paraId="1EB6FAE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Royal Society of Chemistry</w:t>
            </w:r>
          </w:p>
        </w:tc>
        <w:tc>
          <w:tcPr>
            <w:tcW w:w="0" w:type="auto"/>
            <w:tcBorders>
              <w:top w:val="nil"/>
              <w:left w:val="nil"/>
              <w:bottom w:val="single" w:sz="4" w:space="0" w:color="DDDDDD"/>
              <w:right w:val="single" w:sz="4" w:space="0" w:color="DDDDDD"/>
            </w:tcBorders>
            <w:shd w:val="clear" w:color="FFFFFF" w:fill="FFFFFF"/>
            <w:noWrap/>
            <w:vAlign w:val="bottom"/>
            <w:hideMark/>
          </w:tcPr>
          <w:p w14:paraId="6CC4D1F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United Kingdom</w:t>
            </w:r>
          </w:p>
        </w:tc>
        <w:tc>
          <w:tcPr>
            <w:tcW w:w="0" w:type="auto"/>
            <w:tcBorders>
              <w:top w:val="nil"/>
              <w:left w:val="nil"/>
              <w:bottom w:val="single" w:sz="4" w:space="0" w:color="DDDDDD"/>
              <w:right w:val="single" w:sz="4" w:space="0" w:color="DDDDDD"/>
            </w:tcBorders>
            <w:shd w:val="clear" w:color="FFFFFF" w:fill="FFFFFF"/>
            <w:noWrap/>
            <w:vAlign w:val="bottom"/>
            <w:hideMark/>
          </w:tcPr>
          <w:p w14:paraId="55B83E08"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2020</w:t>
            </w:r>
          </w:p>
        </w:tc>
        <w:tc>
          <w:tcPr>
            <w:tcW w:w="0" w:type="auto"/>
            <w:tcBorders>
              <w:top w:val="nil"/>
              <w:left w:val="nil"/>
              <w:bottom w:val="single" w:sz="4" w:space="0" w:color="DDDDDD"/>
              <w:right w:val="single" w:sz="4" w:space="0" w:color="DDDDDD"/>
            </w:tcBorders>
            <w:shd w:val="clear" w:color="FFFFFF" w:fill="FFFFFF"/>
            <w:noWrap/>
            <w:vAlign w:val="bottom"/>
            <w:hideMark/>
          </w:tcPr>
          <w:p w14:paraId="1830AD6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2480-2500</w:t>
            </w:r>
          </w:p>
        </w:tc>
        <w:tc>
          <w:tcPr>
            <w:tcW w:w="0" w:type="auto"/>
            <w:tcBorders>
              <w:top w:val="nil"/>
              <w:left w:val="nil"/>
              <w:bottom w:val="single" w:sz="4" w:space="0" w:color="DDDDDD"/>
              <w:right w:val="single" w:sz="4" w:space="0" w:color="DDDDDD"/>
            </w:tcBorders>
            <w:shd w:val="clear" w:color="FFFFFF" w:fill="FFFFFF"/>
            <w:noWrap/>
            <w:vAlign w:val="bottom"/>
            <w:hideMark/>
          </w:tcPr>
          <w:p w14:paraId="1E79CD0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41BB08E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3F51D98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https://hal.archives-ouvertes.fr/hal-03024561</w:t>
            </w:r>
          </w:p>
        </w:tc>
      </w:tr>
      <w:tr w:rsidR="00BD154D" w:rsidRPr="004535FA" w14:paraId="4377CE20"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591F1E8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CRESCENDO</w:t>
            </w:r>
          </w:p>
        </w:tc>
        <w:tc>
          <w:tcPr>
            <w:tcW w:w="0" w:type="auto"/>
            <w:tcBorders>
              <w:top w:val="nil"/>
              <w:left w:val="nil"/>
              <w:bottom w:val="single" w:sz="4" w:space="0" w:color="DDDDDD"/>
              <w:right w:val="single" w:sz="4" w:space="0" w:color="DDDDDD"/>
            </w:tcBorders>
            <w:shd w:val="clear" w:color="FFFFFF" w:fill="FFFFFF"/>
            <w:noWrap/>
            <w:vAlign w:val="bottom"/>
            <w:hideMark/>
          </w:tcPr>
          <w:p w14:paraId="19E2C3E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2B81A0B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Highly Graphitized Fe-N-C Electrocatalysts Prepared from Chitosan Hydrogel Frameworks</w:t>
            </w:r>
          </w:p>
        </w:tc>
        <w:tc>
          <w:tcPr>
            <w:tcW w:w="0" w:type="auto"/>
            <w:tcBorders>
              <w:top w:val="nil"/>
              <w:left w:val="nil"/>
              <w:bottom w:val="single" w:sz="4" w:space="0" w:color="DDDDDD"/>
              <w:right w:val="single" w:sz="4" w:space="0" w:color="DDDDDD"/>
            </w:tcBorders>
            <w:shd w:val="clear" w:color="FFFFFF" w:fill="FFFFFF"/>
            <w:noWrap/>
            <w:vAlign w:val="bottom"/>
            <w:hideMark/>
          </w:tcPr>
          <w:p w14:paraId="26FEC69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10.3390/catal11030390</w:t>
            </w:r>
          </w:p>
        </w:tc>
        <w:tc>
          <w:tcPr>
            <w:tcW w:w="0" w:type="auto"/>
            <w:tcBorders>
              <w:top w:val="nil"/>
              <w:left w:val="nil"/>
              <w:bottom w:val="single" w:sz="4" w:space="0" w:color="DDDDDD"/>
              <w:right w:val="single" w:sz="4" w:space="0" w:color="DDDDDD"/>
            </w:tcBorders>
            <w:shd w:val="clear" w:color="FFFFFF" w:fill="FFFFFF"/>
            <w:noWrap/>
            <w:vAlign w:val="bottom"/>
            <w:hideMark/>
          </w:tcPr>
          <w:p w14:paraId="1714BD3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20734344</w:t>
            </w:r>
          </w:p>
        </w:tc>
        <w:tc>
          <w:tcPr>
            <w:tcW w:w="0" w:type="auto"/>
            <w:tcBorders>
              <w:top w:val="nil"/>
              <w:left w:val="nil"/>
              <w:bottom w:val="single" w:sz="4" w:space="0" w:color="DDDDDD"/>
              <w:right w:val="single" w:sz="4" w:space="0" w:color="DDDDDD"/>
            </w:tcBorders>
            <w:shd w:val="clear" w:color="FFFFFF" w:fill="FFFFFF"/>
            <w:noWrap/>
            <w:vAlign w:val="bottom"/>
            <w:hideMark/>
          </w:tcPr>
          <w:p w14:paraId="11AA8E5E" w14:textId="77777777" w:rsidR="00BD154D" w:rsidRPr="00974B49" w:rsidRDefault="00BD154D" w:rsidP="00DF2591">
            <w:pPr>
              <w:spacing w:after="0" w:line="240" w:lineRule="auto"/>
              <w:rPr>
                <w:rFonts w:ascii="Arial" w:eastAsia="Times New Roman" w:hAnsi="Arial" w:cs="Arial"/>
                <w:color w:val="333333"/>
                <w:sz w:val="12"/>
                <w:szCs w:val="12"/>
                <w:lang w:val="it-IT" w:eastAsia="en-GB"/>
              </w:rPr>
            </w:pPr>
            <w:r w:rsidRPr="00974B49">
              <w:rPr>
                <w:rFonts w:ascii="Arial" w:eastAsia="Times New Roman" w:hAnsi="Arial" w:cs="Arial"/>
                <w:color w:val="333333"/>
                <w:sz w:val="12"/>
                <w:szCs w:val="12"/>
                <w:lang w:val="it-IT" w:eastAsia="en-GB"/>
              </w:rPr>
              <w:t>Giorgia Daniel, Tomasz Kosmala, Federico Brombin, Marco Mazzucato, Alessandro Facchin, Maria Chiara Dalconi, Denis Badocco, Paolo Pastore, Gaetano Granozzi, Christian Durante</w:t>
            </w:r>
          </w:p>
        </w:tc>
        <w:tc>
          <w:tcPr>
            <w:tcW w:w="0" w:type="auto"/>
            <w:tcBorders>
              <w:top w:val="nil"/>
              <w:left w:val="nil"/>
              <w:bottom w:val="single" w:sz="4" w:space="0" w:color="DDDDDD"/>
              <w:right w:val="single" w:sz="4" w:space="0" w:color="DDDDDD"/>
            </w:tcBorders>
            <w:shd w:val="clear" w:color="FFFFFF" w:fill="FFFFFF"/>
            <w:noWrap/>
            <w:vAlign w:val="bottom"/>
            <w:hideMark/>
          </w:tcPr>
          <w:p w14:paraId="57245AE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Catalysts</w:t>
            </w:r>
          </w:p>
        </w:tc>
        <w:tc>
          <w:tcPr>
            <w:tcW w:w="0" w:type="auto"/>
            <w:tcBorders>
              <w:top w:val="nil"/>
              <w:left w:val="nil"/>
              <w:bottom w:val="single" w:sz="4" w:space="0" w:color="DDDDDD"/>
              <w:right w:val="single" w:sz="4" w:space="0" w:color="DDDDDD"/>
            </w:tcBorders>
            <w:shd w:val="clear" w:color="FFFFFF" w:fill="FFFFFF"/>
            <w:noWrap/>
            <w:vAlign w:val="bottom"/>
            <w:hideMark/>
          </w:tcPr>
          <w:p w14:paraId="28C036F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11/3</w:t>
            </w:r>
          </w:p>
        </w:tc>
        <w:tc>
          <w:tcPr>
            <w:tcW w:w="0" w:type="auto"/>
            <w:tcBorders>
              <w:top w:val="nil"/>
              <w:left w:val="nil"/>
              <w:bottom w:val="single" w:sz="4" w:space="0" w:color="DDDDDD"/>
              <w:right w:val="single" w:sz="4" w:space="0" w:color="DDDDDD"/>
            </w:tcBorders>
            <w:shd w:val="clear" w:color="FFFFFF" w:fill="FFFFFF"/>
            <w:noWrap/>
            <w:vAlign w:val="bottom"/>
            <w:hideMark/>
          </w:tcPr>
          <w:p w14:paraId="7108B26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Multidisciplinary Digital Publishing Institute (MDPI)</w:t>
            </w:r>
          </w:p>
        </w:tc>
        <w:tc>
          <w:tcPr>
            <w:tcW w:w="0" w:type="auto"/>
            <w:tcBorders>
              <w:top w:val="nil"/>
              <w:left w:val="nil"/>
              <w:bottom w:val="single" w:sz="4" w:space="0" w:color="DDDDDD"/>
              <w:right w:val="single" w:sz="4" w:space="0" w:color="DDDDDD"/>
            </w:tcBorders>
            <w:shd w:val="clear" w:color="FFFFFF" w:fill="FFFFFF"/>
            <w:noWrap/>
            <w:vAlign w:val="bottom"/>
            <w:hideMark/>
          </w:tcPr>
          <w:p w14:paraId="75B05CF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Switzerland</w:t>
            </w:r>
          </w:p>
        </w:tc>
        <w:tc>
          <w:tcPr>
            <w:tcW w:w="0" w:type="auto"/>
            <w:tcBorders>
              <w:top w:val="nil"/>
              <w:left w:val="nil"/>
              <w:bottom w:val="single" w:sz="4" w:space="0" w:color="DDDDDD"/>
              <w:right w:val="single" w:sz="4" w:space="0" w:color="DDDDDD"/>
            </w:tcBorders>
            <w:shd w:val="clear" w:color="FFFFFF" w:fill="FFFFFF"/>
            <w:noWrap/>
            <w:vAlign w:val="bottom"/>
            <w:hideMark/>
          </w:tcPr>
          <w:p w14:paraId="09EAC028"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0DDA64F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390</w:t>
            </w:r>
          </w:p>
        </w:tc>
        <w:tc>
          <w:tcPr>
            <w:tcW w:w="0" w:type="auto"/>
            <w:tcBorders>
              <w:top w:val="nil"/>
              <w:left w:val="nil"/>
              <w:bottom w:val="single" w:sz="4" w:space="0" w:color="DDDDDD"/>
              <w:right w:val="single" w:sz="4" w:space="0" w:color="DDDDDD"/>
            </w:tcBorders>
            <w:shd w:val="clear" w:color="FFFFFF" w:fill="FFFFFF"/>
            <w:noWrap/>
            <w:vAlign w:val="bottom"/>
            <w:hideMark/>
          </w:tcPr>
          <w:p w14:paraId="0E605EE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2225917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164A825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https://zenodo.org/record/5607307</w:t>
            </w:r>
          </w:p>
        </w:tc>
      </w:tr>
      <w:tr w:rsidR="00BD154D" w:rsidRPr="004535FA" w14:paraId="1AD39DD9"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662B7F2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CRESCENDO</w:t>
            </w:r>
          </w:p>
        </w:tc>
        <w:tc>
          <w:tcPr>
            <w:tcW w:w="0" w:type="auto"/>
            <w:tcBorders>
              <w:top w:val="nil"/>
              <w:left w:val="nil"/>
              <w:bottom w:val="single" w:sz="4" w:space="0" w:color="DDDDDD"/>
              <w:right w:val="single" w:sz="4" w:space="0" w:color="DDDDDD"/>
            </w:tcBorders>
            <w:shd w:val="clear" w:color="FFFFFF" w:fill="FFFFFF"/>
            <w:noWrap/>
            <w:vAlign w:val="bottom"/>
            <w:hideMark/>
          </w:tcPr>
          <w:p w14:paraId="2DB92F9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34629CF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Identification of durable and non-durable FeNx sites in Fe–N–C materials for proton exchange membrane fuel cells</w:t>
            </w:r>
          </w:p>
        </w:tc>
        <w:tc>
          <w:tcPr>
            <w:tcW w:w="0" w:type="auto"/>
            <w:tcBorders>
              <w:top w:val="nil"/>
              <w:left w:val="nil"/>
              <w:bottom w:val="single" w:sz="4" w:space="0" w:color="DDDDDD"/>
              <w:right w:val="single" w:sz="4" w:space="0" w:color="DDDDDD"/>
            </w:tcBorders>
            <w:shd w:val="clear" w:color="FFFFFF" w:fill="FFFFFF"/>
            <w:noWrap/>
            <w:vAlign w:val="bottom"/>
            <w:hideMark/>
          </w:tcPr>
          <w:p w14:paraId="462BF6D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10.1038/s41929-020-00545-2</w:t>
            </w:r>
          </w:p>
        </w:tc>
        <w:tc>
          <w:tcPr>
            <w:tcW w:w="0" w:type="auto"/>
            <w:tcBorders>
              <w:top w:val="nil"/>
              <w:left w:val="nil"/>
              <w:bottom w:val="single" w:sz="4" w:space="0" w:color="DDDDDD"/>
              <w:right w:val="single" w:sz="4" w:space="0" w:color="DDDDDD"/>
            </w:tcBorders>
            <w:shd w:val="clear" w:color="FFFFFF" w:fill="FFFFFF"/>
            <w:noWrap/>
            <w:vAlign w:val="bottom"/>
            <w:hideMark/>
          </w:tcPr>
          <w:p w14:paraId="1FAA34E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25201158</w:t>
            </w:r>
          </w:p>
        </w:tc>
        <w:tc>
          <w:tcPr>
            <w:tcW w:w="0" w:type="auto"/>
            <w:tcBorders>
              <w:top w:val="nil"/>
              <w:left w:val="nil"/>
              <w:bottom w:val="single" w:sz="4" w:space="0" w:color="DDDDDD"/>
              <w:right w:val="single" w:sz="4" w:space="0" w:color="DDDDDD"/>
            </w:tcBorders>
            <w:shd w:val="clear" w:color="FFFFFF" w:fill="FFFFFF"/>
            <w:noWrap/>
            <w:vAlign w:val="bottom"/>
            <w:hideMark/>
          </w:tcPr>
          <w:p w14:paraId="5FBD749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Jingkun Li, Moulay Tahar Sougrati, Andrea Zitolo, James M. Ablett, Ismail Can Oğuz, Tzonka Mineva, Ivana Matanovic, Plamen Atanassov, Ying Huang, Iryna Zenyuk, Andrea Di Cicco, Kavita Kumar, Laetitia Dubau, Frédéric Maillard, Goran Dražić, Frédéric Jaouen</w:t>
            </w:r>
          </w:p>
        </w:tc>
        <w:tc>
          <w:tcPr>
            <w:tcW w:w="0" w:type="auto"/>
            <w:tcBorders>
              <w:top w:val="nil"/>
              <w:left w:val="nil"/>
              <w:bottom w:val="single" w:sz="4" w:space="0" w:color="DDDDDD"/>
              <w:right w:val="single" w:sz="4" w:space="0" w:color="DDDDDD"/>
            </w:tcBorders>
            <w:shd w:val="clear" w:color="FFFFFF" w:fill="FFFFFF"/>
            <w:noWrap/>
            <w:vAlign w:val="bottom"/>
            <w:hideMark/>
          </w:tcPr>
          <w:p w14:paraId="022E8E7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Nature Catalysis</w:t>
            </w:r>
          </w:p>
        </w:tc>
        <w:tc>
          <w:tcPr>
            <w:tcW w:w="0" w:type="auto"/>
            <w:tcBorders>
              <w:top w:val="nil"/>
              <w:left w:val="nil"/>
              <w:bottom w:val="single" w:sz="4" w:space="0" w:color="DDDDDD"/>
              <w:right w:val="single" w:sz="4" w:space="0" w:color="DDDDDD"/>
            </w:tcBorders>
            <w:shd w:val="clear" w:color="FFFFFF" w:fill="FFFFFF"/>
            <w:noWrap/>
            <w:vAlign w:val="bottom"/>
            <w:hideMark/>
          </w:tcPr>
          <w:p w14:paraId="4F1B206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4/1</w:t>
            </w:r>
          </w:p>
        </w:tc>
        <w:tc>
          <w:tcPr>
            <w:tcW w:w="0" w:type="auto"/>
            <w:tcBorders>
              <w:top w:val="nil"/>
              <w:left w:val="nil"/>
              <w:bottom w:val="single" w:sz="4" w:space="0" w:color="DDDDDD"/>
              <w:right w:val="single" w:sz="4" w:space="0" w:color="DDDDDD"/>
            </w:tcBorders>
            <w:shd w:val="clear" w:color="FFFFFF" w:fill="FFFFFF"/>
            <w:noWrap/>
            <w:vAlign w:val="bottom"/>
            <w:hideMark/>
          </w:tcPr>
          <w:p w14:paraId="5EB6CE5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Springer Nature</w:t>
            </w:r>
          </w:p>
        </w:tc>
        <w:tc>
          <w:tcPr>
            <w:tcW w:w="0" w:type="auto"/>
            <w:tcBorders>
              <w:top w:val="nil"/>
              <w:left w:val="nil"/>
              <w:bottom w:val="single" w:sz="4" w:space="0" w:color="DDDDDD"/>
              <w:right w:val="single" w:sz="4" w:space="0" w:color="DDDDDD"/>
            </w:tcBorders>
            <w:shd w:val="clear" w:color="FFFFFF" w:fill="FFFFFF"/>
            <w:noWrap/>
            <w:vAlign w:val="bottom"/>
            <w:hideMark/>
          </w:tcPr>
          <w:p w14:paraId="2617801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United Kingdom</w:t>
            </w:r>
          </w:p>
        </w:tc>
        <w:tc>
          <w:tcPr>
            <w:tcW w:w="0" w:type="auto"/>
            <w:tcBorders>
              <w:top w:val="nil"/>
              <w:left w:val="nil"/>
              <w:bottom w:val="single" w:sz="4" w:space="0" w:color="DDDDDD"/>
              <w:right w:val="single" w:sz="4" w:space="0" w:color="DDDDDD"/>
            </w:tcBorders>
            <w:shd w:val="clear" w:color="FFFFFF" w:fill="FFFFFF"/>
            <w:noWrap/>
            <w:vAlign w:val="bottom"/>
            <w:hideMark/>
          </w:tcPr>
          <w:p w14:paraId="6E99653E"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0DCDDD8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10-19</w:t>
            </w:r>
          </w:p>
        </w:tc>
        <w:tc>
          <w:tcPr>
            <w:tcW w:w="0" w:type="auto"/>
            <w:tcBorders>
              <w:top w:val="nil"/>
              <w:left w:val="nil"/>
              <w:bottom w:val="single" w:sz="4" w:space="0" w:color="DDDDDD"/>
              <w:right w:val="single" w:sz="4" w:space="0" w:color="DDDDDD"/>
            </w:tcBorders>
            <w:shd w:val="clear" w:color="FFFFFF" w:fill="FFFFFF"/>
            <w:noWrap/>
            <w:vAlign w:val="bottom"/>
            <w:hideMark/>
          </w:tcPr>
          <w:p w14:paraId="2DB8745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1854D1F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Yes</w:t>
            </w:r>
          </w:p>
        </w:tc>
        <w:tc>
          <w:tcPr>
            <w:tcW w:w="0" w:type="auto"/>
            <w:tcBorders>
              <w:top w:val="nil"/>
              <w:left w:val="nil"/>
              <w:bottom w:val="single" w:sz="4" w:space="0" w:color="DDDDDD"/>
              <w:right w:val="single" w:sz="4" w:space="0" w:color="DDDDDD"/>
            </w:tcBorders>
            <w:shd w:val="clear" w:color="FFFFFF" w:fill="FFFFFF"/>
            <w:noWrap/>
            <w:vAlign w:val="bottom"/>
            <w:hideMark/>
          </w:tcPr>
          <w:p w14:paraId="0908348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https://hal.archives-ouvertes.fr/hal-02931434</w:t>
            </w:r>
          </w:p>
        </w:tc>
      </w:tr>
      <w:tr w:rsidR="00BD154D" w:rsidRPr="004535FA" w14:paraId="02252343"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435B44E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lastRenderedPageBreak/>
              <w:t>CRESCENDO</w:t>
            </w:r>
          </w:p>
        </w:tc>
        <w:tc>
          <w:tcPr>
            <w:tcW w:w="0" w:type="auto"/>
            <w:tcBorders>
              <w:top w:val="nil"/>
              <w:left w:val="nil"/>
              <w:bottom w:val="single" w:sz="4" w:space="0" w:color="DDDDDD"/>
              <w:right w:val="single" w:sz="4" w:space="0" w:color="DDDDDD"/>
            </w:tcBorders>
            <w:shd w:val="clear" w:color="FFFFFF" w:fill="FFFFFF"/>
            <w:noWrap/>
            <w:vAlign w:val="bottom"/>
            <w:hideMark/>
          </w:tcPr>
          <w:p w14:paraId="1F6F3F2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09D701A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Impact of ionomer structuration on the performance of bio-inspired noble-metal-free fuel cell anodes</w:t>
            </w:r>
          </w:p>
        </w:tc>
        <w:tc>
          <w:tcPr>
            <w:tcW w:w="0" w:type="auto"/>
            <w:tcBorders>
              <w:top w:val="nil"/>
              <w:left w:val="nil"/>
              <w:bottom w:val="single" w:sz="4" w:space="0" w:color="DDDDDD"/>
              <w:right w:val="single" w:sz="4" w:space="0" w:color="DDDDDD"/>
            </w:tcBorders>
            <w:shd w:val="clear" w:color="FFFFFF" w:fill="FFFFFF"/>
            <w:noWrap/>
            <w:vAlign w:val="bottom"/>
            <w:hideMark/>
          </w:tcPr>
          <w:p w14:paraId="186743E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10.1016/j.checat.2021.01.001</w:t>
            </w:r>
          </w:p>
        </w:tc>
        <w:tc>
          <w:tcPr>
            <w:tcW w:w="0" w:type="auto"/>
            <w:tcBorders>
              <w:top w:val="nil"/>
              <w:left w:val="nil"/>
              <w:bottom w:val="single" w:sz="4" w:space="0" w:color="DDDDDD"/>
              <w:right w:val="single" w:sz="4" w:space="0" w:color="DDDDDD"/>
            </w:tcBorders>
            <w:shd w:val="clear" w:color="FFFFFF" w:fill="FFFFFF"/>
            <w:noWrap/>
            <w:vAlign w:val="bottom"/>
            <w:hideMark/>
          </w:tcPr>
          <w:p w14:paraId="4CA3CAE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26671093</w:t>
            </w:r>
          </w:p>
        </w:tc>
        <w:tc>
          <w:tcPr>
            <w:tcW w:w="0" w:type="auto"/>
            <w:tcBorders>
              <w:top w:val="nil"/>
              <w:left w:val="nil"/>
              <w:bottom w:val="single" w:sz="4" w:space="0" w:color="DDDDDD"/>
              <w:right w:val="single" w:sz="4" w:space="0" w:color="DDDDDD"/>
            </w:tcBorders>
            <w:shd w:val="clear" w:color="FFFFFF" w:fill="FFFFFF"/>
            <w:noWrap/>
            <w:vAlign w:val="bottom"/>
            <w:hideMark/>
          </w:tcPr>
          <w:p w14:paraId="42ABFAA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Nathan Coutard, Bertrand Reuillard, Tran Ngoc Huan, Fabrice Valentino, Reuben T. Jane, Solène Gentil, Eugen S. Andreiadis, Alan Le Goff, Tristan Asset, Frédéric Maillard, Bruno Jousselme, Adina Morozan, Sandrine Lyonnard, Vincent Artero, Pascale Chenevier</w:t>
            </w:r>
          </w:p>
        </w:tc>
        <w:tc>
          <w:tcPr>
            <w:tcW w:w="0" w:type="auto"/>
            <w:tcBorders>
              <w:top w:val="nil"/>
              <w:left w:val="nil"/>
              <w:bottom w:val="single" w:sz="4" w:space="0" w:color="DDDDDD"/>
              <w:right w:val="single" w:sz="4" w:space="0" w:color="DDDDDD"/>
            </w:tcBorders>
            <w:shd w:val="clear" w:color="FFFFFF" w:fill="FFFFFF"/>
            <w:noWrap/>
            <w:vAlign w:val="bottom"/>
            <w:hideMark/>
          </w:tcPr>
          <w:p w14:paraId="5ABBA05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Chem Catalysis</w:t>
            </w:r>
          </w:p>
        </w:tc>
        <w:tc>
          <w:tcPr>
            <w:tcW w:w="0" w:type="auto"/>
            <w:tcBorders>
              <w:top w:val="nil"/>
              <w:left w:val="nil"/>
              <w:bottom w:val="single" w:sz="4" w:space="0" w:color="DDDDDD"/>
              <w:right w:val="single" w:sz="4" w:space="0" w:color="DDDDDD"/>
            </w:tcBorders>
            <w:shd w:val="clear" w:color="FFFFFF" w:fill="FFFFFF"/>
            <w:noWrap/>
            <w:vAlign w:val="bottom"/>
            <w:hideMark/>
          </w:tcPr>
          <w:p w14:paraId="6B04563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1/1</w:t>
            </w:r>
          </w:p>
        </w:tc>
        <w:tc>
          <w:tcPr>
            <w:tcW w:w="0" w:type="auto"/>
            <w:tcBorders>
              <w:top w:val="nil"/>
              <w:left w:val="nil"/>
              <w:bottom w:val="single" w:sz="4" w:space="0" w:color="DDDDDD"/>
              <w:right w:val="single" w:sz="4" w:space="0" w:color="DDDDDD"/>
            </w:tcBorders>
            <w:shd w:val="clear" w:color="FFFFFF" w:fill="FFFFFF"/>
            <w:noWrap/>
            <w:vAlign w:val="bottom"/>
            <w:hideMark/>
          </w:tcPr>
          <w:p w14:paraId="206B956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Elsevier</w:t>
            </w:r>
          </w:p>
        </w:tc>
        <w:tc>
          <w:tcPr>
            <w:tcW w:w="0" w:type="auto"/>
            <w:tcBorders>
              <w:top w:val="nil"/>
              <w:left w:val="nil"/>
              <w:bottom w:val="single" w:sz="4" w:space="0" w:color="DDDDDD"/>
              <w:right w:val="single" w:sz="4" w:space="0" w:color="DDDDDD"/>
            </w:tcBorders>
            <w:shd w:val="clear" w:color="FFFFFF" w:fill="FFFFFF"/>
            <w:noWrap/>
            <w:vAlign w:val="bottom"/>
            <w:hideMark/>
          </w:tcPr>
          <w:p w14:paraId="5A4F772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The Netherlands</w:t>
            </w:r>
          </w:p>
        </w:tc>
        <w:tc>
          <w:tcPr>
            <w:tcW w:w="0" w:type="auto"/>
            <w:tcBorders>
              <w:top w:val="nil"/>
              <w:left w:val="nil"/>
              <w:bottom w:val="single" w:sz="4" w:space="0" w:color="DDDDDD"/>
              <w:right w:val="single" w:sz="4" w:space="0" w:color="DDDDDD"/>
            </w:tcBorders>
            <w:shd w:val="clear" w:color="FFFFFF" w:fill="FFFFFF"/>
            <w:noWrap/>
            <w:vAlign w:val="bottom"/>
            <w:hideMark/>
          </w:tcPr>
          <w:p w14:paraId="359AA168"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082ED9E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88-105</w:t>
            </w:r>
          </w:p>
        </w:tc>
        <w:tc>
          <w:tcPr>
            <w:tcW w:w="0" w:type="auto"/>
            <w:tcBorders>
              <w:top w:val="nil"/>
              <w:left w:val="nil"/>
              <w:bottom w:val="single" w:sz="4" w:space="0" w:color="DDDDDD"/>
              <w:right w:val="single" w:sz="4" w:space="0" w:color="DDDDDD"/>
            </w:tcBorders>
            <w:shd w:val="clear" w:color="FFFFFF" w:fill="FFFFFF"/>
            <w:noWrap/>
            <w:vAlign w:val="bottom"/>
            <w:hideMark/>
          </w:tcPr>
          <w:p w14:paraId="0869C1C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5C3B500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6A7AC00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https://hal-cnrs.archives-ouvertes.fr/hal-03126604</w:t>
            </w:r>
          </w:p>
        </w:tc>
      </w:tr>
      <w:tr w:rsidR="00BD154D" w:rsidRPr="004535FA" w14:paraId="75EF701C"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65C6719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CRESCENDO</w:t>
            </w:r>
          </w:p>
        </w:tc>
        <w:tc>
          <w:tcPr>
            <w:tcW w:w="0" w:type="auto"/>
            <w:tcBorders>
              <w:top w:val="nil"/>
              <w:left w:val="nil"/>
              <w:bottom w:val="single" w:sz="4" w:space="0" w:color="DDDDDD"/>
              <w:right w:val="single" w:sz="4" w:space="0" w:color="DDDDDD"/>
            </w:tcBorders>
            <w:shd w:val="clear" w:color="FFFFFF" w:fill="FFFFFF"/>
            <w:noWrap/>
            <w:vAlign w:val="bottom"/>
            <w:hideMark/>
          </w:tcPr>
          <w:p w14:paraId="0900AD2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79FFDFA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Noncovalent Integration of a Bioinspired Ni Catalyst to Graphene Acid for Reversible Electrocatalytic Hydrogen Oxidation</w:t>
            </w:r>
          </w:p>
        </w:tc>
        <w:tc>
          <w:tcPr>
            <w:tcW w:w="0" w:type="auto"/>
            <w:tcBorders>
              <w:top w:val="nil"/>
              <w:left w:val="nil"/>
              <w:bottom w:val="single" w:sz="4" w:space="0" w:color="DDDDDD"/>
              <w:right w:val="single" w:sz="4" w:space="0" w:color="DDDDDD"/>
            </w:tcBorders>
            <w:shd w:val="clear" w:color="FFFFFF" w:fill="FFFFFF"/>
            <w:noWrap/>
            <w:vAlign w:val="bottom"/>
            <w:hideMark/>
          </w:tcPr>
          <w:p w14:paraId="6834CB4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10.1021/acsami.9b18922</w:t>
            </w:r>
          </w:p>
        </w:tc>
        <w:tc>
          <w:tcPr>
            <w:tcW w:w="0" w:type="auto"/>
            <w:tcBorders>
              <w:top w:val="nil"/>
              <w:left w:val="nil"/>
              <w:bottom w:val="single" w:sz="4" w:space="0" w:color="DDDDDD"/>
              <w:right w:val="single" w:sz="4" w:space="0" w:color="DDDDDD"/>
            </w:tcBorders>
            <w:shd w:val="clear" w:color="FFFFFF" w:fill="FFFFFF"/>
            <w:noWrap/>
            <w:vAlign w:val="bottom"/>
            <w:hideMark/>
          </w:tcPr>
          <w:p w14:paraId="4C6693E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19448244</w:t>
            </w:r>
          </w:p>
        </w:tc>
        <w:tc>
          <w:tcPr>
            <w:tcW w:w="0" w:type="auto"/>
            <w:tcBorders>
              <w:top w:val="nil"/>
              <w:left w:val="nil"/>
              <w:bottom w:val="single" w:sz="4" w:space="0" w:color="DDDDDD"/>
              <w:right w:val="single" w:sz="4" w:space="0" w:color="DDDDDD"/>
            </w:tcBorders>
            <w:shd w:val="clear" w:color="FFFFFF" w:fill="FFFFFF"/>
            <w:noWrap/>
            <w:vAlign w:val="bottom"/>
            <w:hideMark/>
          </w:tcPr>
          <w:p w14:paraId="164487C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Bertrand Reuillard, Matías Blanco, Laura Calvillo, Nathan Coutard, Ahmed Ghedjatti, Pascale Chenevier, Stefano Agnoli, Michal Otyepka, Gaetano Granozzi, Vincent Artero</w:t>
            </w:r>
          </w:p>
        </w:tc>
        <w:tc>
          <w:tcPr>
            <w:tcW w:w="0" w:type="auto"/>
            <w:tcBorders>
              <w:top w:val="nil"/>
              <w:left w:val="nil"/>
              <w:bottom w:val="single" w:sz="4" w:space="0" w:color="DDDDDD"/>
              <w:right w:val="single" w:sz="4" w:space="0" w:color="DDDDDD"/>
            </w:tcBorders>
            <w:shd w:val="clear" w:color="FFFFFF" w:fill="FFFFFF"/>
            <w:noWrap/>
            <w:vAlign w:val="bottom"/>
            <w:hideMark/>
          </w:tcPr>
          <w:p w14:paraId="5E19404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ACS Applied Materials &amp; Interfaces</w:t>
            </w:r>
          </w:p>
        </w:tc>
        <w:tc>
          <w:tcPr>
            <w:tcW w:w="0" w:type="auto"/>
            <w:tcBorders>
              <w:top w:val="nil"/>
              <w:left w:val="nil"/>
              <w:bottom w:val="single" w:sz="4" w:space="0" w:color="DDDDDD"/>
              <w:right w:val="single" w:sz="4" w:space="0" w:color="DDDDDD"/>
            </w:tcBorders>
            <w:shd w:val="clear" w:color="FFFFFF" w:fill="FFFFFF"/>
            <w:noWrap/>
            <w:vAlign w:val="bottom"/>
            <w:hideMark/>
          </w:tcPr>
          <w:p w14:paraId="09C4722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12/5</w:t>
            </w:r>
          </w:p>
        </w:tc>
        <w:tc>
          <w:tcPr>
            <w:tcW w:w="0" w:type="auto"/>
            <w:tcBorders>
              <w:top w:val="nil"/>
              <w:left w:val="nil"/>
              <w:bottom w:val="single" w:sz="4" w:space="0" w:color="DDDDDD"/>
              <w:right w:val="single" w:sz="4" w:space="0" w:color="DDDDDD"/>
            </w:tcBorders>
            <w:shd w:val="clear" w:color="FFFFFF" w:fill="FFFFFF"/>
            <w:noWrap/>
            <w:vAlign w:val="bottom"/>
            <w:hideMark/>
          </w:tcPr>
          <w:p w14:paraId="505B69F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American Chemical Society</w:t>
            </w:r>
          </w:p>
        </w:tc>
        <w:tc>
          <w:tcPr>
            <w:tcW w:w="0" w:type="auto"/>
            <w:tcBorders>
              <w:top w:val="nil"/>
              <w:left w:val="nil"/>
              <w:bottom w:val="single" w:sz="4" w:space="0" w:color="DDDDDD"/>
              <w:right w:val="single" w:sz="4" w:space="0" w:color="DDDDDD"/>
            </w:tcBorders>
            <w:shd w:val="clear" w:color="FFFFFF" w:fill="FFFFFF"/>
            <w:noWrap/>
            <w:vAlign w:val="bottom"/>
            <w:hideMark/>
          </w:tcPr>
          <w:p w14:paraId="5DFD7DA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United States</w:t>
            </w:r>
          </w:p>
        </w:tc>
        <w:tc>
          <w:tcPr>
            <w:tcW w:w="0" w:type="auto"/>
            <w:tcBorders>
              <w:top w:val="nil"/>
              <w:left w:val="nil"/>
              <w:bottom w:val="single" w:sz="4" w:space="0" w:color="DDDDDD"/>
              <w:right w:val="single" w:sz="4" w:space="0" w:color="DDDDDD"/>
            </w:tcBorders>
            <w:shd w:val="clear" w:color="FFFFFF" w:fill="FFFFFF"/>
            <w:noWrap/>
            <w:vAlign w:val="bottom"/>
            <w:hideMark/>
          </w:tcPr>
          <w:p w14:paraId="60CB383A"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2020</w:t>
            </w:r>
          </w:p>
        </w:tc>
        <w:tc>
          <w:tcPr>
            <w:tcW w:w="0" w:type="auto"/>
            <w:tcBorders>
              <w:top w:val="nil"/>
              <w:left w:val="nil"/>
              <w:bottom w:val="single" w:sz="4" w:space="0" w:color="DDDDDD"/>
              <w:right w:val="single" w:sz="4" w:space="0" w:color="DDDDDD"/>
            </w:tcBorders>
            <w:shd w:val="clear" w:color="FFFFFF" w:fill="FFFFFF"/>
            <w:noWrap/>
            <w:vAlign w:val="bottom"/>
            <w:hideMark/>
          </w:tcPr>
          <w:p w14:paraId="6F38F5D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5805-5811</w:t>
            </w:r>
          </w:p>
        </w:tc>
        <w:tc>
          <w:tcPr>
            <w:tcW w:w="0" w:type="auto"/>
            <w:tcBorders>
              <w:top w:val="nil"/>
              <w:left w:val="nil"/>
              <w:bottom w:val="single" w:sz="4" w:space="0" w:color="DDDDDD"/>
              <w:right w:val="single" w:sz="4" w:space="0" w:color="DDDDDD"/>
            </w:tcBorders>
            <w:shd w:val="clear" w:color="FFFFFF" w:fill="FFFFFF"/>
            <w:noWrap/>
            <w:vAlign w:val="bottom"/>
            <w:hideMark/>
          </w:tcPr>
          <w:p w14:paraId="773D159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7D72613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2808D56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https://hal.archives-ouvertes.fr/hal-02468287</w:t>
            </w:r>
          </w:p>
        </w:tc>
      </w:tr>
      <w:tr w:rsidR="00BD154D" w:rsidRPr="004535FA" w14:paraId="3E7DD0A6"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7DACDC0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CRESCENDO</w:t>
            </w:r>
          </w:p>
        </w:tc>
        <w:tc>
          <w:tcPr>
            <w:tcW w:w="0" w:type="auto"/>
            <w:tcBorders>
              <w:top w:val="nil"/>
              <w:left w:val="nil"/>
              <w:bottom w:val="single" w:sz="4" w:space="0" w:color="DDDDDD"/>
              <w:right w:val="single" w:sz="4" w:space="0" w:color="DDDDDD"/>
            </w:tcBorders>
            <w:shd w:val="clear" w:color="FFFFFF" w:fill="FFFFFF"/>
            <w:noWrap/>
            <w:vAlign w:val="bottom"/>
            <w:hideMark/>
          </w:tcPr>
          <w:p w14:paraId="6B80F9B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4DF7C15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Stable, Active, and Methanol-Tolerant PGM-Free Surfaces in an Acidic Medium: Electron Tunneling at Play in Pt/FeNC Hybrid Catalysts for Direct Methanol Fuel Cell Cathodes</w:t>
            </w:r>
          </w:p>
        </w:tc>
        <w:tc>
          <w:tcPr>
            <w:tcW w:w="0" w:type="auto"/>
            <w:tcBorders>
              <w:top w:val="nil"/>
              <w:left w:val="nil"/>
              <w:bottom w:val="single" w:sz="4" w:space="0" w:color="DDDDDD"/>
              <w:right w:val="single" w:sz="4" w:space="0" w:color="DDDDDD"/>
            </w:tcBorders>
            <w:shd w:val="clear" w:color="FFFFFF" w:fill="FFFFFF"/>
            <w:noWrap/>
            <w:vAlign w:val="bottom"/>
            <w:hideMark/>
          </w:tcPr>
          <w:p w14:paraId="34C1B9F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10.1021/acscatal.0c01288</w:t>
            </w:r>
          </w:p>
        </w:tc>
        <w:tc>
          <w:tcPr>
            <w:tcW w:w="0" w:type="auto"/>
            <w:tcBorders>
              <w:top w:val="nil"/>
              <w:left w:val="nil"/>
              <w:bottom w:val="single" w:sz="4" w:space="0" w:color="DDDDDD"/>
              <w:right w:val="single" w:sz="4" w:space="0" w:color="DDDDDD"/>
            </w:tcBorders>
            <w:shd w:val="clear" w:color="FFFFFF" w:fill="FFFFFF"/>
            <w:noWrap/>
            <w:vAlign w:val="bottom"/>
            <w:hideMark/>
          </w:tcPr>
          <w:p w14:paraId="070826E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21555435</w:t>
            </w:r>
          </w:p>
        </w:tc>
        <w:tc>
          <w:tcPr>
            <w:tcW w:w="0" w:type="auto"/>
            <w:tcBorders>
              <w:top w:val="nil"/>
              <w:left w:val="nil"/>
              <w:bottom w:val="single" w:sz="4" w:space="0" w:color="DDDDDD"/>
              <w:right w:val="single" w:sz="4" w:space="0" w:color="DDDDDD"/>
            </w:tcBorders>
            <w:shd w:val="clear" w:color="FFFFFF" w:fill="FFFFFF"/>
            <w:noWrap/>
            <w:vAlign w:val="bottom"/>
            <w:hideMark/>
          </w:tcPr>
          <w:p w14:paraId="5EC839A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Tomasz Kosmala, Nicolas Bibent, Moulay Tahar Sougrati, Goran Dražić, Stefano Agnoli, Frédéric Jaouen, Gaetano Granozzi</w:t>
            </w:r>
          </w:p>
        </w:tc>
        <w:tc>
          <w:tcPr>
            <w:tcW w:w="0" w:type="auto"/>
            <w:tcBorders>
              <w:top w:val="nil"/>
              <w:left w:val="nil"/>
              <w:bottom w:val="single" w:sz="4" w:space="0" w:color="DDDDDD"/>
              <w:right w:val="single" w:sz="4" w:space="0" w:color="DDDDDD"/>
            </w:tcBorders>
            <w:shd w:val="clear" w:color="FFFFFF" w:fill="FFFFFF"/>
            <w:noWrap/>
            <w:vAlign w:val="bottom"/>
            <w:hideMark/>
          </w:tcPr>
          <w:p w14:paraId="425903E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ACS Catalysis</w:t>
            </w:r>
          </w:p>
        </w:tc>
        <w:tc>
          <w:tcPr>
            <w:tcW w:w="0" w:type="auto"/>
            <w:tcBorders>
              <w:top w:val="nil"/>
              <w:left w:val="nil"/>
              <w:bottom w:val="single" w:sz="4" w:space="0" w:color="DDDDDD"/>
              <w:right w:val="single" w:sz="4" w:space="0" w:color="DDDDDD"/>
            </w:tcBorders>
            <w:shd w:val="clear" w:color="FFFFFF" w:fill="FFFFFF"/>
            <w:noWrap/>
            <w:vAlign w:val="bottom"/>
            <w:hideMark/>
          </w:tcPr>
          <w:p w14:paraId="6BF68F6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10/14</w:t>
            </w:r>
          </w:p>
        </w:tc>
        <w:tc>
          <w:tcPr>
            <w:tcW w:w="0" w:type="auto"/>
            <w:tcBorders>
              <w:top w:val="nil"/>
              <w:left w:val="nil"/>
              <w:bottom w:val="single" w:sz="4" w:space="0" w:color="DDDDDD"/>
              <w:right w:val="single" w:sz="4" w:space="0" w:color="DDDDDD"/>
            </w:tcBorders>
            <w:shd w:val="clear" w:color="FFFFFF" w:fill="FFFFFF"/>
            <w:noWrap/>
            <w:vAlign w:val="bottom"/>
            <w:hideMark/>
          </w:tcPr>
          <w:p w14:paraId="6CE832E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American Chemical Society</w:t>
            </w:r>
          </w:p>
        </w:tc>
        <w:tc>
          <w:tcPr>
            <w:tcW w:w="0" w:type="auto"/>
            <w:tcBorders>
              <w:top w:val="nil"/>
              <w:left w:val="nil"/>
              <w:bottom w:val="single" w:sz="4" w:space="0" w:color="DDDDDD"/>
              <w:right w:val="single" w:sz="4" w:space="0" w:color="DDDDDD"/>
            </w:tcBorders>
            <w:shd w:val="clear" w:color="FFFFFF" w:fill="FFFFFF"/>
            <w:noWrap/>
            <w:vAlign w:val="bottom"/>
            <w:hideMark/>
          </w:tcPr>
          <w:p w14:paraId="22F531F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United States</w:t>
            </w:r>
          </w:p>
        </w:tc>
        <w:tc>
          <w:tcPr>
            <w:tcW w:w="0" w:type="auto"/>
            <w:tcBorders>
              <w:top w:val="nil"/>
              <w:left w:val="nil"/>
              <w:bottom w:val="single" w:sz="4" w:space="0" w:color="DDDDDD"/>
              <w:right w:val="single" w:sz="4" w:space="0" w:color="DDDDDD"/>
            </w:tcBorders>
            <w:shd w:val="clear" w:color="FFFFFF" w:fill="FFFFFF"/>
            <w:noWrap/>
            <w:vAlign w:val="bottom"/>
            <w:hideMark/>
          </w:tcPr>
          <w:p w14:paraId="338AA22E"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2020</w:t>
            </w:r>
          </w:p>
        </w:tc>
        <w:tc>
          <w:tcPr>
            <w:tcW w:w="0" w:type="auto"/>
            <w:tcBorders>
              <w:top w:val="nil"/>
              <w:left w:val="nil"/>
              <w:bottom w:val="single" w:sz="4" w:space="0" w:color="DDDDDD"/>
              <w:right w:val="single" w:sz="4" w:space="0" w:color="DDDDDD"/>
            </w:tcBorders>
            <w:shd w:val="clear" w:color="FFFFFF" w:fill="FFFFFF"/>
            <w:noWrap/>
            <w:vAlign w:val="bottom"/>
            <w:hideMark/>
          </w:tcPr>
          <w:p w14:paraId="687C833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7475-7485</w:t>
            </w:r>
          </w:p>
        </w:tc>
        <w:tc>
          <w:tcPr>
            <w:tcW w:w="0" w:type="auto"/>
            <w:tcBorders>
              <w:top w:val="nil"/>
              <w:left w:val="nil"/>
              <w:bottom w:val="single" w:sz="4" w:space="0" w:color="DDDDDD"/>
              <w:right w:val="single" w:sz="4" w:space="0" w:color="DDDDDD"/>
            </w:tcBorders>
            <w:shd w:val="clear" w:color="FFFFFF" w:fill="FFFFFF"/>
            <w:noWrap/>
            <w:vAlign w:val="bottom"/>
            <w:hideMark/>
          </w:tcPr>
          <w:p w14:paraId="0BC1EFC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2A1789B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640C149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https://hal.umontpellier.fr/hal-02918327</w:t>
            </w:r>
          </w:p>
        </w:tc>
      </w:tr>
      <w:tr w:rsidR="00BD154D" w:rsidRPr="004535FA" w14:paraId="23A5E93E"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7BBA3F3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CRESCENDO</w:t>
            </w:r>
          </w:p>
        </w:tc>
        <w:tc>
          <w:tcPr>
            <w:tcW w:w="0" w:type="auto"/>
            <w:tcBorders>
              <w:top w:val="nil"/>
              <w:left w:val="nil"/>
              <w:bottom w:val="single" w:sz="4" w:space="0" w:color="DDDDDD"/>
              <w:right w:val="single" w:sz="4" w:space="0" w:color="DDDDDD"/>
            </w:tcBorders>
            <w:shd w:val="clear" w:color="FFFFFF" w:fill="FFFFFF"/>
            <w:noWrap/>
            <w:vAlign w:val="bottom"/>
            <w:hideMark/>
          </w:tcPr>
          <w:p w14:paraId="331791F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2A48B0E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Sulfur Doping versus Hierarchical Pore Structure: The Dominating Effect on the Fe–N–C Site Density, Activity, and Selectivity in Oxygen Reduction Reaction Electrocatalysis</w:t>
            </w:r>
          </w:p>
        </w:tc>
        <w:tc>
          <w:tcPr>
            <w:tcW w:w="0" w:type="auto"/>
            <w:tcBorders>
              <w:top w:val="nil"/>
              <w:left w:val="nil"/>
              <w:bottom w:val="single" w:sz="4" w:space="0" w:color="DDDDDD"/>
              <w:right w:val="single" w:sz="4" w:space="0" w:color="DDDDDD"/>
            </w:tcBorders>
            <w:shd w:val="clear" w:color="FFFFFF" w:fill="FFFFFF"/>
            <w:noWrap/>
            <w:vAlign w:val="bottom"/>
            <w:hideMark/>
          </w:tcPr>
          <w:p w14:paraId="41B6D8B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10.1021/acsami.1c09659</w:t>
            </w:r>
          </w:p>
        </w:tc>
        <w:tc>
          <w:tcPr>
            <w:tcW w:w="0" w:type="auto"/>
            <w:tcBorders>
              <w:top w:val="nil"/>
              <w:left w:val="nil"/>
              <w:bottom w:val="single" w:sz="4" w:space="0" w:color="DDDDDD"/>
              <w:right w:val="single" w:sz="4" w:space="0" w:color="DDDDDD"/>
            </w:tcBorders>
            <w:shd w:val="clear" w:color="FFFFFF" w:fill="FFFFFF"/>
            <w:noWrap/>
            <w:vAlign w:val="bottom"/>
            <w:hideMark/>
          </w:tcPr>
          <w:p w14:paraId="1EA4E60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19448244</w:t>
            </w:r>
          </w:p>
        </w:tc>
        <w:tc>
          <w:tcPr>
            <w:tcW w:w="0" w:type="auto"/>
            <w:tcBorders>
              <w:top w:val="nil"/>
              <w:left w:val="nil"/>
              <w:bottom w:val="single" w:sz="4" w:space="0" w:color="DDDDDD"/>
              <w:right w:val="single" w:sz="4" w:space="0" w:color="DDDDDD"/>
            </w:tcBorders>
            <w:shd w:val="clear" w:color="FFFFFF" w:fill="FFFFFF"/>
            <w:noWrap/>
            <w:vAlign w:val="bottom"/>
            <w:hideMark/>
          </w:tcPr>
          <w:p w14:paraId="37199CEB" w14:textId="77777777" w:rsidR="00BD154D" w:rsidRPr="00A60794" w:rsidRDefault="00BD154D" w:rsidP="00DF2591">
            <w:pPr>
              <w:spacing w:after="0" w:line="240" w:lineRule="auto"/>
              <w:rPr>
                <w:rFonts w:ascii="Arial" w:eastAsia="Times New Roman" w:hAnsi="Arial" w:cs="Arial"/>
                <w:color w:val="333333"/>
                <w:sz w:val="12"/>
                <w:szCs w:val="12"/>
                <w:lang w:val="es-ES" w:eastAsia="en-GB"/>
              </w:rPr>
            </w:pPr>
            <w:r w:rsidRPr="00A60794">
              <w:rPr>
                <w:rFonts w:ascii="Arial" w:eastAsia="Times New Roman" w:hAnsi="Arial" w:cs="Arial"/>
                <w:color w:val="333333"/>
                <w:sz w:val="12"/>
                <w:szCs w:val="12"/>
                <w:lang w:val="es-ES" w:eastAsia="en-GB"/>
              </w:rPr>
              <w:t>Giorgia Daniel, Marco Mazzucato, Riccardo Brandiele, Laura De Lazzari, Denis Badocco, Paolo Pastore, Tomasz Kosmala, Gaetano Granozzi, Christian Durante</w:t>
            </w:r>
          </w:p>
        </w:tc>
        <w:tc>
          <w:tcPr>
            <w:tcW w:w="0" w:type="auto"/>
            <w:tcBorders>
              <w:top w:val="nil"/>
              <w:left w:val="nil"/>
              <w:bottom w:val="single" w:sz="4" w:space="0" w:color="DDDDDD"/>
              <w:right w:val="single" w:sz="4" w:space="0" w:color="DDDDDD"/>
            </w:tcBorders>
            <w:shd w:val="clear" w:color="FFFFFF" w:fill="FFFFFF"/>
            <w:noWrap/>
            <w:vAlign w:val="bottom"/>
            <w:hideMark/>
          </w:tcPr>
          <w:p w14:paraId="6CA5BF4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ACS Applied Materials &amp; Interfaces</w:t>
            </w:r>
          </w:p>
        </w:tc>
        <w:tc>
          <w:tcPr>
            <w:tcW w:w="0" w:type="auto"/>
            <w:tcBorders>
              <w:top w:val="nil"/>
              <w:left w:val="nil"/>
              <w:bottom w:val="single" w:sz="4" w:space="0" w:color="DDDDDD"/>
              <w:right w:val="single" w:sz="4" w:space="0" w:color="DDDDDD"/>
            </w:tcBorders>
            <w:shd w:val="clear" w:color="FFFFFF" w:fill="FFFFFF"/>
            <w:noWrap/>
            <w:vAlign w:val="bottom"/>
            <w:hideMark/>
          </w:tcPr>
          <w:p w14:paraId="2DA90EA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13/36</w:t>
            </w:r>
          </w:p>
        </w:tc>
        <w:tc>
          <w:tcPr>
            <w:tcW w:w="0" w:type="auto"/>
            <w:tcBorders>
              <w:top w:val="nil"/>
              <w:left w:val="nil"/>
              <w:bottom w:val="single" w:sz="4" w:space="0" w:color="DDDDDD"/>
              <w:right w:val="single" w:sz="4" w:space="0" w:color="DDDDDD"/>
            </w:tcBorders>
            <w:shd w:val="clear" w:color="FFFFFF" w:fill="FFFFFF"/>
            <w:noWrap/>
            <w:vAlign w:val="bottom"/>
            <w:hideMark/>
          </w:tcPr>
          <w:p w14:paraId="49A48F5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American Chemical Society</w:t>
            </w:r>
          </w:p>
        </w:tc>
        <w:tc>
          <w:tcPr>
            <w:tcW w:w="0" w:type="auto"/>
            <w:tcBorders>
              <w:top w:val="nil"/>
              <w:left w:val="nil"/>
              <w:bottom w:val="single" w:sz="4" w:space="0" w:color="DDDDDD"/>
              <w:right w:val="single" w:sz="4" w:space="0" w:color="DDDDDD"/>
            </w:tcBorders>
            <w:shd w:val="clear" w:color="FFFFFF" w:fill="FFFFFF"/>
            <w:noWrap/>
            <w:vAlign w:val="bottom"/>
            <w:hideMark/>
          </w:tcPr>
          <w:p w14:paraId="491CA31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United States</w:t>
            </w:r>
          </w:p>
        </w:tc>
        <w:tc>
          <w:tcPr>
            <w:tcW w:w="0" w:type="auto"/>
            <w:tcBorders>
              <w:top w:val="nil"/>
              <w:left w:val="nil"/>
              <w:bottom w:val="single" w:sz="4" w:space="0" w:color="DDDDDD"/>
              <w:right w:val="single" w:sz="4" w:space="0" w:color="DDDDDD"/>
            </w:tcBorders>
            <w:shd w:val="clear" w:color="FFFFFF" w:fill="FFFFFF"/>
            <w:noWrap/>
            <w:vAlign w:val="bottom"/>
            <w:hideMark/>
          </w:tcPr>
          <w:p w14:paraId="6AA8E3E5"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6C3BB9C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42693-42705</w:t>
            </w:r>
          </w:p>
        </w:tc>
        <w:tc>
          <w:tcPr>
            <w:tcW w:w="0" w:type="auto"/>
            <w:tcBorders>
              <w:top w:val="nil"/>
              <w:left w:val="nil"/>
              <w:bottom w:val="single" w:sz="4" w:space="0" w:color="DDDDDD"/>
              <w:right w:val="single" w:sz="4" w:space="0" w:color="DDDDDD"/>
            </w:tcBorders>
            <w:shd w:val="clear" w:color="FFFFFF" w:fill="FFFFFF"/>
            <w:noWrap/>
            <w:vAlign w:val="bottom"/>
            <w:hideMark/>
          </w:tcPr>
          <w:p w14:paraId="4A53159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706FCC9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0C07D5E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https://zenodo.org/record/5607252</w:t>
            </w:r>
          </w:p>
        </w:tc>
      </w:tr>
      <w:tr w:rsidR="00BD154D" w:rsidRPr="004535FA" w14:paraId="45C081B4"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2EF1BFB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CRESCENDO</w:t>
            </w:r>
          </w:p>
        </w:tc>
        <w:tc>
          <w:tcPr>
            <w:tcW w:w="0" w:type="auto"/>
            <w:tcBorders>
              <w:top w:val="nil"/>
              <w:left w:val="nil"/>
              <w:bottom w:val="single" w:sz="4" w:space="0" w:color="DDDDDD"/>
              <w:right w:val="single" w:sz="4" w:space="0" w:color="DDDDDD"/>
            </w:tcBorders>
            <w:shd w:val="clear" w:color="FFFFFF" w:fill="FFFFFF"/>
            <w:noWrap/>
            <w:vAlign w:val="bottom"/>
            <w:hideMark/>
          </w:tcPr>
          <w:p w14:paraId="0B53F72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2F3CF40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Upcycling of polyurethane into iron-nitrogen-carbon electrocatalysts active for oxygen reduction reaction</w:t>
            </w:r>
          </w:p>
        </w:tc>
        <w:tc>
          <w:tcPr>
            <w:tcW w:w="0" w:type="auto"/>
            <w:tcBorders>
              <w:top w:val="nil"/>
              <w:left w:val="nil"/>
              <w:bottom w:val="single" w:sz="4" w:space="0" w:color="DDDDDD"/>
              <w:right w:val="single" w:sz="4" w:space="0" w:color="DDDDDD"/>
            </w:tcBorders>
            <w:shd w:val="clear" w:color="FFFFFF" w:fill="FFFFFF"/>
            <w:noWrap/>
            <w:vAlign w:val="bottom"/>
            <w:hideMark/>
          </w:tcPr>
          <w:p w14:paraId="5069684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10.1016/j.electacta.2020.137200</w:t>
            </w:r>
          </w:p>
        </w:tc>
        <w:tc>
          <w:tcPr>
            <w:tcW w:w="0" w:type="auto"/>
            <w:tcBorders>
              <w:top w:val="nil"/>
              <w:left w:val="nil"/>
              <w:bottom w:val="single" w:sz="4" w:space="0" w:color="DDDDDD"/>
              <w:right w:val="single" w:sz="4" w:space="0" w:color="DDDDDD"/>
            </w:tcBorders>
            <w:shd w:val="clear" w:color="FFFFFF" w:fill="FFFFFF"/>
            <w:noWrap/>
            <w:vAlign w:val="bottom"/>
            <w:hideMark/>
          </w:tcPr>
          <w:p w14:paraId="76D1980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00134686</w:t>
            </w:r>
          </w:p>
        </w:tc>
        <w:tc>
          <w:tcPr>
            <w:tcW w:w="0" w:type="auto"/>
            <w:tcBorders>
              <w:top w:val="nil"/>
              <w:left w:val="nil"/>
              <w:bottom w:val="single" w:sz="4" w:space="0" w:color="DDDDDD"/>
              <w:right w:val="single" w:sz="4" w:space="0" w:color="DDDDDD"/>
            </w:tcBorders>
            <w:shd w:val="clear" w:color="FFFFFF" w:fill="FFFFFF"/>
            <w:noWrap/>
            <w:vAlign w:val="bottom"/>
            <w:hideMark/>
          </w:tcPr>
          <w:p w14:paraId="61C1F52B" w14:textId="77777777" w:rsidR="00BD154D" w:rsidRPr="00974B49" w:rsidRDefault="00BD154D" w:rsidP="00DF2591">
            <w:pPr>
              <w:spacing w:after="0" w:line="240" w:lineRule="auto"/>
              <w:rPr>
                <w:rFonts w:ascii="Arial" w:eastAsia="Times New Roman" w:hAnsi="Arial" w:cs="Arial"/>
                <w:color w:val="333333"/>
                <w:sz w:val="12"/>
                <w:szCs w:val="12"/>
                <w:lang w:val="it-IT" w:eastAsia="en-GB"/>
              </w:rPr>
            </w:pPr>
            <w:r w:rsidRPr="00974B49">
              <w:rPr>
                <w:rFonts w:ascii="Arial" w:eastAsia="Times New Roman" w:hAnsi="Arial" w:cs="Arial"/>
                <w:color w:val="333333"/>
                <w:sz w:val="12"/>
                <w:szCs w:val="12"/>
                <w:lang w:val="it-IT" w:eastAsia="en-GB"/>
              </w:rPr>
              <w:t>Giorgia Daniel, Tomasz Kosmala, Maria Chiara Dalconi, Luca Nodari, Denis Badocco, Paolo Pastore, Alessandra Lorenzetti, Gaetano Granozzi, Christian Durante</w:t>
            </w:r>
          </w:p>
        </w:tc>
        <w:tc>
          <w:tcPr>
            <w:tcW w:w="0" w:type="auto"/>
            <w:tcBorders>
              <w:top w:val="nil"/>
              <w:left w:val="nil"/>
              <w:bottom w:val="single" w:sz="4" w:space="0" w:color="DDDDDD"/>
              <w:right w:val="single" w:sz="4" w:space="0" w:color="DDDDDD"/>
            </w:tcBorders>
            <w:shd w:val="clear" w:color="FFFFFF" w:fill="FFFFFF"/>
            <w:noWrap/>
            <w:vAlign w:val="bottom"/>
            <w:hideMark/>
          </w:tcPr>
          <w:p w14:paraId="68E76E7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Electrochimica Acta</w:t>
            </w:r>
          </w:p>
        </w:tc>
        <w:tc>
          <w:tcPr>
            <w:tcW w:w="0" w:type="auto"/>
            <w:tcBorders>
              <w:top w:val="nil"/>
              <w:left w:val="nil"/>
              <w:bottom w:val="single" w:sz="4" w:space="0" w:color="DDDDDD"/>
              <w:right w:val="single" w:sz="4" w:space="0" w:color="DDDDDD"/>
            </w:tcBorders>
            <w:shd w:val="clear" w:color="FFFFFF" w:fill="FFFFFF"/>
            <w:noWrap/>
            <w:vAlign w:val="bottom"/>
            <w:hideMark/>
          </w:tcPr>
          <w:p w14:paraId="118621D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362</w:t>
            </w:r>
          </w:p>
        </w:tc>
        <w:tc>
          <w:tcPr>
            <w:tcW w:w="0" w:type="auto"/>
            <w:tcBorders>
              <w:top w:val="nil"/>
              <w:left w:val="nil"/>
              <w:bottom w:val="single" w:sz="4" w:space="0" w:color="DDDDDD"/>
              <w:right w:val="single" w:sz="4" w:space="0" w:color="DDDDDD"/>
            </w:tcBorders>
            <w:shd w:val="clear" w:color="FFFFFF" w:fill="FFFFFF"/>
            <w:noWrap/>
            <w:vAlign w:val="bottom"/>
            <w:hideMark/>
          </w:tcPr>
          <w:p w14:paraId="61CC7DE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Pergamon Press Ltd.</w:t>
            </w:r>
          </w:p>
        </w:tc>
        <w:tc>
          <w:tcPr>
            <w:tcW w:w="0" w:type="auto"/>
            <w:tcBorders>
              <w:top w:val="nil"/>
              <w:left w:val="nil"/>
              <w:bottom w:val="single" w:sz="4" w:space="0" w:color="DDDDDD"/>
              <w:right w:val="single" w:sz="4" w:space="0" w:color="DDDDDD"/>
            </w:tcBorders>
            <w:shd w:val="clear" w:color="FFFFFF" w:fill="FFFFFF"/>
            <w:noWrap/>
            <w:vAlign w:val="bottom"/>
            <w:hideMark/>
          </w:tcPr>
          <w:p w14:paraId="7D0625F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United Kingdom</w:t>
            </w:r>
          </w:p>
        </w:tc>
        <w:tc>
          <w:tcPr>
            <w:tcW w:w="0" w:type="auto"/>
            <w:tcBorders>
              <w:top w:val="nil"/>
              <w:left w:val="nil"/>
              <w:bottom w:val="single" w:sz="4" w:space="0" w:color="DDDDDD"/>
              <w:right w:val="single" w:sz="4" w:space="0" w:color="DDDDDD"/>
            </w:tcBorders>
            <w:shd w:val="clear" w:color="FFFFFF" w:fill="FFFFFF"/>
            <w:noWrap/>
            <w:vAlign w:val="bottom"/>
            <w:hideMark/>
          </w:tcPr>
          <w:p w14:paraId="6FEB268E"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2020</w:t>
            </w:r>
          </w:p>
        </w:tc>
        <w:tc>
          <w:tcPr>
            <w:tcW w:w="0" w:type="auto"/>
            <w:tcBorders>
              <w:top w:val="nil"/>
              <w:left w:val="nil"/>
              <w:bottom w:val="single" w:sz="4" w:space="0" w:color="DDDDDD"/>
              <w:right w:val="single" w:sz="4" w:space="0" w:color="DDDDDD"/>
            </w:tcBorders>
            <w:shd w:val="clear" w:color="FFFFFF" w:fill="FFFFFF"/>
            <w:noWrap/>
            <w:vAlign w:val="bottom"/>
            <w:hideMark/>
          </w:tcPr>
          <w:p w14:paraId="2B330DD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137200</w:t>
            </w:r>
          </w:p>
        </w:tc>
        <w:tc>
          <w:tcPr>
            <w:tcW w:w="0" w:type="auto"/>
            <w:tcBorders>
              <w:top w:val="nil"/>
              <w:left w:val="nil"/>
              <w:bottom w:val="single" w:sz="4" w:space="0" w:color="DDDDDD"/>
              <w:right w:val="single" w:sz="4" w:space="0" w:color="DDDDDD"/>
            </w:tcBorders>
            <w:shd w:val="clear" w:color="FFFFFF" w:fill="FFFFFF"/>
            <w:noWrap/>
            <w:vAlign w:val="bottom"/>
            <w:hideMark/>
          </w:tcPr>
          <w:p w14:paraId="60A705D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0297D1F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155DACF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https://doi.org/10.5281/zenodo.5607358</w:t>
            </w:r>
          </w:p>
        </w:tc>
      </w:tr>
      <w:tr w:rsidR="00BD154D" w:rsidRPr="004535FA" w14:paraId="4EF4EE36"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053CB34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DEMOSOFC</w:t>
            </w:r>
          </w:p>
        </w:tc>
        <w:tc>
          <w:tcPr>
            <w:tcW w:w="0" w:type="auto"/>
            <w:tcBorders>
              <w:top w:val="nil"/>
              <w:left w:val="nil"/>
              <w:bottom w:val="single" w:sz="4" w:space="0" w:color="DDDDDD"/>
              <w:right w:val="single" w:sz="4" w:space="0" w:color="DDDDDD"/>
            </w:tcBorders>
            <w:shd w:val="clear" w:color="FFFFFF" w:fill="FFFFFF"/>
            <w:noWrap/>
            <w:vAlign w:val="bottom"/>
            <w:hideMark/>
          </w:tcPr>
          <w:p w14:paraId="04B773C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0CE26FB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Pathways to commercialisation of biogas fuelled solid oxide fuel cells in European wastewater treatment plants</w:t>
            </w:r>
          </w:p>
        </w:tc>
        <w:tc>
          <w:tcPr>
            <w:tcW w:w="0" w:type="auto"/>
            <w:tcBorders>
              <w:top w:val="nil"/>
              <w:left w:val="nil"/>
              <w:bottom w:val="single" w:sz="4" w:space="0" w:color="DDDDDD"/>
              <w:right w:val="single" w:sz="4" w:space="0" w:color="DDDDDD"/>
            </w:tcBorders>
            <w:shd w:val="clear" w:color="FFFFFF" w:fill="FFFFFF"/>
            <w:noWrap/>
            <w:vAlign w:val="bottom"/>
            <w:hideMark/>
          </w:tcPr>
          <w:p w14:paraId="65E49D1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10.1016/j.apenergy.2020.116127</w:t>
            </w:r>
          </w:p>
        </w:tc>
        <w:tc>
          <w:tcPr>
            <w:tcW w:w="0" w:type="auto"/>
            <w:tcBorders>
              <w:top w:val="nil"/>
              <w:left w:val="nil"/>
              <w:bottom w:val="single" w:sz="4" w:space="0" w:color="DDDDDD"/>
              <w:right w:val="single" w:sz="4" w:space="0" w:color="DDDDDD"/>
            </w:tcBorders>
            <w:shd w:val="clear" w:color="FFFFFF" w:fill="FFFFFF"/>
            <w:noWrap/>
            <w:vAlign w:val="bottom"/>
            <w:hideMark/>
          </w:tcPr>
          <w:p w14:paraId="0E6A69F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03062619</w:t>
            </w:r>
          </w:p>
        </w:tc>
        <w:tc>
          <w:tcPr>
            <w:tcW w:w="0" w:type="auto"/>
            <w:tcBorders>
              <w:top w:val="nil"/>
              <w:left w:val="nil"/>
              <w:bottom w:val="single" w:sz="4" w:space="0" w:color="DDDDDD"/>
              <w:right w:val="single" w:sz="4" w:space="0" w:color="DDDDDD"/>
            </w:tcBorders>
            <w:shd w:val="clear" w:color="FFFFFF" w:fill="FFFFFF"/>
            <w:noWrap/>
            <w:vAlign w:val="bottom"/>
            <w:hideMark/>
          </w:tcPr>
          <w:p w14:paraId="237126CB" w14:textId="77777777" w:rsidR="00BD154D" w:rsidRPr="00A60794" w:rsidRDefault="00BD154D" w:rsidP="00DF2591">
            <w:pPr>
              <w:spacing w:after="0" w:line="240" w:lineRule="auto"/>
              <w:rPr>
                <w:rFonts w:ascii="Arial" w:eastAsia="Times New Roman" w:hAnsi="Arial" w:cs="Arial"/>
                <w:color w:val="333333"/>
                <w:sz w:val="12"/>
                <w:szCs w:val="12"/>
                <w:lang w:val="es-ES" w:eastAsia="en-GB"/>
              </w:rPr>
            </w:pPr>
            <w:r w:rsidRPr="00A60794">
              <w:rPr>
                <w:rFonts w:ascii="Arial" w:eastAsia="Times New Roman" w:hAnsi="Arial" w:cs="Arial"/>
                <w:color w:val="333333"/>
                <w:sz w:val="12"/>
                <w:szCs w:val="12"/>
                <w:lang w:val="es-ES" w:eastAsia="en-GB"/>
              </w:rPr>
              <w:t>Gbemi Oluleye, Marta Gandiglio, Massimo Santarelli, Adam Hawkes</w:t>
            </w:r>
          </w:p>
        </w:tc>
        <w:tc>
          <w:tcPr>
            <w:tcW w:w="0" w:type="auto"/>
            <w:tcBorders>
              <w:top w:val="nil"/>
              <w:left w:val="nil"/>
              <w:bottom w:val="single" w:sz="4" w:space="0" w:color="DDDDDD"/>
              <w:right w:val="single" w:sz="4" w:space="0" w:color="DDDDDD"/>
            </w:tcBorders>
            <w:shd w:val="clear" w:color="FFFFFF" w:fill="FFFFFF"/>
            <w:noWrap/>
            <w:vAlign w:val="bottom"/>
            <w:hideMark/>
          </w:tcPr>
          <w:p w14:paraId="46E9F45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Applied Energy</w:t>
            </w:r>
          </w:p>
        </w:tc>
        <w:tc>
          <w:tcPr>
            <w:tcW w:w="0" w:type="auto"/>
            <w:tcBorders>
              <w:top w:val="nil"/>
              <w:left w:val="nil"/>
              <w:bottom w:val="single" w:sz="4" w:space="0" w:color="DDDDDD"/>
              <w:right w:val="single" w:sz="4" w:space="0" w:color="DDDDDD"/>
            </w:tcBorders>
            <w:shd w:val="clear" w:color="FFFFFF" w:fill="FFFFFF"/>
            <w:noWrap/>
            <w:vAlign w:val="bottom"/>
            <w:hideMark/>
          </w:tcPr>
          <w:p w14:paraId="184F891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282</w:t>
            </w:r>
          </w:p>
        </w:tc>
        <w:tc>
          <w:tcPr>
            <w:tcW w:w="0" w:type="auto"/>
            <w:tcBorders>
              <w:top w:val="nil"/>
              <w:left w:val="nil"/>
              <w:bottom w:val="single" w:sz="4" w:space="0" w:color="DDDDDD"/>
              <w:right w:val="single" w:sz="4" w:space="0" w:color="DDDDDD"/>
            </w:tcBorders>
            <w:shd w:val="clear" w:color="FFFFFF" w:fill="FFFFFF"/>
            <w:noWrap/>
            <w:vAlign w:val="bottom"/>
            <w:hideMark/>
          </w:tcPr>
          <w:p w14:paraId="3E4B2F3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Pergamon Press Ltd.</w:t>
            </w:r>
          </w:p>
        </w:tc>
        <w:tc>
          <w:tcPr>
            <w:tcW w:w="0" w:type="auto"/>
            <w:tcBorders>
              <w:top w:val="nil"/>
              <w:left w:val="nil"/>
              <w:bottom w:val="single" w:sz="4" w:space="0" w:color="DDDDDD"/>
              <w:right w:val="single" w:sz="4" w:space="0" w:color="DDDDDD"/>
            </w:tcBorders>
            <w:shd w:val="clear" w:color="FFFFFF" w:fill="FFFFFF"/>
            <w:noWrap/>
            <w:vAlign w:val="bottom"/>
            <w:hideMark/>
          </w:tcPr>
          <w:p w14:paraId="656028F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United Kingdom</w:t>
            </w:r>
          </w:p>
        </w:tc>
        <w:tc>
          <w:tcPr>
            <w:tcW w:w="0" w:type="auto"/>
            <w:tcBorders>
              <w:top w:val="nil"/>
              <w:left w:val="nil"/>
              <w:bottom w:val="single" w:sz="4" w:space="0" w:color="DDDDDD"/>
              <w:right w:val="single" w:sz="4" w:space="0" w:color="DDDDDD"/>
            </w:tcBorders>
            <w:shd w:val="clear" w:color="FFFFFF" w:fill="FFFFFF"/>
            <w:noWrap/>
            <w:vAlign w:val="bottom"/>
            <w:hideMark/>
          </w:tcPr>
          <w:p w14:paraId="3510D54A"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61D342E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116127</w:t>
            </w:r>
          </w:p>
        </w:tc>
        <w:tc>
          <w:tcPr>
            <w:tcW w:w="0" w:type="auto"/>
            <w:tcBorders>
              <w:top w:val="nil"/>
              <w:left w:val="nil"/>
              <w:bottom w:val="single" w:sz="4" w:space="0" w:color="DDDDDD"/>
              <w:right w:val="single" w:sz="4" w:space="0" w:color="DDDDDD"/>
            </w:tcBorders>
            <w:shd w:val="clear" w:color="FFFFFF" w:fill="FFFFFF"/>
            <w:noWrap/>
            <w:vAlign w:val="bottom"/>
            <w:hideMark/>
          </w:tcPr>
          <w:p w14:paraId="00B9D17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73A665C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Yes</w:t>
            </w:r>
          </w:p>
        </w:tc>
        <w:tc>
          <w:tcPr>
            <w:tcW w:w="0" w:type="auto"/>
            <w:tcBorders>
              <w:top w:val="nil"/>
              <w:left w:val="nil"/>
              <w:bottom w:val="single" w:sz="4" w:space="0" w:color="DDDDDD"/>
              <w:right w:val="single" w:sz="4" w:space="0" w:color="DDDDDD"/>
            </w:tcBorders>
            <w:shd w:val="clear" w:color="FFFFFF" w:fill="FFFFFF"/>
            <w:noWrap/>
            <w:vAlign w:val="bottom"/>
            <w:hideMark/>
          </w:tcPr>
          <w:p w14:paraId="519B541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r>
      <w:tr w:rsidR="00BD154D" w:rsidRPr="004535FA" w14:paraId="6F0F2FE9"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256365E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eGHOST</w:t>
            </w:r>
          </w:p>
        </w:tc>
        <w:tc>
          <w:tcPr>
            <w:tcW w:w="0" w:type="auto"/>
            <w:tcBorders>
              <w:top w:val="nil"/>
              <w:left w:val="nil"/>
              <w:bottom w:val="single" w:sz="4" w:space="0" w:color="DDDDDD"/>
              <w:right w:val="single" w:sz="4" w:space="0" w:color="DDDDDD"/>
            </w:tcBorders>
            <w:shd w:val="clear" w:color="FFFFFF" w:fill="FFFFFF"/>
            <w:noWrap/>
            <w:vAlign w:val="bottom"/>
            <w:hideMark/>
          </w:tcPr>
          <w:p w14:paraId="714867E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CONFERENCE_PROCEEDING</w:t>
            </w:r>
          </w:p>
        </w:tc>
        <w:tc>
          <w:tcPr>
            <w:tcW w:w="0" w:type="auto"/>
            <w:tcBorders>
              <w:top w:val="nil"/>
              <w:left w:val="nil"/>
              <w:bottom w:val="single" w:sz="4" w:space="0" w:color="DDDDDD"/>
              <w:right w:val="single" w:sz="4" w:space="0" w:color="DDDDDD"/>
            </w:tcBorders>
            <w:shd w:val="clear" w:color="FFFFFF" w:fill="FFFFFF"/>
            <w:noWrap/>
            <w:vAlign w:val="bottom"/>
            <w:hideMark/>
          </w:tcPr>
          <w:p w14:paraId="01C6790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Social Life Cycle Assessment of a Proton Exchange Membrane Fuel Cell stack</w:t>
            </w:r>
          </w:p>
        </w:tc>
        <w:tc>
          <w:tcPr>
            <w:tcW w:w="0" w:type="auto"/>
            <w:tcBorders>
              <w:top w:val="nil"/>
              <w:left w:val="nil"/>
              <w:bottom w:val="single" w:sz="4" w:space="0" w:color="DDDDDD"/>
              <w:right w:val="single" w:sz="4" w:space="0" w:color="DDDDDD"/>
            </w:tcBorders>
            <w:shd w:val="clear" w:color="FFFFFF" w:fill="FFFFFF"/>
            <w:noWrap/>
            <w:vAlign w:val="bottom"/>
            <w:hideMark/>
          </w:tcPr>
          <w:p w14:paraId="361E14A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10.1051/e3sconf/202233409001</w:t>
            </w:r>
          </w:p>
        </w:tc>
        <w:tc>
          <w:tcPr>
            <w:tcW w:w="0" w:type="auto"/>
            <w:tcBorders>
              <w:top w:val="nil"/>
              <w:left w:val="nil"/>
              <w:bottom w:val="single" w:sz="4" w:space="0" w:color="DDDDDD"/>
              <w:right w:val="single" w:sz="4" w:space="0" w:color="DDDDDD"/>
            </w:tcBorders>
            <w:shd w:val="clear" w:color="FFFFFF" w:fill="FFFFFF"/>
            <w:noWrap/>
            <w:vAlign w:val="bottom"/>
            <w:hideMark/>
          </w:tcPr>
          <w:p w14:paraId="3B0A2D7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107F424B" w14:textId="77777777" w:rsidR="00BD154D" w:rsidRPr="00A60794" w:rsidRDefault="00BD154D" w:rsidP="00DF2591">
            <w:pPr>
              <w:spacing w:after="0" w:line="240" w:lineRule="auto"/>
              <w:rPr>
                <w:rFonts w:ascii="Arial" w:eastAsia="Times New Roman" w:hAnsi="Arial" w:cs="Arial"/>
                <w:color w:val="333333"/>
                <w:sz w:val="12"/>
                <w:szCs w:val="12"/>
                <w:lang w:val="es-ES" w:eastAsia="en-GB"/>
              </w:rPr>
            </w:pPr>
            <w:r w:rsidRPr="00A60794">
              <w:rPr>
                <w:rFonts w:ascii="Arial" w:eastAsia="Times New Roman" w:hAnsi="Arial" w:cs="Arial"/>
                <w:color w:val="333333"/>
                <w:sz w:val="12"/>
                <w:szCs w:val="12"/>
                <w:lang w:val="es-ES" w:eastAsia="en-GB"/>
              </w:rPr>
              <w:t>Eleonora Bargiacchi, Felipe Campos-Carriedo, Diego Iribarren and Javier Dufour</w:t>
            </w:r>
          </w:p>
        </w:tc>
        <w:tc>
          <w:tcPr>
            <w:tcW w:w="0" w:type="auto"/>
            <w:tcBorders>
              <w:top w:val="nil"/>
              <w:left w:val="nil"/>
              <w:bottom w:val="single" w:sz="4" w:space="0" w:color="DDDDDD"/>
              <w:right w:val="single" w:sz="4" w:space="0" w:color="DDDDDD"/>
            </w:tcBorders>
            <w:shd w:val="clear" w:color="FFFFFF" w:fill="FFFFFF"/>
            <w:noWrap/>
            <w:vAlign w:val="bottom"/>
            <w:hideMark/>
          </w:tcPr>
          <w:p w14:paraId="7D1EE7B9" w14:textId="77777777" w:rsidR="00BD154D" w:rsidRPr="00974B49" w:rsidRDefault="00BD154D" w:rsidP="00DF2591">
            <w:pPr>
              <w:spacing w:after="0" w:line="240" w:lineRule="auto"/>
              <w:rPr>
                <w:rFonts w:ascii="Arial" w:eastAsia="Times New Roman" w:hAnsi="Arial" w:cs="Arial"/>
                <w:color w:val="333333"/>
                <w:sz w:val="12"/>
                <w:szCs w:val="12"/>
                <w:lang w:val="it-IT" w:eastAsia="en-GB"/>
              </w:rPr>
            </w:pPr>
            <w:r w:rsidRPr="00974B49">
              <w:rPr>
                <w:rFonts w:ascii="Arial" w:eastAsia="Times New Roman" w:hAnsi="Arial" w:cs="Arial"/>
                <w:color w:val="333333"/>
                <w:sz w:val="12"/>
                <w:szCs w:val="12"/>
                <w:lang w:val="it-IT" w:eastAsia="en-GB"/>
              </w:rPr>
              <w:t>EFC21 - European Fuel Cells and Hydrogen Piero Lunghi Conference</w:t>
            </w:r>
          </w:p>
        </w:tc>
        <w:tc>
          <w:tcPr>
            <w:tcW w:w="0" w:type="auto"/>
            <w:tcBorders>
              <w:top w:val="nil"/>
              <w:left w:val="nil"/>
              <w:bottom w:val="single" w:sz="4" w:space="0" w:color="DDDDDD"/>
              <w:right w:val="single" w:sz="4" w:space="0" w:color="DDDDDD"/>
            </w:tcBorders>
            <w:shd w:val="clear" w:color="FFFFFF" w:fill="FFFFFF"/>
            <w:noWrap/>
            <w:vAlign w:val="bottom"/>
            <w:hideMark/>
          </w:tcPr>
          <w:p w14:paraId="25AC920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Volumen 334</w:t>
            </w:r>
          </w:p>
        </w:tc>
        <w:tc>
          <w:tcPr>
            <w:tcW w:w="0" w:type="auto"/>
            <w:tcBorders>
              <w:top w:val="nil"/>
              <w:left w:val="nil"/>
              <w:bottom w:val="single" w:sz="4" w:space="0" w:color="DDDDDD"/>
              <w:right w:val="single" w:sz="4" w:space="0" w:color="DDDDDD"/>
            </w:tcBorders>
            <w:shd w:val="clear" w:color="FFFFFF" w:fill="FFFFFF"/>
            <w:noWrap/>
            <w:vAlign w:val="bottom"/>
            <w:hideMark/>
          </w:tcPr>
          <w:p w14:paraId="686BE1A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EDP Sciences</w:t>
            </w:r>
          </w:p>
        </w:tc>
        <w:tc>
          <w:tcPr>
            <w:tcW w:w="0" w:type="auto"/>
            <w:tcBorders>
              <w:top w:val="nil"/>
              <w:left w:val="nil"/>
              <w:bottom w:val="single" w:sz="4" w:space="0" w:color="DDDDDD"/>
              <w:right w:val="single" w:sz="4" w:space="0" w:color="DDDDDD"/>
            </w:tcBorders>
            <w:shd w:val="clear" w:color="FFFFFF" w:fill="FFFFFF"/>
            <w:noWrap/>
            <w:vAlign w:val="bottom"/>
            <w:hideMark/>
          </w:tcPr>
          <w:p w14:paraId="0DBC90D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E3S Web of Conferences 334, 09001 (2022)</w:t>
            </w:r>
          </w:p>
        </w:tc>
        <w:tc>
          <w:tcPr>
            <w:tcW w:w="0" w:type="auto"/>
            <w:tcBorders>
              <w:top w:val="nil"/>
              <w:left w:val="nil"/>
              <w:bottom w:val="single" w:sz="4" w:space="0" w:color="DDDDDD"/>
              <w:right w:val="single" w:sz="4" w:space="0" w:color="DDDDDD"/>
            </w:tcBorders>
            <w:shd w:val="clear" w:color="FFFFFF" w:fill="FFFFFF"/>
            <w:noWrap/>
            <w:vAlign w:val="bottom"/>
            <w:hideMark/>
          </w:tcPr>
          <w:p w14:paraId="160D8BC2"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2022</w:t>
            </w:r>
          </w:p>
        </w:tc>
        <w:tc>
          <w:tcPr>
            <w:tcW w:w="0" w:type="auto"/>
            <w:tcBorders>
              <w:top w:val="nil"/>
              <w:left w:val="nil"/>
              <w:bottom w:val="single" w:sz="4" w:space="0" w:color="DDDDDD"/>
              <w:right w:val="single" w:sz="4" w:space="0" w:color="DDDDDD"/>
            </w:tcBorders>
            <w:shd w:val="clear" w:color="FFFFFF" w:fill="FFFFFF"/>
            <w:noWrap/>
            <w:vAlign w:val="bottom"/>
            <w:hideMark/>
          </w:tcPr>
          <w:p w14:paraId="20B74A6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32AEECD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7BC2067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Yes</w:t>
            </w:r>
          </w:p>
        </w:tc>
        <w:tc>
          <w:tcPr>
            <w:tcW w:w="0" w:type="auto"/>
            <w:tcBorders>
              <w:top w:val="nil"/>
              <w:left w:val="nil"/>
              <w:bottom w:val="single" w:sz="4" w:space="0" w:color="DDDDDD"/>
              <w:right w:val="single" w:sz="4" w:space="0" w:color="DDDDDD"/>
            </w:tcBorders>
            <w:shd w:val="clear" w:color="FFFFFF" w:fill="FFFFFF"/>
            <w:noWrap/>
            <w:vAlign w:val="bottom"/>
            <w:hideMark/>
          </w:tcPr>
          <w:p w14:paraId="5D7F132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https://www.e3s-conferences.org/articles/e3sconf/abs/2022/01/e3sconf_efc2022_09001/e3sconf_efc2022_09001.html</w:t>
            </w:r>
          </w:p>
        </w:tc>
      </w:tr>
      <w:tr w:rsidR="00BD154D" w:rsidRPr="004535FA" w14:paraId="72AB3643"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34ADEEF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lastRenderedPageBreak/>
              <w:t>EMPOWER</w:t>
            </w:r>
          </w:p>
        </w:tc>
        <w:tc>
          <w:tcPr>
            <w:tcW w:w="0" w:type="auto"/>
            <w:tcBorders>
              <w:top w:val="nil"/>
              <w:left w:val="nil"/>
              <w:bottom w:val="single" w:sz="4" w:space="0" w:color="DDDDDD"/>
              <w:right w:val="single" w:sz="4" w:space="0" w:color="DDDDDD"/>
            </w:tcBorders>
            <w:shd w:val="clear" w:color="FFFFFF" w:fill="FFFFFF"/>
            <w:noWrap/>
            <w:vAlign w:val="bottom"/>
            <w:hideMark/>
          </w:tcPr>
          <w:p w14:paraId="0FB4393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1004C10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Hydrogen production via aqueous-phase reforming for high-temperature proton exchange membrane fuel cells - a review</w:t>
            </w:r>
          </w:p>
        </w:tc>
        <w:tc>
          <w:tcPr>
            <w:tcW w:w="0" w:type="auto"/>
            <w:tcBorders>
              <w:top w:val="nil"/>
              <w:left w:val="nil"/>
              <w:bottom w:val="single" w:sz="4" w:space="0" w:color="DDDDDD"/>
              <w:right w:val="single" w:sz="4" w:space="0" w:color="DDDDDD"/>
            </w:tcBorders>
            <w:shd w:val="clear" w:color="FFFFFF" w:fill="FFFFFF"/>
            <w:noWrap/>
            <w:vAlign w:val="bottom"/>
            <w:hideMark/>
          </w:tcPr>
          <w:p w14:paraId="216D607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10.12688/openreseurope.13812.1</w:t>
            </w:r>
          </w:p>
        </w:tc>
        <w:tc>
          <w:tcPr>
            <w:tcW w:w="0" w:type="auto"/>
            <w:tcBorders>
              <w:top w:val="nil"/>
              <w:left w:val="nil"/>
              <w:bottom w:val="single" w:sz="4" w:space="0" w:color="DDDDDD"/>
              <w:right w:val="single" w:sz="4" w:space="0" w:color="DDDDDD"/>
            </w:tcBorders>
            <w:shd w:val="clear" w:color="FFFFFF" w:fill="FFFFFF"/>
            <w:noWrap/>
            <w:vAlign w:val="bottom"/>
            <w:hideMark/>
          </w:tcPr>
          <w:p w14:paraId="7C1B716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27325121</w:t>
            </w:r>
          </w:p>
        </w:tc>
        <w:tc>
          <w:tcPr>
            <w:tcW w:w="0" w:type="auto"/>
            <w:tcBorders>
              <w:top w:val="nil"/>
              <w:left w:val="nil"/>
              <w:bottom w:val="single" w:sz="4" w:space="0" w:color="DDDDDD"/>
              <w:right w:val="single" w:sz="4" w:space="0" w:color="DDDDDD"/>
            </w:tcBorders>
            <w:shd w:val="clear" w:color="FFFFFF" w:fill="FFFFFF"/>
            <w:noWrap/>
            <w:vAlign w:val="bottom"/>
            <w:hideMark/>
          </w:tcPr>
          <w:p w14:paraId="43DB508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Paranjeet Lakhtaria, Paulo Ribeirinha, Werneri Huhtinen, Saara Viik, José Sousa, Adélio Mendes</w:t>
            </w:r>
          </w:p>
        </w:tc>
        <w:tc>
          <w:tcPr>
            <w:tcW w:w="0" w:type="auto"/>
            <w:tcBorders>
              <w:top w:val="nil"/>
              <w:left w:val="nil"/>
              <w:bottom w:val="single" w:sz="4" w:space="0" w:color="DDDDDD"/>
              <w:right w:val="single" w:sz="4" w:space="0" w:color="DDDDDD"/>
            </w:tcBorders>
            <w:shd w:val="clear" w:color="FFFFFF" w:fill="FFFFFF"/>
            <w:noWrap/>
            <w:vAlign w:val="bottom"/>
            <w:hideMark/>
          </w:tcPr>
          <w:p w14:paraId="4FACC3C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Open Research Europe</w:t>
            </w:r>
          </w:p>
        </w:tc>
        <w:tc>
          <w:tcPr>
            <w:tcW w:w="0" w:type="auto"/>
            <w:tcBorders>
              <w:top w:val="nil"/>
              <w:left w:val="nil"/>
              <w:bottom w:val="single" w:sz="4" w:space="0" w:color="DDDDDD"/>
              <w:right w:val="single" w:sz="4" w:space="0" w:color="DDDDDD"/>
            </w:tcBorders>
            <w:shd w:val="clear" w:color="FFFFFF" w:fill="FFFFFF"/>
            <w:noWrap/>
            <w:vAlign w:val="bottom"/>
            <w:hideMark/>
          </w:tcPr>
          <w:p w14:paraId="31DF6B6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w:t>
            </w:r>
          </w:p>
        </w:tc>
        <w:tc>
          <w:tcPr>
            <w:tcW w:w="0" w:type="auto"/>
            <w:tcBorders>
              <w:top w:val="nil"/>
              <w:left w:val="nil"/>
              <w:bottom w:val="single" w:sz="4" w:space="0" w:color="DDDDDD"/>
              <w:right w:val="single" w:sz="4" w:space="0" w:color="DDDDDD"/>
            </w:tcBorders>
            <w:shd w:val="clear" w:color="FFFFFF" w:fill="FFFFFF"/>
            <w:noWrap/>
            <w:vAlign w:val="bottom"/>
            <w:hideMark/>
          </w:tcPr>
          <w:p w14:paraId="63274A0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European Commission</w:t>
            </w:r>
          </w:p>
        </w:tc>
        <w:tc>
          <w:tcPr>
            <w:tcW w:w="0" w:type="auto"/>
            <w:tcBorders>
              <w:top w:val="nil"/>
              <w:left w:val="nil"/>
              <w:bottom w:val="single" w:sz="4" w:space="0" w:color="DDDDDD"/>
              <w:right w:val="single" w:sz="4" w:space="0" w:color="DDDDDD"/>
            </w:tcBorders>
            <w:shd w:val="clear" w:color="FFFFFF" w:fill="FFFFFF"/>
            <w:noWrap/>
            <w:vAlign w:val="bottom"/>
            <w:hideMark/>
          </w:tcPr>
          <w:p w14:paraId="754F7D3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https://open-research-europe.ec.europa.eu/articles/1-81/v1</w:t>
            </w:r>
          </w:p>
        </w:tc>
        <w:tc>
          <w:tcPr>
            <w:tcW w:w="0" w:type="auto"/>
            <w:tcBorders>
              <w:top w:val="nil"/>
              <w:left w:val="nil"/>
              <w:bottom w:val="single" w:sz="4" w:space="0" w:color="DDDDDD"/>
              <w:right w:val="single" w:sz="4" w:space="0" w:color="DDDDDD"/>
            </w:tcBorders>
            <w:shd w:val="clear" w:color="FFFFFF" w:fill="FFFFFF"/>
            <w:noWrap/>
            <w:vAlign w:val="bottom"/>
            <w:hideMark/>
          </w:tcPr>
          <w:p w14:paraId="05840AFE"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35A65B8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81</w:t>
            </w:r>
          </w:p>
        </w:tc>
        <w:tc>
          <w:tcPr>
            <w:tcW w:w="0" w:type="auto"/>
            <w:tcBorders>
              <w:top w:val="nil"/>
              <w:left w:val="nil"/>
              <w:bottom w:val="single" w:sz="4" w:space="0" w:color="DDDDDD"/>
              <w:right w:val="single" w:sz="4" w:space="0" w:color="DDDDDD"/>
            </w:tcBorders>
            <w:shd w:val="clear" w:color="FFFFFF" w:fill="FFFFFF"/>
            <w:noWrap/>
            <w:vAlign w:val="bottom"/>
            <w:hideMark/>
          </w:tcPr>
          <w:p w14:paraId="4A135A0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Yes</w:t>
            </w:r>
          </w:p>
        </w:tc>
        <w:tc>
          <w:tcPr>
            <w:tcW w:w="0" w:type="auto"/>
            <w:tcBorders>
              <w:top w:val="nil"/>
              <w:left w:val="nil"/>
              <w:bottom w:val="single" w:sz="4" w:space="0" w:color="DDDDDD"/>
              <w:right w:val="single" w:sz="4" w:space="0" w:color="DDDDDD"/>
            </w:tcBorders>
            <w:shd w:val="clear" w:color="FFFFFF" w:fill="FFFFFF"/>
            <w:noWrap/>
            <w:vAlign w:val="bottom"/>
            <w:hideMark/>
          </w:tcPr>
          <w:p w14:paraId="6370EF7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Yes</w:t>
            </w:r>
          </w:p>
        </w:tc>
        <w:tc>
          <w:tcPr>
            <w:tcW w:w="0" w:type="auto"/>
            <w:tcBorders>
              <w:top w:val="nil"/>
              <w:left w:val="nil"/>
              <w:bottom w:val="single" w:sz="4" w:space="0" w:color="DDDDDD"/>
              <w:right w:val="single" w:sz="4" w:space="0" w:color="DDDDDD"/>
            </w:tcBorders>
            <w:shd w:val="clear" w:color="FFFFFF" w:fill="FFFFFF"/>
            <w:noWrap/>
            <w:vAlign w:val="bottom"/>
            <w:hideMark/>
          </w:tcPr>
          <w:p w14:paraId="7EA09CC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https://doi.org/10.12688/openreseurope.13812.1</w:t>
            </w:r>
          </w:p>
        </w:tc>
      </w:tr>
      <w:tr w:rsidR="00BD154D" w:rsidRPr="004535FA" w14:paraId="3357049F"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2D4D9C8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EMPOWER</w:t>
            </w:r>
          </w:p>
        </w:tc>
        <w:tc>
          <w:tcPr>
            <w:tcW w:w="0" w:type="auto"/>
            <w:tcBorders>
              <w:top w:val="nil"/>
              <w:left w:val="nil"/>
              <w:bottom w:val="single" w:sz="4" w:space="0" w:color="DDDDDD"/>
              <w:right w:val="single" w:sz="4" w:space="0" w:color="DDDDDD"/>
            </w:tcBorders>
            <w:shd w:val="clear" w:color="FFFFFF" w:fill="FFFFFF"/>
            <w:noWrap/>
            <w:vAlign w:val="bottom"/>
            <w:hideMark/>
          </w:tcPr>
          <w:p w14:paraId="157BC2F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THESIS_DISSERTATION</w:t>
            </w:r>
          </w:p>
        </w:tc>
        <w:tc>
          <w:tcPr>
            <w:tcW w:w="0" w:type="auto"/>
            <w:tcBorders>
              <w:top w:val="nil"/>
              <w:left w:val="nil"/>
              <w:bottom w:val="single" w:sz="4" w:space="0" w:color="DDDDDD"/>
              <w:right w:val="single" w:sz="4" w:space="0" w:color="DDDDDD"/>
            </w:tcBorders>
            <w:shd w:val="clear" w:color="FFFFFF" w:fill="FFFFFF"/>
            <w:noWrap/>
            <w:vAlign w:val="bottom"/>
            <w:hideMark/>
          </w:tcPr>
          <w:p w14:paraId="47F2326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Development and characterization of an aqueous phase methanol reformer for a fuel cell system</w:t>
            </w:r>
          </w:p>
        </w:tc>
        <w:tc>
          <w:tcPr>
            <w:tcW w:w="0" w:type="auto"/>
            <w:tcBorders>
              <w:top w:val="nil"/>
              <w:left w:val="nil"/>
              <w:bottom w:val="single" w:sz="4" w:space="0" w:color="DDDDDD"/>
              <w:right w:val="single" w:sz="4" w:space="0" w:color="DDDDDD"/>
            </w:tcBorders>
            <w:shd w:val="clear" w:color="FFFFFF" w:fill="FFFFFF"/>
            <w:noWrap/>
            <w:vAlign w:val="bottom"/>
            <w:hideMark/>
          </w:tcPr>
          <w:p w14:paraId="318367C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19308A5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7638180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Huhtinen, Werneri</w:t>
            </w:r>
          </w:p>
        </w:tc>
        <w:tc>
          <w:tcPr>
            <w:tcW w:w="0" w:type="auto"/>
            <w:tcBorders>
              <w:top w:val="nil"/>
              <w:left w:val="nil"/>
              <w:bottom w:val="single" w:sz="4" w:space="0" w:color="DDDDDD"/>
              <w:right w:val="single" w:sz="4" w:space="0" w:color="DDDDDD"/>
            </w:tcBorders>
            <w:shd w:val="clear" w:color="FFFFFF" w:fill="FFFFFF"/>
            <w:noWrap/>
            <w:vAlign w:val="bottom"/>
            <w:hideMark/>
          </w:tcPr>
          <w:p w14:paraId="60FE980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221A926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706FD8D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Aalto University</w:t>
            </w:r>
          </w:p>
        </w:tc>
        <w:tc>
          <w:tcPr>
            <w:tcW w:w="0" w:type="auto"/>
            <w:tcBorders>
              <w:top w:val="nil"/>
              <w:left w:val="nil"/>
              <w:bottom w:val="single" w:sz="4" w:space="0" w:color="DDDDDD"/>
              <w:right w:val="single" w:sz="4" w:space="0" w:color="DDDDDD"/>
            </w:tcBorders>
            <w:shd w:val="clear" w:color="FFFFFF" w:fill="FFFFFF"/>
            <w:noWrap/>
            <w:vAlign w:val="bottom"/>
            <w:hideMark/>
          </w:tcPr>
          <w:p w14:paraId="0DDF161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Espoo, Finland</w:t>
            </w:r>
          </w:p>
        </w:tc>
        <w:tc>
          <w:tcPr>
            <w:tcW w:w="0" w:type="auto"/>
            <w:tcBorders>
              <w:top w:val="nil"/>
              <w:left w:val="nil"/>
              <w:bottom w:val="single" w:sz="4" w:space="0" w:color="DDDDDD"/>
              <w:right w:val="single" w:sz="4" w:space="0" w:color="DDDDDD"/>
            </w:tcBorders>
            <w:shd w:val="clear" w:color="FFFFFF" w:fill="FFFFFF"/>
            <w:noWrap/>
            <w:vAlign w:val="bottom"/>
            <w:hideMark/>
          </w:tcPr>
          <w:p w14:paraId="425E28D2"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3150E54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0779426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51F4CF7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Yes</w:t>
            </w:r>
          </w:p>
        </w:tc>
        <w:tc>
          <w:tcPr>
            <w:tcW w:w="0" w:type="auto"/>
            <w:tcBorders>
              <w:top w:val="nil"/>
              <w:left w:val="nil"/>
              <w:bottom w:val="single" w:sz="4" w:space="0" w:color="DDDDDD"/>
              <w:right w:val="single" w:sz="4" w:space="0" w:color="DDDDDD"/>
            </w:tcBorders>
            <w:shd w:val="clear" w:color="FFFFFF" w:fill="FFFFFF"/>
            <w:noWrap/>
            <w:vAlign w:val="bottom"/>
            <w:hideMark/>
          </w:tcPr>
          <w:p w14:paraId="37C8F47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r>
      <w:tr w:rsidR="00BD154D" w:rsidRPr="004535FA" w14:paraId="76E8CB8C"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2C59129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EMPOWER</w:t>
            </w:r>
          </w:p>
        </w:tc>
        <w:tc>
          <w:tcPr>
            <w:tcW w:w="0" w:type="auto"/>
            <w:tcBorders>
              <w:top w:val="nil"/>
              <w:left w:val="nil"/>
              <w:bottom w:val="single" w:sz="4" w:space="0" w:color="DDDDDD"/>
              <w:right w:val="single" w:sz="4" w:space="0" w:color="DDDDDD"/>
            </w:tcBorders>
            <w:shd w:val="clear" w:color="FFFFFF" w:fill="FFFFFF"/>
            <w:noWrap/>
            <w:vAlign w:val="bottom"/>
            <w:hideMark/>
          </w:tcPr>
          <w:p w14:paraId="702BFC7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THESIS_DISSERTATION</w:t>
            </w:r>
          </w:p>
        </w:tc>
        <w:tc>
          <w:tcPr>
            <w:tcW w:w="0" w:type="auto"/>
            <w:tcBorders>
              <w:top w:val="nil"/>
              <w:left w:val="nil"/>
              <w:bottom w:val="single" w:sz="4" w:space="0" w:color="DDDDDD"/>
              <w:right w:val="single" w:sz="4" w:space="0" w:color="DDDDDD"/>
            </w:tcBorders>
            <w:shd w:val="clear" w:color="FFFFFF" w:fill="FFFFFF"/>
            <w:noWrap/>
            <w:vAlign w:val="bottom"/>
            <w:hideMark/>
          </w:tcPr>
          <w:p w14:paraId="6281E6A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Development and characterization of a thermoelectric generator for a fuel cell system</w:t>
            </w:r>
          </w:p>
        </w:tc>
        <w:tc>
          <w:tcPr>
            <w:tcW w:w="0" w:type="auto"/>
            <w:tcBorders>
              <w:top w:val="nil"/>
              <w:left w:val="nil"/>
              <w:bottom w:val="single" w:sz="4" w:space="0" w:color="DDDDDD"/>
              <w:right w:val="single" w:sz="4" w:space="0" w:color="DDDDDD"/>
            </w:tcBorders>
            <w:shd w:val="clear" w:color="FFFFFF" w:fill="FFFFFF"/>
            <w:noWrap/>
            <w:vAlign w:val="bottom"/>
            <w:hideMark/>
          </w:tcPr>
          <w:p w14:paraId="2C7A8B2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7438517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2F9B4D2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Hospu, Jeremias</w:t>
            </w:r>
          </w:p>
        </w:tc>
        <w:tc>
          <w:tcPr>
            <w:tcW w:w="0" w:type="auto"/>
            <w:tcBorders>
              <w:top w:val="nil"/>
              <w:left w:val="nil"/>
              <w:bottom w:val="single" w:sz="4" w:space="0" w:color="DDDDDD"/>
              <w:right w:val="single" w:sz="4" w:space="0" w:color="DDDDDD"/>
            </w:tcBorders>
            <w:shd w:val="clear" w:color="FFFFFF" w:fill="FFFFFF"/>
            <w:noWrap/>
            <w:vAlign w:val="bottom"/>
            <w:hideMark/>
          </w:tcPr>
          <w:p w14:paraId="73ECA1A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580313A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0915FBA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Aalto University</w:t>
            </w:r>
          </w:p>
        </w:tc>
        <w:tc>
          <w:tcPr>
            <w:tcW w:w="0" w:type="auto"/>
            <w:tcBorders>
              <w:top w:val="nil"/>
              <w:left w:val="nil"/>
              <w:bottom w:val="single" w:sz="4" w:space="0" w:color="DDDDDD"/>
              <w:right w:val="single" w:sz="4" w:space="0" w:color="DDDDDD"/>
            </w:tcBorders>
            <w:shd w:val="clear" w:color="FFFFFF" w:fill="FFFFFF"/>
            <w:noWrap/>
            <w:vAlign w:val="bottom"/>
            <w:hideMark/>
          </w:tcPr>
          <w:p w14:paraId="2B643DE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Espoo, Finland</w:t>
            </w:r>
          </w:p>
        </w:tc>
        <w:tc>
          <w:tcPr>
            <w:tcW w:w="0" w:type="auto"/>
            <w:tcBorders>
              <w:top w:val="nil"/>
              <w:left w:val="nil"/>
              <w:bottom w:val="single" w:sz="4" w:space="0" w:color="DDDDDD"/>
              <w:right w:val="single" w:sz="4" w:space="0" w:color="DDDDDD"/>
            </w:tcBorders>
            <w:shd w:val="clear" w:color="FFFFFF" w:fill="FFFFFF"/>
            <w:noWrap/>
            <w:vAlign w:val="bottom"/>
            <w:hideMark/>
          </w:tcPr>
          <w:p w14:paraId="3FA70FD9"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0717BE4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34EB06A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376B073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Yes</w:t>
            </w:r>
          </w:p>
        </w:tc>
        <w:tc>
          <w:tcPr>
            <w:tcW w:w="0" w:type="auto"/>
            <w:tcBorders>
              <w:top w:val="nil"/>
              <w:left w:val="nil"/>
              <w:bottom w:val="single" w:sz="4" w:space="0" w:color="DDDDDD"/>
              <w:right w:val="single" w:sz="4" w:space="0" w:color="DDDDDD"/>
            </w:tcBorders>
            <w:shd w:val="clear" w:color="FFFFFF" w:fill="FFFFFF"/>
            <w:noWrap/>
            <w:vAlign w:val="bottom"/>
            <w:hideMark/>
          </w:tcPr>
          <w:p w14:paraId="20018F7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r>
      <w:tr w:rsidR="00BD154D" w:rsidRPr="004535FA" w14:paraId="154EA8E8"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5BD5B07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FCHgo</w:t>
            </w:r>
          </w:p>
        </w:tc>
        <w:tc>
          <w:tcPr>
            <w:tcW w:w="0" w:type="auto"/>
            <w:tcBorders>
              <w:top w:val="nil"/>
              <w:left w:val="nil"/>
              <w:bottom w:val="single" w:sz="4" w:space="0" w:color="DDDDDD"/>
              <w:right w:val="single" w:sz="4" w:space="0" w:color="DDDDDD"/>
            </w:tcBorders>
            <w:shd w:val="clear" w:color="FFFFFF" w:fill="FFFFFF"/>
            <w:noWrap/>
            <w:vAlign w:val="bottom"/>
            <w:hideMark/>
          </w:tcPr>
          <w:p w14:paraId="2FDFDA1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39BF614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FCHgo: Fuel Cells Hydrogen educational model for schools, an imaginative approach to hydrogen and fuel cell technology for young students and their teachers</w:t>
            </w:r>
          </w:p>
        </w:tc>
        <w:tc>
          <w:tcPr>
            <w:tcW w:w="0" w:type="auto"/>
            <w:tcBorders>
              <w:top w:val="nil"/>
              <w:left w:val="nil"/>
              <w:bottom w:val="single" w:sz="4" w:space="0" w:color="DDDDDD"/>
              <w:right w:val="single" w:sz="4" w:space="0" w:color="DDDDDD"/>
            </w:tcBorders>
            <w:shd w:val="clear" w:color="FFFFFF" w:fill="FFFFFF"/>
            <w:noWrap/>
            <w:vAlign w:val="bottom"/>
            <w:hideMark/>
          </w:tcPr>
          <w:p w14:paraId="7E04ADD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10.1088/1742-6596/1929/1/012019</w:t>
            </w:r>
          </w:p>
        </w:tc>
        <w:tc>
          <w:tcPr>
            <w:tcW w:w="0" w:type="auto"/>
            <w:tcBorders>
              <w:top w:val="nil"/>
              <w:left w:val="nil"/>
              <w:bottom w:val="single" w:sz="4" w:space="0" w:color="DDDDDD"/>
              <w:right w:val="single" w:sz="4" w:space="0" w:color="DDDDDD"/>
            </w:tcBorders>
            <w:shd w:val="clear" w:color="FFFFFF" w:fill="FFFFFF"/>
            <w:noWrap/>
            <w:vAlign w:val="bottom"/>
            <w:hideMark/>
          </w:tcPr>
          <w:p w14:paraId="148E46B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17426588</w:t>
            </w:r>
          </w:p>
        </w:tc>
        <w:tc>
          <w:tcPr>
            <w:tcW w:w="0" w:type="auto"/>
            <w:tcBorders>
              <w:top w:val="nil"/>
              <w:left w:val="nil"/>
              <w:bottom w:val="single" w:sz="4" w:space="0" w:color="DDDDDD"/>
              <w:right w:val="single" w:sz="4" w:space="0" w:color="DDDDDD"/>
            </w:tcBorders>
            <w:shd w:val="clear" w:color="FFFFFF" w:fill="FFFFFF"/>
            <w:noWrap/>
            <w:vAlign w:val="bottom"/>
            <w:hideMark/>
          </w:tcPr>
          <w:p w14:paraId="313C592A" w14:textId="77777777" w:rsidR="00BD154D" w:rsidRPr="00974B49" w:rsidRDefault="00BD154D" w:rsidP="00DF2591">
            <w:pPr>
              <w:spacing w:after="0" w:line="240" w:lineRule="auto"/>
              <w:rPr>
                <w:rFonts w:ascii="Arial" w:eastAsia="Times New Roman" w:hAnsi="Arial" w:cs="Arial"/>
                <w:color w:val="333333"/>
                <w:sz w:val="12"/>
                <w:szCs w:val="12"/>
                <w:lang w:val="it-IT" w:eastAsia="en-GB"/>
              </w:rPr>
            </w:pPr>
            <w:r w:rsidRPr="00974B49">
              <w:rPr>
                <w:rFonts w:ascii="Arial" w:eastAsia="Times New Roman" w:hAnsi="Arial" w:cs="Arial"/>
                <w:color w:val="333333"/>
                <w:sz w:val="12"/>
                <w:szCs w:val="12"/>
                <w:lang w:val="it-IT" w:eastAsia="en-GB"/>
              </w:rPr>
              <w:t>E Dumont, H U Fuchs, F Corni, A Contini, T Altiero, M Romagnoli, G P Karwasz</w:t>
            </w:r>
          </w:p>
        </w:tc>
        <w:tc>
          <w:tcPr>
            <w:tcW w:w="0" w:type="auto"/>
            <w:tcBorders>
              <w:top w:val="nil"/>
              <w:left w:val="nil"/>
              <w:bottom w:val="single" w:sz="4" w:space="0" w:color="DDDDDD"/>
              <w:right w:val="single" w:sz="4" w:space="0" w:color="DDDDDD"/>
            </w:tcBorders>
            <w:shd w:val="clear" w:color="FFFFFF" w:fill="FFFFFF"/>
            <w:noWrap/>
            <w:vAlign w:val="bottom"/>
            <w:hideMark/>
          </w:tcPr>
          <w:p w14:paraId="733562F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Journal of Physics: Conference Series</w:t>
            </w:r>
          </w:p>
        </w:tc>
        <w:tc>
          <w:tcPr>
            <w:tcW w:w="0" w:type="auto"/>
            <w:tcBorders>
              <w:top w:val="nil"/>
              <w:left w:val="nil"/>
              <w:bottom w:val="single" w:sz="4" w:space="0" w:color="DDDDDD"/>
              <w:right w:val="single" w:sz="4" w:space="0" w:color="DDDDDD"/>
            </w:tcBorders>
            <w:shd w:val="clear" w:color="FFFFFF" w:fill="FFFFFF"/>
            <w:noWrap/>
            <w:vAlign w:val="bottom"/>
            <w:hideMark/>
          </w:tcPr>
          <w:p w14:paraId="6221AAB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1929/1</w:t>
            </w:r>
          </w:p>
        </w:tc>
        <w:tc>
          <w:tcPr>
            <w:tcW w:w="0" w:type="auto"/>
            <w:tcBorders>
              <w:top w:val="nil"/>
              <w:left w:val="nil"/>
              <w:bottom w:val="single" w:sz="4" w:space="0" w:color="DDDDDD"/>
              <w:right w:val="single" w:sz="4" w:space="0" w:color="DDDDDD"/>
            </w:tcBorders>
            <w:shd w:val="clear" w:color="FFFFFF" w:fill="FFFFFF"/>
            <w:noWrap/>
            <w:vAlign w:val="bottom"/>
            <w:hideMark/>
          </w:tcPr>
          <w:p w14:paraId="409F0F5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Institute of Physics</w:t>
            </w:r>
          </w:p>
        </w:tc>
        <w:tc>
          <w:tcPr>
            <w:tcW w:w="0" w:type="auto"/>
            <w:tcBorders>
              <w:top w:val="nil"/>
              <w:left w:val="nil"/>
              <w:bottom w:val="single" w:sz="4" w:space="0" w:color="DDDDDD"/>
              <w:right w:val="single" w:sz="4" w:space="0" w:color="DDDDDD"/>
            </w:tcBorders>
            <w:shd w:val="clear" w:color="FFFFFF" w:fill="FFFFFF"/>
            <w:noWrap/>
            <w:vAlign w:val="bottom"/>
            <w:hideMark/>
          </w:tcPr>
          <w:p w14:paraId="311D374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United Kingdom</w:t>
            </w:r>
          </w:p>
        </w:tc>
        <w:tc>
          <w:tcPr>
            <w:tcW w:w="0" w:type="auto"/>
            <w:tcBorders>
              <w:top w:val="nil"/>
              <w:left w:val="nil"/>
              <w:bottom w:val="single" w:sz="4" w:space="0" w:color="DDDDDD"/>
              <w:right w:val="single" w:sz="4" w:space="0" w:color="DDDDDD"/>
            </w:tcBorders>
            <w:shd w:val="clear" w:color="FFFFFF" w:fill="FFFFFF"/>
            <w:noWrap/>
            <w:vAlign w:val="bottom"/>
            <w:hideMark/>
          </w:tcPr>
          <w:p w14:paraId="48DF80FB"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4163E84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012019</w:t>
            </w:r>
          </w:p>
        </w:tc>
        <w:tc>
          <w:tcPr>
            <w:tcW w:w="0" w:type="auto"/>
            <w:tcBorders>
              <w:top w:val="nil"/>
              <w:left w:val="nil"/>
              <w:bottom w:val="single" w:sz="4" w:space="0" w:color="DDDDDD"/>
              <w:right w:val="single" w:sz="4" w:space="0" w:color="DDDDDD"/>
            </w:tcBorders>
            <w:shd w:val="clear" w:color="FFFFFF" w:fill="FFFFFF"/>
            <w:noWrap/>
            <w:vAlign w:val="bottom"/>
            <w:hideMark/>
          </w:tcPr>
          <w:p w14:paraId="30D22C5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09FB722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0E5606C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https://drive.google.com/file/d/1N2lP_fN-9VxVARyC9U4dDbN3149owsYn/view?usp=sharing</w:t>
            </w:r>
          </w:p>
        </w:tc>
      </w:tr>
      <w:tr w:rsidR="00BD154D" w:rsidRPr="004535FA" w14:paraId="62A9545B"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05B290F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FLAGSHIPS</w:t>
            </w:r>
          </w:p>
        </w:tc>
        <w:tc>
          <w:tcPr>
            <w:tcW w:w="0" w:type="auto"/>
            <w:tcBorders>
              <w:top w:val="nil"/>
              <w:left w:val="nil"/>
              <w:bottom w:val="single" w:sz="4" w:space="0" w:color="DDDDDD"/>
              <w:right w:val="single" w:sz="4" w:space="0" w:color="DDDDDD"/>
            </w:tcBorders>
            <w:shd w:val="clear" w:color="FFFFFF" w:fill="FFFFFF"/>
            <w:noWrap/>
            <w:vAlign w:val="bottom"/>
            <w:hideMark/>
          </w:tcPr>
          <w:p w14:paraId="2E71296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CONFERENCE_PROCEEDING</w:t>
            </w:r>
          </w:p>
        </w:tc>
        <w:tc>
          <w:tcPr>
            <w:tcW w:w="0" w:type="auto"/>
            <w:tcBorders>
              <w:top w:val="nil"/>
              <w:left w:val="nil"/>
              <w:bottom w:val="single" w:sz="4" w:space="0" w:color="DDDDDD"/>
              <w:right w:val="single" w:sz="4" w:space="0" w:color="DDDDDD"/>
            </w:tcBorders>
            <w:shd w:val="clear" w:color="FFFFFF" w:fill="FFFFFF"/>
            <w:noWrap/>
            <w:vAlign w:val="bottom"/>
            <w:hideMark/>
          </w:tcPr>
          <w:p w14:paraId="464E390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FLAGSHIPS: Deploying Two Hydrogen Vessels in Europe – Design Phase</w:t>
            </w:r>
          </w:p>
        </w:tc>
        <w:tc>
          <w:tcPr>
            <w:tcW w:w="0" w:type="auto"/>
            <w:tcBorders>
              <w:top w:val="nil"/>
              <w:left w:val="nil"/>
              <w:bottom w:val="single" w:sz="4" w:space="0" w:color="DDDDDD"/>
              <w:right w:val="single" w:sz="4" w:space="0" w:color="DDDDDD"/>
            </w:tcBorders>
            <w:shd w:val="clear" w:color="FFFFFF" w:fill="FFFFFF"/>
            <w:noWrap/>
            <w:vAlign w:val="bottom"/>
            <w:hideMark/>
          </w:tcPr>
          <w:p w14:paraId="41EF590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10.5957/smc-2021-028</w:t>
            </w:r>
          </w:p>
        </w:tc>
        <w:tc>
          <w:tcPr>
            <w:tcW w:w="0" w:type="auto"/>
            <w:tcBorders>
              <w:top w:val="nil"/>
              <w:left w:val="nil"/>
              <w:bottom w:val="single" w:sz="4" w:space="0" w:color="DDDDDD"/>
              <w:right w:val="single" w:sz="4" w:space="0" w:color="DDDDDD"/>
            </w:tcBorders>
            <w:shd w:val="clear" w:color="FFFFFF" w:fill="FFFFFF"/>
            <w:noWrap/>
            <w:vAlign w:val="bottom"/>
            <w:hideMark/>
          </w:tcPr>
          <w:p w14:paraId="163728F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5D2AD016" w14:textId="77777777" w:rsidR="00BD154D" w:rsidRPr="00BB6E0C" w:rsidRDefault="00BD154D" w:rsidP="00DF2591">
            <w:pPr>
              <w:spacing w:after="0" w:line="240" w:lineRule="auto"/>
              <w:rPr>
                <w:rFonts w:ascii="Arial" w:eastAsia="Times New Roman" w:hAnsi="Arial" w:cs="Arial"/>
                <w:color w:val="333333"/>
                <w:sz w:val="12"/>
                <w:szCs w:val="12"/>
                <w:lang w:val="fr-BE" w:eastAsia="en-GB"/>
              </w:rPr>
            </w:pPr>
            <w:r w:rsidRPr="00BB6E0C">
              <w:rPr>
                <w:rFonts w:ascii="Arial" w:eastAsia="Times New Roman" w:hAnsi="Arial" w:cs="Arial"/>
                <w:color w:val="333333"/>
                <w:sz w:val="12"/>
                <w:szCs w:val="12"/>
                <w:lang w:val="fr-BE" w:eastAsia="en-GB"/>
              </w:rPr>
              <w:t>Jyrki Mikkola, Alexandre Bellot, Arber Haxhiu, Maria Luisa Angrisani, Victor Laravoire, Hilde-Kristin Sæter, Pavel Berg</w:t>
            </w:r>
          </w:p>
        </w:tc>
        <w:tc>
          <w:tcPr>
            <w:tcW w:w="0" w:type="auto"/>
            <w:tcBorders>
              <w:top w:val="nil"/>
              <w:left w:val="nil"/>
              <w:bottom w:val="single" w:sz="4" w:space="0" w:color="DDDDDD"/>
              <w:right w:val="single" w:sz="4" w:space="0" w:color="DDDDDD"/>
            </w:tcBorders>
            <w:shd w:val="clear" w:color="FFFFFF" w:fill="FFFFFF"/>
            <w:noWrap/>
            <w:vAlign w:val="bottom"/>
            <w:hideMark/>
          </w:tcPr>
          <w:p w14:paraId="4E7DC5B7" w14:textId="77777777" w:rsidR="00BD154D" w:rsidRPr="00BB6E0C" w:rsidRDefault="00BD154D" w:rsidP="00DF2591">
            <w:pPr>
              <w:spacing w:after="0" w:line="240" w:lineRule="auto"/>
              <w:rPr>
                <w:rFonts w:ascii="Arial" w:eastAsia="Times New Roman" w:hAnsi="Arial" w:cs="Arial"/>
                <w:color w:val="333333"/>
                <w:sz w:val="12"/>
                <w:szCs w:val="12"/>
                <w:lang w:val="fr-BE" w:eastAsia="en-GB"/>
              </w:rPr>
            </w:pPr>
            <w:r w:rsidRPr="00987A9B">
              <w:rPr>
                <w:rFonts w:ascii="Arial" w:eastAsia="Times New Roman" w:hAnsi="Arial" w:cs="Arial"/>
                <w:color w:val="333333"/>
                <w:sz w:val="12"/>
                <w:szCs w:val="12"/>
                <w:lang w:val="fr-BE"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4A16E2A2" w14:textId="77777777" w:rsidR="00BD154D" w:rsidRPr="00BB6E0C" w:rsidRDefault="00BD154D" w:rsidP="00DF2591">
            <w:pPr>
              <w:spacing w:after="0" w:line="240" w:lineRule="auto"/>
              <w:rPr>
                <w:rFonts w:ascii="Arial" w:eastAsia="Times New Roman" w:hAnsi="Arial" w:cs="Arial"/>
                <w:color w:val="333333"/>
                <w:sz w:val="12"/>
                <w:szCs w:val="12"/>
                <w:lang w:val="fr-BE" w:eastAsia="en-GB"/>
              </w:rPr>
            </w:pPr>
            <w:r w:rsidRPr="00BB6E0C">
              <w:rPr>
                <w:rFonts w:ascii="Arial" w:eastAsia="Times New Roman" w:hAnsi="Arial" w:cs="Arial"/>
                <w:color w:val="333333"/>
                <w:sz w:val="12"/>
                <w:szCs w:val="12"/>
                <w:lang w:val="fr-BE"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6B0142E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OnePetro</w:t>
            </w:r>
          </w:p>
        </w:tc>
        <w:tc>
          <w:tcPr>
            <w:tcW w:w="0" w:type="auto"/>
            <w:tcBorders>
              <w:top w:val="nil"/>
              <w:left w:val="nil"/>
              <w:bottom w:val="single" w:sz="4" w:space="0" w:color="DDDDDD"/>
              <w:right w:val="single" w:sz="4" w:space="0" w:color="DDDDDD"/>
            </w:tcBorders>
            <w:shd w:val="clear" w:color="FFFFFF" w:fill="FFFFFF"/>
            <w:noWrap/>
            <w:vAlign w:val="bottom"/>
            <w:hideMark/>
          </w:tcPr>
          <w:p w14:paraId="2A719BC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Providence, Rhode Island, USA</w:t>
            </w:r>
          </w:p>
        </w:tc>
        <w:tc>
          <w:tcPr>
            <w:tcW w:w="0" w:type="auto"/>
            <w:tcBorders>
              <w:top w:val="nil"/>
              <w:left w:val="nil"/>
              <w:bottom w:val="single" w:sz="4" w:space="0" w:color="DDDDDD"/>
              <w:right w:val="single" w:sz="4" w:space="0" w:color="DDDDDD"/>
            </w:tcBorders>
            <w:shd w:val="clear" w:color="FFFFFF" w:fill="FFFFFF"/>
            <w:noWrap/>
            <w:vAlign w:val="bottom"/>
            <w:hideMark/>
          </w:tcPr>
          <w:p w14:paraId="6370CED1"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79BB1F5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1AAEFAC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45D806A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0B84046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https://onepetro.org/SNAMESMC/proceedings-abstract/SMC21/2-SMC21/D021S002R002/470680</w:t>
            </w:r>
          </w:p>
        </w:tc>
      </w:tr>
      <w:tr w:rsidR="00BD154D" w:rsidRPr="004535FA" w14:paraId="243DBE30"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151613B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FLAGSHIPS</w:t>
            </w:r>
          </w:p>
        </w:tc>
        <w:tc>
          <w:tcPr>
            <w:tcW w:w="0" w:type="auto"/>
            <w:tcBorders>
              <w:top w:val="nil"/>
              <w:left w:val="nil"/>
              <w:bottom w:val="single" w:sz="4" w:space="0" w:color="DDDDDD"/>
              <w:right w:val="single" w:sz="4" w:space="0" w:color="DDDDDD"/>
            </w:tcBorders>
            <w:shd w:val="clear" w:color="FFFFFF" w:fill="FFFFFF"/>
            <w:noWrap/>
            <w:vAlign w:val="bottom"/>
            <w:hideMark/>
          </w:tcPr>
          <w:p w14:paraId="0AFEC8C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6B68E20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Electric Power Integration Schemes of the Hybrid Fuel Cells and Batteries-Fed Marine Vessels – An Overview</w:t>
            </w:r>
          </w:p>
        </w:tc>
        <w:tc>
          <w:tcPr>
            <w:tcW w:w="0" w:type="auto"/>
            <w:tcBorders>
              <w:top w:val="nil"/>
              <w:left w:val="nil"/>
              <w:bottom w:val="single" w:sz="4" w:space="0" w:color="DDDDDD"/>
              <w:right w:val="single" w:sz="4" w:space="0" w:color="DDDDDD"/>
            </w:tcBorders>
            <w:shd w:val="clear" w:color="FFFFFF" w:fill="FFFFFF"/>
            <w:noWrap/>
            <w:vAlign w:val="bottom"/>
            <w:hideMark/>
          </w:tcPr>
          <w:p w14:paraId="31B392F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10.1109/tte.2021.3126100</w:t>
            </w:r>
          </w:p>
        </w:tc>
        <w:tc>
          <w:tcPr>
            <w:tcW w:w="0" w:type="auto"/>
            <w:tcBorders>
              <w:top w:val="nil"/>
              <w:left w:val="nil"/>
              <w:bottom w:val="single" w:sz="4" w:space="0" w:color="DDDDDD"/>
              <w:right w:val="single" w:sz="4" w:space="0" w:color="DDDDDD"/>
            </w:tcBorders>
            <w:shd w:val="clear" w:color="FFFFFF" w:fill="FFFFFF"/>
            <w:noWrap/>
            <w:vAlign w:val="bottom"/>
            <w:hideMark/>
          </w:tcPr>
          <w:p w14:paraId="511ABE2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2332-7782</w:t>
            </w:r>
          </w:p>
        </w:tc>
        <w:tc>
          <w:tcPr>
            <w:tcW w:w="0" w:type="auto"/>
            <w:tcBorders>
              <w:top w:val="nil"/>
              <w:left w:val="nil"/>
              <w:bottom w:val="single" w:sz="4" w:space="0" w:color="DDDDDD"/>
              <w:right w:val="single" w:sz="4" w:space="0" w:color="DDDDDD"/>
            </w:tcBorders>
            <w:shd w:val="clear" w:color="FFFFFF" w:fill="FFFFFF"/>
            <w:noWrap/>
            <w:vAlign w:val="bottom"/>
            <w:hideMark/>
          </w:tcPr>
          <w:p w14:paraId="09FE2B53" w14:textId="77777777" w:rsidR="00BD154D" w:rsidRPr="00974B49" w:rsidRDefault="00BD154D" w:rsidP="00DF2591">
            <w:pPr>
              <w:spacing w:after="0" w:line="240" w:lineRule="auto"/>
              <w:rPr>
                <w:rFonts w:ascii="Arial" w:eastAsia="Times New Roman" w:hAnsi="Arial" w:cs="Arial"/>
                <w:color w:val="333333"/>
                <w:sz w:val="12"/>
                <w:szCs w:val="12"/>
                <w:lang w:val="de-DE" w:eastAsia="en-GB"/>
              </w:rPr>
            </w:pPr>
            <w:r w:rsidRPr="00974B49">
              <w:rPr>
                <w:rFonts w:ascii="Arial" w:eastAsia="Times New Roman" w:hAnsi="Arial" w:cs="Arial"/>
                <w:color w:val="333333"/>
                <w:sz w:val="12"/>
                <w:szCs w:val="12"/>
                <w:lang w:val="de-DE" w:eastAsia="en-GB"/>
              </w:rPr>
              <w:t>Arber Haxhiu, Ahmed Abdelhakim, Sami Kanerva and Jostein Bogen</w:t>
            </w:r>
          </w:p>
        </w:tc>
        <w:tc>
          <w:tcPr>
            <w:tcW w:w="0" w:type="auto"/>
            <w:tcBorders>
              <w:top w:val="nil"/>
              <w:left w:val="nil"/>
              <w:bottom w:val="single" w:sz="4" w:space="0" w:color="DDDDDD"/>
              <w:right w:val="single" w:sz="4" w:space="0" w:color="DDDDDD"/>
            </w:tcBorders>
            <w:shd w:val="clear" w:color="FFFFFF" w:fill="FFFFFF"/>
            <w:noWrap/>
            <w:vAlign w:val="bottom"/>
            <w:hideMark/>
          </w:tcPr>
          <w:p w14:paraId="76D0CF5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IEEE Transactions on Transportation Electrification</w:t>
            </w:r>
          </w:p>
        </w:tc>
        <w:tc>
          <w:tcPr>
            <w:tcW w:w="0" w:type="auto"/>
            <w:tcBorders>
              <w:top w:val="nil"/>
              <w:left w:val="nil"/>
              <w:bottom w:val="single" w:sz="4" w:space="0" w:color="DDDDDD"/>
              <w:right w:val="single" w:sz="4" w:space="0" w:color="DDDDDD"/>
            </w:tcBorders>
            <w:shd w:val="clear" w:color="FFFFFF" w:fill="FFFFFF"/>
            <w:noWrap/>
            <w:vAlign w:val="bottom"/>
            <w:hideMark/>
          </w:tcPr>
          <w:p w14:paraId="43B0162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554F8BB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IEEE</w:t>
            </w:r>
          </w:p>
        </w:tc>
        <w:tc>
          <w:tcPr>
            <w:tcW w:w="0" w:type="auto"/>
            <w:tcBorders>
              <w:top w:val="nil"/>
              <w:left w:val="nil"/>
              <w:bottom w:val="single" w:sz="4" w:space="0" w:color="DDDDDD"/>
              <w:right w:val="single" w:sz="4" w:space="0" w:color="DDDDDD"/>
            </w:tcBorders>
            <w:shd w:val="clear" w:color="FFFFFF" w:fill="FFFFFF"/>
            <w:noWrap/>
            <w:vAlign w:val="bottom"/>
            <w:hideMark/>
          </w:tcPr>
          <w:p w14:paraId="67AF133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electronic</w:t>
            </w:r>
          </w:p>
        </w:tc>
        <w:tc>
          <w:tcPr>
            <w:tcW w:w="0" w:type="auto"/>
            <w:tcBorders>
              <w:top w:val="nil"/>
              <w:left w:val="nil"/>
              <w:bottom w:val="single" w:sz="4" w:space="0" w:color="DDDDDD"/>
              <w:right w:val="single" w:sz="4" w:space="0" w:color="DDDDDD"/>
            </w:tcBorders>
            <w:shd w:val="clear" w:color="FFFFFF" w:fill="FFFFFF"/>
            <w:noWrap/>
            <w:vAlign w:val="bottom"/>
            <w:hideMark/>
          </w:tcPr>
          <w:p w14:paraId="4280FFDE"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69E4CE2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09C5743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Yes</w:t>
            </w:r>
          </w:p>
        </w:tc>
        <w:tc>
          <w:tcPr>
            <w:tcW w:w="0" w:type="auto"/>
            <w:tcBorders>
              <w:top w:val="nil"/>
              <w:left w:val="nil"/>
              <w:bottom w:val="single" w:sz="4" w:space="0" w:color="DDDDDD"/>
              <w:right w:val="single" w:sz="4" w:space="0" w:color="DDDDDD"/>
            </w:tcBorders>
            <w:shd w:val="clear" w:color="FFFFFF" w:fill="FFFFFF"/>
            <w:noWrap/>
            <w:vAlign w:val="bottom"/>
            <w:hideMark/>
          </w:tcPr>
          <w:p w14:paraId="7708A88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22369D5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https://ieeexplore.ieee.org/document/9606740</w:t>
            </w:r>
          </w:p>
        </w:tc>
      </w:tr>
      <w:tr w:rsidR="00BD154D" w:rsidRPr="004535FA" w14:paraId="6A5F456D"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6FB5ECC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FLHYSAFE</w:t>
            </w:r>
          </w:p>
        </w:tc>
        <w:tc>
          <w:tcPr>
            <w:tcW w:w="0" w:type="auto"/>
            <w:tcBorders>
              <w:top w:val="nil"/>
              <w:left w:val="nil"/>
              <w:bottom w:val="single" w:sz="4" w:space="0" w:color="DDDDDD"/>
              <w:right w:val="single" w:sz="4" w:space="0" w:color="DDDDDD"/>
            </w:tcBorders>
            <w:shd w:val="clear" w:color="FFFFFF" w:fill="FFFFFF"/>
            <w:noWrap/>
            <w:vAlign w:val="bottom"/>
            <w:hideMark/>
          </w:tcPr>
          <w:p w14:paraId="3149C17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CONFERENCE_PROCEEDING</w:t>
            </w:r>
          </w:p>
        </w:tc>
        <w:tc>
          <w:tcPr>
            <w:tcW w:w="0" w:type="auto"/>
            <w:tcBorders>
              <w:top w:val="nil"/>
              <w:left w:val="nil"/>
              <w:bottom w:val="single" w:sz="4" w:space="0" w:color="DDDDDD"/>
              <w:right w:val="single" w:sz="4" w:space="0" w:color="DDDDDD"/>
            </w:tcBorders>
            <w:shd w:val="clear" w:color="FFFFFF" w:fill="FFFFFF"/>
            <w:noWrap/>
            <w:vAlign w:val="bottom"/>
            <w:hideMark/>
          </w:tcPr>
          <w:p w14:paraId="758F17F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 Novel Re-configurable LLC Converter for Electric Aircraft</w:t>
            </w:r>
          </w:p>
        </w:tc>
        <w:tc>
          <w:tcPr>
            <w:tcW w:w="0" w:type="auto"/>
            <w:tcBorders>
              <w:top w:val="nil"/>
              <w:left w:val="nil"/>
              <w:bottom w:val="single" w:sz="4" w:space="0" w:color="DDDDDD"/>
              <w:right w:val="single" w:sz="4" w:space="0" w:color="DDDDDD"/>
            </w:tcBorders>
            <w:shd w:val="clear" w:color="FFFFFF" w:fill="FFFFFF"/>
            <w:noWrap/>
            <w:vAlign w:val="bottom"/>
            <w:hideMark/>
          </w:tcPr>
          <w:p w14:paraId="0D96571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10.1109/ecce-asia49820.2021.9479165</w:t>
            </w:r>
          </w:p>
        </w:tc>
        <w:tc>
          <w:tcPr>
            <w:tcW w:w="0" w:type="auto"/>
            <w:tcBorders>
              <w:top w:val="nil"/>
              <w:left w:val="nil"/>
              <w:bottom w:val="single" w:sz="4" w:space="0" w:color="DDDDDD"/>
              <w:right w:val="single" w:sz="4" w:space="0" w:color="DDDDDD"/>
            </w:tcBorders>
            <w:shd w:val="clear" w:color="FFFFFF" w:fill="FFFFFF"/>
            <w:noWrap/>
            <w:vAlign w:val="bottom"/>
            <w:hideMark/>
          </w:tcPr>
          <w:p w14:paraId="5B98B00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0BA4E03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Sumantra Bhattacharya; Caroline Willich; Pia Hoenicke; Josef Kallo</w:t>
            </w:r>
          </w:p>
        </w:tc>
        <w:tc>
          <w:tcPr>
            <w:tcW w:w="0" w:type="auto"/>
            <w:tcBorders>
              <w:top w:val="nil"/>
              <w:left w:val="nil"/>
              <w:bottom w:val="single" w:sz="4" w:space="0" w:color="DDDDDD"/>
              <w:right w:val="single" w:sz="4" w:space="0" w:color="DDDDDD"/>
            </w:tcBorders>
            <w:shd w:val="clear" w:color="FFFFFF" w:fill="FFFFFF"/>
            <w:noWrap/>
            <w:vAlign w:val="bottom"/>
            <w:hideMark/>
          </w:tcPr>
          <w:p w14:paraId="4F3B881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 IEEE 12th Energy Conversion Congress &amp; Exposition - Asia (ECCE-Asia)</w:t>
            </w:r>
          </w:p>
        </w:tc>
        <w:tc>
          <w:tcPr>
            <w:tcW w:w="0" w:type="auto"/>
            <w:tcBorders>
              <w:top w:val="nil"/>
              <w:left w:val="nil"/>
              <w:bottom w:val="single" w:sz="4" w:space="0" w:color="DDDDDD"/>
              <w:right w:val="single" w:sz="4" w:space="0" w:color="DDDDDD"/>
            </w:tcBorders>
            <w:shd w:val="clear" w:color="FFFFFF" w:fill="FFFFFF"/>
            <w:noWrap/>
            <w:vAlign w:val="bottom"/>
            <w:hideMark/>
          </w:tcPr>
          <w:p w14:paraId="39E16EF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186BD16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IEEE</w:t>
            </w:r>
          </w:p>
        </w:tc>
        <w:tc>
          <w:tcPr>
            <w:tcW w:w="0" w:type="auto"/>
            <w:tcBorders>
              <w:top w:val="nil"/>
              <w:left w:val="nil"/>
              <w:bottom w:val="single" w:sz="4" w:space="0" w:color="DDDDDD"/>
              <w:right w:val="single" w:sz="4" w:space="0" w:color="DDDDDD"/>
            </w:tcBorders>
            <w:shd w:val="clear" w:color="FFFFFF" w:fill="FFFFFF"/>
            <w:noWrap/>
            <w:vAlign w:val="bottom"/>
            <w:hideMark/>
          </w:tcPr>
          <w:p w14:paraId="7B4E238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Singapore</w:t>
            </w:r>
          </w:p>
        </w:tc>
        <w:tc>
          <w:tcPr>
            <w:tcW w:w="0" w:type="auto"/>
            <w:tcBorders>
              <w:top w:val="nil"/>
              <w:left w:val="nil"/>
              <w:bottom w:val="single" w:sz="4" w:space="0" w:color="DDDDDD"/>
              <w:right w:val="single" w:sz="4" w:space="0" w:color="DDDDDD"/>
            </w:tcBorders>
            <w:shd w:val="clear" w:color="FFFFFF" w:fill="FFFFFF"/>
            <w:noWrap/>
            <w:vAlign w:val="bottom"/>
            <w:hideMark/>
          </w:tcPr>
          <w:p w14:paraId="7FB6DA12"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24D8DC8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2E8FECF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6283CBF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Yes</w:t>
            </w:r>
          </w:p>
        </w:tc>
        <w:tc>
          <w:tcPr>
            <w:tcW w:w="0" w:type="auto"/>
            <w:tcBorders>
              <w:top w:val="nil"/>
              <w:left w:val="nil"/>
              <w:bottom w:val="single" w:sz="4" w:space="0" w:color="DDDDDD"/>
              <w:right w:val="single" w:sz="4" w:space="0" w:color="DDDDDD"/>
            </w:tcBorders>
            <w:shd w:val="clear" w:color="FFFFFF" w:fill="FFFFFF"/>
            <w:noWrap/>
            <w:vAlign w:val="bottom"/>
            <w:hideMark/>
          </w:tcPr>
          <w:p w14:paraId="753416E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https://ieeexplore.ieee.org/document/9479165</w:t>
            </w:r>
          </w:p>
        </w:tc>
      </w:tr>
      <w:tr w:rsidR="00BD154D" w:rsidRPr="004535FA" w14:paraId="5EDB0144"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63F758B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FLHYSAFE</w:t>
            </w:r>
          </w:p>
        </w:tc>
        <w:tc>
          <w:tcPr>
            <w:tcW w:w="0" w:type="auto"/>
            <w:tcBorders>
              <w:top w:val="nil"/>
              <w:left w:val="nil"/>
              <w:bottom w:val="single" w:sz="4" w:space="0" w:color="DDDDDD"/>
              <w:right w:val="single" w:sz="4" w:space="0" w:color="DDDDDD"/>
            </w:tcBorders>
            <w:shd w:val="clear" w:color="FFFFFF" w:fill="FFFFFF"/>
            <w:noWrap/>
            <w:vAlign w:val="bottom"/>
            <w:hideMark/>
          </w:tcPr>
          <w:p w14:paraId="2313307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CONFERENCE_PROCEEDING</w:t>
            </w:r>
          </w:p>
        </w:tc>
        <w:tc>
          <w:tcPr>
            <w:tcW w:w="0" w:type="auto"/>
            <w:tcBorders>
              <w:top w:val="nil"/>
              <w:left w:val="nil"/>
              <w:bottom w:val="single" w:sz="4" w:space="0" w:color="DDDDDD"/>
              <w:right w:val="single" w:sz="4" w:space="0" w:color="DDDDDD"/>
            </w:tcBorders>
            <w:shd w:val="clear" w:color="FFFFFF" w:fill="FFFFFF"/>
            <w:noWrap/>
            <w:vAlign w:val="bottom"/>
            <w:hideMark/>
          </w:tcPr>
          <w:p w14:paraId="3236D96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 seamless Functional Hazard Analysis for a fuel cell system supported by Spreadsheets</w:t>
            </w:r>
          </w:p>
        </w:tc>
        <w:tc>
          <w:tcPr>
            <w:tcW w:w="0" w:type="auto"/>
            <w:tcBorders>
              <w:top w:val="nil"/>
              <w:left w:val="nil"/>
              <w:bottom w:val="single" w:sz="4" w:space="0" w:color="DDDDDD"/>
              <w:right w:val="single" w:sz="4" w:space="0" w:color="DDDDDD"/>
            </w:tcBorders>
            <w:shd w:val="clear" w:color="FFFFFF" w:fill="FFFFFF"/>
            <w:noWrap/>
            <w:vAlign w:val="bottom"/>
            <w:hideMark/>
          </w:tcPr>
          <w:p w14:paraId="7D3E7F7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10.3850/978-981-18-2016-8_114-cd</w:t>
            </w:r>
          </w:p>
        </w:tc>
        <w:tc>
          <w:tcPr>
            <w:tcW w:w="0" w:type="auto"/>
            <w:tcBorders>
              <w:top w:val="nil"/>
              <w:left w:val="nil"/>
              <w:bottom w:val="single" w:sz="4" w:space="0" w:color="DDDDDD"/>
              <w:right w:val="single" w:sz="4" w:space="0" w:color="DDDDDD"/>
            </w:tcBorders>
            <w:shd w:val="clear" w:color="FFFFFF" w:fill="FFFFFF"/>
            <w:noWrap/>
            <w:vAlign w:val="bottom"/>
            <w:hideMark/>
          </w:tcPr>
          <w:p w14:paraId="61AD8DB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978-981-18-20</w:t>
            </w:r>
            <w:r w:rsidRPr="00F07F7C">
              <w:rPr>
                <w:rFonts w:ascii="Arial" w:eastAsia="Times New Roman" w:hAnsi="Arial" w:cs="Arial"/>
                <w:color w:val="333333"/>
                <w:sz w:val="12"/>
                <w:szCs w:val="12"/>
                <w:lang w:eastAsia="en-GB"/>
              </w:rPr>
              <w:lastRenderedPageBreak/>
              <w:t>16-8</w:t>
            </w:r>
          </w:p>
        </w:tc>
        <w:tc>
          <w:tcPr>
            <w:tcW w:w="0" w:type="auto"/>
            <w:tcBorders>
              <w:top w:val="nil"/>
              <w:left w:val="nil"/>
              <w:bottom w:val="single" w:sz="4" w:space="0" w:color="DDDDDD"/>
              <w:right w:val="single" w:sz="4" w:space="0" w:color="DDDDDD"/>
            </w:tcBorders>
            <w:shd w:val="clear" w:color="FFFFFF" w:fill="FFFFFF"/>
            <w:noWrap/>
            <w:vAlign w:val="bottom"/>
            <w:hideMark/>
          </w:tcPr>
          <w:p w14:paraId="5A218A7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lastRenderedPageBreak/>
              <w:t>Axel BERRES, Tim BITTNER</w:t>
            </w:r>
          </w:p>
        </w:tc>
        <w:tc>
          <w:tcPr>
            <w:tcW w:w="0" w:type="auto"/>
            <w:tcBorders>
              <w:top w:val="nil"/>
              <w:left w:val="nil"/>
              <w:bottom w:val="single" w:sz="4" w:space="0" w:color="DDDDDD"/>
              <w:right w:val="single" w:sz="4" w:space="0" w:color="DDDDDD"/>
            </w:tcBorders>
            <w:shd w:val="clear" w:color="FFFFFF" w:fill="FFFFFF"/>
            <w:noWrap/>
            <w:vAlign w:val="bottom"/>
            <w:hideMark/>
          </w:tcPr>
          <w:p w14:paraId="53C9651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Proceedings of the 31st European Safety and Reliability Conference</w:t>
            </w:r>
          </w:p>
        </w:tc>
        <w:tc>
          <w:tcPr>
            <w:tcW w:w="0" w:type="auto"/>
            <w:tcBorders>
              <w:top w:val="nil"/>
              <w:left w:val="nil"/>
              <w:bottom w:val="single" w:sz="4" w:space="0" w:color="DDDDDD"/>
              <w:right w:val="single" w:sz="4" w:space="0" w:color="DDDDDD"/>
            </w:tcBorders>
            <w:shd w:val="clear" w:color="FFFFFF" w:fill="FFFFFF"/>
            <w:noWrap/>
            <w:vAlign w:val="bottom"/>
            <w:hideMark/>
          </w:tcPr>
          <w:p w14:paraId="70384B9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3AB7F19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Research Publishing</w:t>
            </w:r>
          </w:p>
        </w:tc>
        <w:tc>
          <w:tcPr>
            <w:tcW w:w="0" w:type="auto"/>
            <w:tcBorders>
              <w:top w:val="nil"/>
              <w:left w:val="nil"/>
              <w:bottom w:val="single" w:sz="4" w:space="0" w:color="DDDDDD"/>
              <w:right w:val="single" w:sz="4" w:space="0" w:color="DDDDDD"/>
            </w:tcBorders>
            <w:shd w:val="clear" w:color="FFFFFF" w:fill="FFFFFF"/>
            <w:noWrap/>
            <w:vAlign w:val="bottom"/>
            <w:hideMark/>
          </w:tcPr>
          <w:p w14:paraId="3DBAECC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Singapore</w:t>
            </w:r>
          </w:p>
        </w:tc>
        <w:tc>
          <w:tcPr>
            <w:tcW w:w="0" w:type="auto"/>
            <w:tcBorders>
              <w:top w:val="nil"/>
              <w:left w:val="nil"/>
              <w:bottom w:val="single" w:sz="4" w:space="0" w:color="DDDDDD"/>
              <w:right w:val="single" w:sz="4" w:space="0" w:color="DDDDDD"/>
            </w:tcBorders>
            <w:shd w:val="clear" w:color="FFFFFF" w:fill="FFFFFF"/>
            <w:noWrap/>
            <w:vAlign w:val="bottom"/>
            <w:hideMark/>
          </w:tcPr>
          <w:p w14:paraId="4719F1AC"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49591E7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7AF3746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68C683B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22B6EE2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https://rpsonline.com.sg/proceedings/9789811820168/pdf/114.pdf</w:t>
            </w:r>
          </w:p>
        </w:tc>
      </w:tr>
      <w:tr w:rsidR="00BD154D" w:rsidRPr="004535FA" w14:paraId="7D1585C0"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12CC894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FLHYSAFE</w:t>
            </w:r>
          </w:p>
        </w:tc>
        <w:tc>
          <w:tcPr>
            <w:tcW w:w="0" w:type="auto"/>
            <w:tcBorders>
              <w:top w:val="nil"/>
              <w:left w:val="nil"/>
              <w:bottom w:val="single" w:sz="4" w:space="0" w:color="DDDDDD"/>
              <w:right w:val="single" w:sz="4" w:space="0" w:color="DDDDDD"/>
            </w:tcBorders>
            <w:shd w:val="clear" w:color="FFFFFF" w:fill="FFFFFF"/>
            <w:noWrap/>
            <w:vAlign w:val="bottom"/>
            <w:hideMark/>
          </w:tcPr>
          <w:p w14:paraId="4BBA96F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503E9AC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Proposal of a New Technique to Obtain Some Fuel Cell Internal Parameters Using Polarization Curve Tests and EIS Results</w:t>
            </w:r>
          </w:p>
        </w:tc>
        <w:tc>
          <w:tcPr>
            <w:tcW w:w="0" w:type="auto"/>
            <w:tcBorders>
              <w:top w:val="nil"/>
              <w:left w:val="nil"/>
              <w:bottom w:val="single" w:sz="4" w:space="0" w:color="DDDDDD"/>
              <w:right w:val="single" w:sz="4" w:space="0" w:color="DDDDDD"/>
            </w:tcBorders>
            <w:shd w:val="clear" w:color="FFFFFF" w:fill="FFFFFF"/>
            <w:noWrap/>
            <w:vAlign w:val="bottom"/>
            <w:hideMark/>
          </w:tcPr>
          <w:p w14:paraId="0CC5D49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10.3390/en14217161</w:t>
            </w:r>
          </w:p>
        </w:tc>
        <w:tc>
          <w:tcPr>
            <w:tcW w:w="0" w:type="auto"/>
            <w:tcBorders>
              <w:top w:val="nil"/>
              <w:left w:val="nil"/>
              <w:bottom w:val="single" w:sz="4" w:space="0" w:color="DDDDDD"/>
              <w:right w:val="single" w:sz="4" w:space="0" w:color="DDDDDD"/>
            </w:tcBorders>
            <w:shd w:val="clear" w:color="FFFFFF" w:fill="FFFFFF"/>
            <w:noWrap/>
            <w:vAlign w:val="bottom"/>
            <w:hideMark/>
          </w:tcPr>
          <w:p w14:paraId="1C78583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19961073</w:t>
            </w:r>
          </w:p>
        </w:tc>
        <w:tc>
          <w:tcPr>
            <w:tcW w:w="0" w:type="auto"/>
            <w:tcBorders>
              <w:top w:val="nil"/>
              <w:left w:val="nil"/>
              <w:bottom w:val="single" w:sz="4" w:space="0" w:color="DDDDDD"/>
              <w:right w:val="single" w:sz="4" w:space="0" w:color="DDDDDD"/>
            </w:tcBorders>
            <w:shd w:val="clear" w:color="FFFFFF" w:fill="FFFFFF"/>
            <w:noWrap/>
            <w:vAlign w:val="bottom"/>
            <w:hideMark/>
          </w:tcPr>
          <w:p w14:paraId="4FDD8096" w14:textId="77777777" w:rsidR="00BD154D" w:rsidRPr="00A60794" w:rsidRDefault="00BD154D" w:rsidP="00DF2591">
            <w:pPr>
              <w:spacing w:after="0" w:line="240" w:lineRule="auto"/>
              <w:rPr>
                <w:rFonts w:ascii="Arial" w:eastAsia="Times New Roman" w:hAnsi="Arial" w:cs="Arial"/>
                <w:color w:val="333333"/>
                <w:sz w:val="12"/>
                <w:szCs w:val="12"/>
                <w:lang w:val="es-ES" w:eastAsia="en-GB"/>
              </w:rPr>
            </w:pPr>
            <w:r w:rsidRPr="00A60794">
              <w:rPr>
                <w:rFonts w:ascii="Arial" w:eastAsia="Times New Roman" w:hAnsi="Arial" w:cs="Arial"/>
                <w:color w:val="333333"/>
                <w:sz w:val="12"/>
                <w:szCs w:val="12"/>
                <w:lang w:val="es-ES" w:eastAsia="en-GB"/>
              </w:rPr>
              <w:t>Guillermo Gómez, Pilar Argumosa, Adrian Correro, Jesús Maellas</w:t>
            </w:r>
          </w:p>
        </w:tc>
        <w:tc>
          <w:tcPr>
            <w:tcW w:w="0" w:type="auto"/>
            <w:tcBorders>
              <w:top w:val="nil"/>
              <w:left w:val="nil"/>
              <w:bottom w:val="single" w:sz="4" w:space="0" w:color="DDDDDD"/>
              <w:right w:val="single" w:sz="4" w:space="0" w:color="DDDDDD"/>
            </w:tcBorders>
            <w:shd w:val="clear" w:color="FFFFFF" w:fill="FFFFFF"/>
            <w:noWrap/>
            <w:vAlign w:val="bottom"/>
            <w:hideMark/>
          </w:tcPr>
          <w:p w14:paraId="7F9ADA5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Energies</w:t>
            </w:r>
          </w:p>
        </w:tc>
        <w:tc>
          <w:tcPr>
            <w:tcW w:w="0" w:type="auto"/>
            <w:tcBorders>
              <w:top w:val="nil"/>
              <w:left w:val="nil"/>
              <w:bottom w:val="single" w:sz="4" w:space="0" w:color="DDDDDD"/>
              <w:right w:val="single" w:sz="4" w:space="0" w:color="DDDDDD"/>
            </w:tcBorders>
            <w:shd w:val="clear" w:color="FFFFFF" w:fill="FFFFFF"/>
            <w:noWrap/>
            <w:vAlign w:val="bottom"/>
            <w:hideMark/>
          </w:tcPr>
          <w:p w14:paraId="72B6883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14/21</w:t>
            </w:r>
          </w:p>
        </w:tc>
        <w:tc>
          <w:tcPr>
            <w:tcW w:w="0" w:type="auto"/>
            <w:tcBorders>
              <w:top w:val="nil"/>
              <w:left w:val="nil"/>
              <w:bottom w:val="single" w:sz="4" w:space="0" w:color="DDDDDD"/>
              <w:right w:val="single" w:sz="4" w:space="0" w:color="DDDDDD"/>
            </w:tcBorders>
            <w:shd w:val="clear" w:color="FFFFFF" w:fill="FFFFFF"/>
            <w:noWrap/>
            <w:vAlign w:val="bottom"/>
            <w:hideMark/>
          </w:tcPr>
          <w:p w14:paraId="5F941C0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Multidisciplinary Digital Publishing Institute (MDPI)</w:t>
            </w:r>
          </w:p>
        </w:tc>
        <w:tc>
          <w:tcPr>
            <w:tcW w:w="0" w:type="auto"/>
            <w:tcBorders>
              <w:top w:val="nil"/>
              <w:left w:val="nil"/>
              <w:bottom w:val="single" w:sz="4" w:space="0" w:color="DDDDDD"/>
              <w:right w:val="single" w:sz="4" w:space="0" w:color="DDDDDD"/>
            </w:tcBorders>
            <w:shd w:val="clear" w:color="FFFFFF" w:fill="FFFFFF"/>
            <w:noWrap/>
            <w:vAlign w:val="bottom"/>
            <w:hideMark/>
          </w:tcPr>
          <w:p w14:paraId="5003994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Switzerland</w:t>
            </w:r>
          </w:p>
        </w:tc>
        <w:tc>
          <w:tcPr>
            <w:tcW w:w="0" w:type="auto"/>
            <w:tcBorders>
              <w:top w:val="nil"/>
              <w:left w:val="nil"/>
              <w:bottom w:val="single" w:sz="4" w:space="0" w:color="DDDDDD"/>
              <w:right w:val="single" w:sz="4" w:space="0" w:color="DDDDDD"/>
            </w:tcBorders>
            <w:shd w:val="clear" w:color="FFFFFF" w:fill="FFFFFF"/>
            <w:noWrap/>
            <w:vAlign w:val="bottom"/>
            <w:hideMark/>
          </w:tcPr>
          <w:p w14:paraId="351CDC44"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2F3AE68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7161</w:t>
            </w:r>
          </w:p>
        </w:tc>
        <w:tc>
          <w:tcPr>
            <w:tcW w:w="0" w:type="auto"/>
            <w:tcBorders>
              <w:top w:val="nil"/>
              <w:left w:val="nil"/>
              <w:bottom w:val="single" w:sz="4" w:space="0" w:color="DDDDDD"/>
              <w:right w:val="single" w:sz="4" w:space="0" w:color="DDDDDD"/>
            </w:tcBorders>
            <w:shd w:val="clear" w:color="FFFFFF" w:fill="FFFFFF"/>
            <w:noWrap/>
            <w:vAlign w:val="bottom"/>
            <w:hideMark/>
          </w:tcPr>
          <w:p w14:paraId="01A9DFD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6CFD3A6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49B698E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https://www.mdpi.com/1996-1073/14/21/7161/htm</w:t>
            </w:r>
          </w:p>
        </w:tc>
      </w:tr>
      <w:tr w:rsidR="00BD154D" w:rsidRPr="004535FA" w14:paraId="2EEDF915"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3DB905C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GAIA</w:t>
            </w:r>
          </w:p>
        </w:tc>
        <w:tc>
          <w:tcPr>
            <w:tcW w:w="0" w:type="auto"/>
            <w:tcBorders>
              <w:top w:val="nil"/>
              <w:left w:val="nil"/>
              <w:bottom w:val="single" w:sz="4" w:space="0" w:color="DDDDDD"/>
              <w:right w:val="single" w:sz="4" w:space="0" w:color="DDDDDD"/>
            </w:tcBorders>
            <w:shd w:val="clear" w:color="FFFFFF" w:fill="FFFFFF"/>
            <w:noWrap/>
            <w:vAlign w:val="bottom"/>
            <w:hideMark/>
          </w:tcPr>
          <w:p w14:paraId="7E201E1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312EBD3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Advancements in cathode catalyst and cathode layer design for proton exchange membrane fuel cells</w:t>
            </w:r>
          </w:p>
        </w:tc>
        <w:tc>
          <w:tcPr>
            <w:tcW w:w="0" w:type="auto"/>
            <w:tcBorders>
              <w:top w:val="nil"/>
              <w:left w:val="nil"/>
              <w:bottom w:val="single" w:sz="4" w:space="0" w:color="DDDDDD"/>
              <w:right w:val="single" w:sz="4" w:space="0" w:color="DDDDDD"/>
            </w:tcBorders>
            <w:shd w:val="clear" w:color="FFFFFF" w:fill="FFFFFF"/>
            <w:noWrap/>
            <w:vAlign w:val="bottom"/>
            <w:hideMark/>
          </w:tcPr>
          <w:p w14:paraId="691E63D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10.1038/s41467-021-25911-x</w:t>
            </w:r>
          </w:p>
        </w:tc>
        <w:tc>
          <w:tcPr>
            <w:tcW w:w="0" w:type="auto"/>
            <w:tcBorders>
              <w:top w:val="nil"/>
              <w:left w:val="nil"/>
              <w:bottom w:val="single" w:sz="4" w:space="0" w:color="DDDDDD"/>
              <w:right w:val="single" w:sz="4" w:space="0" w:color="DDDDDD"/>
            </w:tcBorders>
            <w:shd w:val="clear" w:color="FFFFFF" w:fill="FFFFFF"/>
            <w:noWrap/>
            <w:vAlign w:val="bottom"/>
            <w:hideMark/>
          </w:tcPr>
          <w:p w14:paraId="4DE9F08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20411723</w:t>
            </w:r>
          </w:p>
        </w:tc>
        <w:tc>
          <w:tcPr>
            <w:tcW w:w="0" w:type="auto"/>
            <w:tcBorders>
              <w:top w:val="nil"/>
              <w:left w:val="nil"/>
              <w:bottom w:val="single" w:sz="4" w:space="0" w:color="DDDDDD"/>
              <w:right w:val="single" w:sz="4" w:space="0" w:color="DDDDDD"/>
            </w:tcBorders>
            <w:shd w:val="clear" w:color="FFFFFF" w:fill="FFFFFF"/>
            <w:noWrap/>
            <w:vAlign w:val="bottom"/>
            <w:hideMark/>
          </w:tcPr>
          <w:p w14:paraId="22BE0DD7" w14:textId="77777777" w:rsidR="00BD154D" w:rsidRPr="00A60794" w:rsidRDefault="00BD154D" w:rsidP="00DF2591">
            <w:pPr>
              <w:spacing w:after="0" w:line="240" w:lineRule="auto"/>
              <w:rPr>
                <w:rFonts w:ascii="Arial" w:eastAsia="Times New Roman" w:hAnsi="Arial" w:cs="Arial"/>
                <w:color w:val="333333"/>
                <w:sz w:val="12"/>
                <w:szCs w:val="12"/>
                <w:lang w:val="es-ES" w:eastAsia="en-GB"/>
              </w:rPr>
            </w:pPr>
            <w:r w:rsidRPr="00A60794">
              <w:rPr>
                <w:rFonts w:ascii="Arial" w:eastAsia="Times New Roman" w:hAnsi="Arial" w:cs="Arial"/>
                <w:color w:val="333333"/>
                <w:sz w:val="12"/>
                <w:szCs w:val="12"/>
                <w:lang w:val="es-ES" w:eastAsia="en-GB"/>
              </w:rPr>
              <w:t>Yanyan Sun, Shlomi Polani, Fang Luo, Sebastian Ott, Peter Strasser, Fabio Dionigi</w:t>
            </w:r>
          </w:p>
        </w:tc>
        <w:tc>
          <w:tcPr>
            <w:tcW w:w="0" w:type="auto"/>
            <w:tcBorders>
              <w:top w:val="nil"/>
              <w:left w:val="nil"/>
              <w:bottom w:val="single" w:sz="4" w:space="0" w:color="DDDDDD"/>
              <w:right w:val="single" w:sz="4" w:space="0" w:color="DDDDDD"/>
            </w:tcBorders>
            <w:shd w:val="clear" w:color="FFFFFF" w:fill="FFFFFF"/>
            <w:noWrap/>
            <w:vAlign w:val="bottom"/>
            <w:hideMark/>
          </w:tcPr>
          <w:p w14:paraId="7025C8E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Nature Communications</w:t>
            </w:r>
          </w:p>
        </w:tc>
        <w:tc>
          <w:tcPr>
            <w:tcW w:w="0" w:type="auto"/>
            <w:tcBorders>
              <w:top w:val="nil"/>
              <w:left w:val="nil"/>
              <w:bottom w:val="single" w:sz="4" w:space="0" w:color="DDDDDD"/>
              <w:right w:val="single" w:sz="4" w:space="0" w:color="DDDDDD"/>
            </w:tcBorders>
            <w:shd w:val="clear" w:color="FFFFFF" w:fill="FFFFFF"/>
            <w:noWrap/>
            <w:vAlign w:val="bottom"/>
            <w:hideMark/>
          </w:tcPr>
          <w:p w14:paraId="7499DB1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12/1</w:t>
            </w:r>
          </w:p>
        </w:tc>
        <w:tc>
          <w:tcPr>
            <w:tcW w:w="0" w:type="auto"/>
            <w:tcBorders>
              <w:top w:val="nil"/>
              <w:left w:val="nil"/>
              <w:bottom w:val="single" w:sz="4" w:space="0" w:color="DDDDDD"/>
              <w:right w:val="single" w:sz="4" w:space="0" w:color="DDDDDD"/>
            </w:tcBorders>
            <w:shd w:val="clear" w:color="FFFFFF" w:fill="FFFFFF"/>
            <w:noWrap/>
            <w:vAlign w:val="bottom"/>
            <w:hideMark/>
          </w:tcPr>
          <w:p w14:paraId="4D7663E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Nature Publishing Group</w:t>
            </w:r>
          </w:p>
        </w:tc>
        <w:tc>
          <w:tcPr>
            <w:tcW w:w="0" w:type="auto"/>
            <w:tcBorders>
              <w:top w:val="nil"/>
              <w:left w:val="nil"/>
              <w:bottom w:val="single" w:sz="4" w:space="0" w:color="DDDDDD"/>
              <w:right w:val="single" w:sz="4" w:space="0" w:color="DDDDDD"/>
            </w:tcBorders>
            <w:shd w:val="clear" w:color="FFFFFF" w:fill="FFFFFF"/>
            <w:noWrap/>
            <w:vAlign w:val="bottom"/>
            <w:hideMark/>
          </w:tcPr>
          <w:p w14:paraId="51E3ACC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United Kingdom</w:t>
            </w:r>
          </w:p>
        </w:tc>
        <w:tc>
          <w:tcPr>
            <w:tcW w:w="0" w:type="auto"/>
            <w:tcBorders>
              <w:top w:val="nil"/>
              <w:left w:val="nil"/>
              <w:bottom w:val="single" w:sz="4" w:space="0" w:color="DDDDDD"/>
              <w:right w:val="single" w:sz="4" w:space="0" w:color="DDDDDD"/>
            </w:tcBorders>
            <w:shd w:val="clear" w:color="FFFFFF" w:fill="FFFFFF"/>
            <w:noWrap/>
            <w:vAlign w:val="bottom"/>
            <w:hideMark/>
          </w:tcPr>
          <w:p w14:paraId="2668EF12"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22A83AA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2ADF5D4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560A5E9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66DC5D2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https://zenodo.org/record/5643621</w:t>
            </w:r>
          </w:p>
        </w:tc>
      </w:tr>
      <w:tr w:rsidR="00BD154D" w:rsidRPr="004535FA" w14:paraId="7AF02EEC"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7A796DA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GAIA</w:t>
            </w:r>
          </w:p>
        </w:tc>
        <w:tc>
          <w:tcPr>
            <w:tcW w:w="0" w:type="auto"/>
            <w:tcBorders>
              <w:top w:val="nil"/>
              <w:left w:val="nil"/>
              <w:bottom w:val="single" w:sz="4" w:space="0" w:color="DDDDDD"/>
              <w:right w:val="single" w:sz="4" w:space="0" w:color="DDDDDD"/>
            </w:tcBorders>
            <w:shd w:val="clear" w:color="FFFFFF" w:fill="FFFFFF"/>
            <w:noWrap/>
            <w:vAlign w:val="bottom"/>
            <w:hideMark/>
          </w:tcPr>
          <w:p w14:paraId="1F705D0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34ADF31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Design and Validation of a Fluidized Bed Catalyst Reduction Reactor for the Synthesis of Well-Dispersed Nanoparticle Ensembles</w:t>
            </w:r>
          </w:p>
        </w:tc>
        <w:tc>
          <w:tcPr>
            <w:tcW w:w="0" w:type="auto"/>
            <w:tcBorders>
              <w:top w:val="nil"/>
              <w:left w:val="nil"/>
              <w:bottom w:val="single" w:sz="4" w:space="0" w:color="DDDDDD"/>
              <w:right w:val="single" w:sz="4" w:space="0" w:color="DDDDDD"/>
            </w:tcBorders>
            <w:shd w:val="clear" w:color="FFFFFF" w:fill="FFFFFF"/>
            <w:noWrap/>
            <w:vAlign w:val="bottom"/>
            <w:hideMark/>
          </w:tcPr>
          <w:p w14:paraId="10549F5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10.1149/1945-7111/aba4eb</w:t>
            </w:r>
          </w:p>
        </w:tc>
        <w:tc>
          <w:tcPr>
            <w:tcW w:w="0" w:type="auto"/>
            <w:tcBorders>
              <w:top w:val="nil"/>
              <w:left w:val="nil"/>
              <w:bottom w:val="single" w:sz="4" w:space="0" w:color="DDDDDD"/>
              <w:right w:val="single" w:sz="4" w:space="0" w:color="DDDDDD"/>
            </w:tcBorders>
            <w:shd w:val="clear" w:color="FFFFFF" w:fill="FFFFFF"/>
            <w:noWrap/>
            <w:vAlign w:val="bottom"/>
            <w:hideMark/>
          </w:tcPr>
          <w:p w14:paraId="197287F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19457111</w:t>
            </w:r>
          </w:p>
        </w:tc>
        <w:tc>
          <w:tcPr>
            <w:tcW w:w="0" w:type="auto"/>
            <w:tcBorders>
              <w:top w:val="nil"/>
              <w:left w:val="nil"/>
              <w:bottom w:val="single" w:sz="4" w:space="0" w:color="DDDDDD"/>
              <w:right w:val="single" w:sz="4" w:space="0" w:color="DDDDDD"/>
            </w:tcBorders>
            <w:shd w:val="clear" w:color="FFFFFF" w:fill="FFFFFF"/>
            <w:noWrap/>
            <w:vAlign w:val="bottom"/>
            <w:hideMark/>
          </w:tcPr>
          <w:p w14:paraId="59D76FD0" w14:textId="77777777" w:rsidR="00BD154D" w:rsidRPr="00974B49" w:rsidRDefault="00BD154D" w:rsidP="00DF2591">
            <w:pPr>
              <w:spacing w:after="0" w:line="240" w:lineRule="auto"/>
              <w:rPr>
                <w:rFonts w:ascii="Arial" w:eastAsia="Times New Roman" w:hAnsi="Arial" w:cs="Arial"/>
                <w:color w:val="333333"/>
                <w:sz w:val="12"/>
                <w:szCs w:val="12"/>
                <w:lang w:val="de-DE" w:eastAsia="en-GB"/>
              </w:rPr>
            </w:pPr>
            <w:r w:rsidRPr="00974B49">
              <w:rPr>
                <w:rFonts w:ascii="Arial" w:eastAsia="Times New Roman" w:hAnsi="Arial" w:cs="Arial"/>
                <w:color w:val="333333"/>
                <w:sz w:val="12"/>
                <w:szCs w:val="12"/>
                <w:lang w:val="de-DE" w:eastAsia="en-GB"/>
              </w:rPr>
              <w:t>Elisabeth Hornberger, Henrike Schmies, Benjamin Paul, Stefanie Kühl, Peter Strasser</w:t>
            </w:r>
          </w:p>
        </w:tc>
        <w:tc>
          <w:tcPr>
            <w:tcW w:w="0" w:type="auto"/>
            <w:tcBorders>
              <w:top w:val="nil"/>
              <w:left w:val="nil"/>
              <w:bottom w:val="single" w:sz="4" w:space="0" w:color="DDDDDD"/>
              <w:right w:val="single" w:sz="4" w:space="0" w:color="DDDDDD"/>
            </w:tcBorders>
            <w:shd w:val="clear" w:color="FFFFFF" w:fill="FFFFFF"/>
            <w:noWrap/>
            <w:vAlign w:val="bottom"/>
            <w:hideMark/>
          </w:tcPr>
          <w:p w14:paraId="38E9714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Journal of The Electrochemical Society</w:t>
            </w:r>
          </w:p>
        </w:tc>
        <w:tc>
          <w:tcPr>
            <w:tcW w:w="0" w:type="auto"/>
            <w:tcBorders>
              <w:top w:val="nil"/>
              <w:left w:val="nil"/>
              <w:bottom w:val="single" w:sz="4" w:space="0" w:color="DDDDDD"/>
              <w:right w:val="single" w:sz="4" w:space="0" w:color="DDDDDD"/>
            </w:tcBorders>
            <w:shd w:val="clear" w:color="FFFFFF" w:fill="FFFFFF"/>
            <w:noWrap/>
            <w:vAlign w:val="bottom"/>
            <w:hideMark/>
          </w:tcPr>
          <w:p w14:paraId="6EAB8E2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167/11</w:t>
            </w:r>
          </w:p>
        </w:tc>
        <w:tc>
          <w:tcPr>
            <w:tcW w:w="0" w:type="auto"/>
            <w:tcBorders>
              <w:top w:val="nil"/>
              <w:left w:val="nil"/>
              <w:bottom w:val="single" w:sz="4" w:space="0" w:color="DDDDDD"/>
              <w:right w:val="single" w:sz="4" w:space="0" w:color="DDDDDD"/>
            </w:tcBorders>
            <w:shd w:val="clear" w:color="FFFFFF" w:fill="FFFFFF"/>
            <w:noWrap/>
            <w:vAlign w:val="bottom"/>
            <w:hideMark/>
          </w:tcPr>
          <w:p w14:paraId="4679547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The Electrochemical Society</w:t>
            </w:r>
          </w:p>
        </w:tc>
        <w:tc>
          <w:tcPr>
            <w:tcW w:w="0" w:type="auto"/>
            <w:tcBorders>
              <w:top w:val="nil"/>
              <w:left w:val="nil"/>
              <w:bottom w:val="single" w:sz="4" w:space="0" w:color="DDDDDD"/>
              <w:right w:val="single" w:sz="4" w:space="0" w:color="DDDDDD"/>
            </w:tcBorders>
            <w:shd w:val="clear" w:color="FFFFFF" w:fill="FFFFFF"/>
            <w:noWrap/>
            <w:vAlign w:val="bottom"/>
            <w:hideMark/>
          </w:tcPr>
          <w:p w14:paraId="37A9710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USA</w:t>
            </w:r>
          </w:p>
        </w:tc>
        <w:tc>
          <w:tcPr>
            <w:tcW w:w="0" w:type="auto"/>
            <w:tcBorders>
              <w:top w:val="nil"/>
              <w:left w:val="nil"/>
              <w:bottom w:val="single" w:sz="4" w:space="0" w:color="DDDDDD"/>
              <w:right w:val="single" w:sz="4" w:space="0" w:color="DDDDDD"/>
            </w:tcBorders>
            <w:shd w:val="clear" w:color="FFFFFF" w:fill="FFFFFF"/>
            <w:noWrap/>
            <w:vAlign w:val="bottom"/>
            <w:hideMark/>
          </w:tcPr>
          <w:p w14:paraId="7A611A29"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2020</w:t>
            </w:r>
          </w:p>
        </w:tc>
        <w:tc>
          <w:tcPr>
            <w:tcW w:w="0" w:type="auto"/>
            <w:tcBorders>
              <w:top w:val="nil"/>
              <w:left w:val="nil"/>
              <w:bottom w:val="single" w:sz="4" w:space="0" w:color="DDDDDD"/>
              <w:right w:val="single" w:sz="4" w:space="0" w:color="DDDDDD"/>
            </w:tcBorders>
            <w:shd w:val="clear" w:color="FFFFFF" w:fill="FFFFFF"/>
            <w:noWrap/>
            <w:vAlign w:val="bottom"/>
            <w:hideMark/>
          </w:tcPr>
          <w:p w14:paraId="7A359F3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114509</w:t>
            </w:r>
          </w:p>
        </w:tc>
        <w:tc>
          <w:tcPr>
            <w:tcW w:w="0" w:type="auto"/>
            <w:tcBorders>
              <w:top w:val="nil"/>
              <w:left w:val="nil"/>
              <w:bottom w:val="single" w:sz="4" w:space="0" w:color="DDDDDD"/>
              <w:right w:val="single" w:sz="4" w:space="0" w:color="DDDDDD"/>
            </w:tcBorders>
            <w:shd w:val="clear" w:color="FFFFFF" w:fill="FFFFFF"/>
            <w:noWrap/>
            <w:vAlign w:val="bottom"/>
            <w:hideMark/>
          </w:tcPr>
          <w:p w14:paraId="7628DDD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18D430A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Yes</w:t>
            </w:r>
          </w:p>
        </w:tc>
        <w:tc>
          <w:tcPr>
            <w:tcW w:w="0" w:type="auto"/>
            <w:tcBorders>
              <w:top w:val="nil"/>
              <w:left w:val="nil"/>
              <w:bottom w:val="single" w:sz="4" w:space="0" w:color="DDDDDD"/>
              <w:right w:val="single" w:sz="4" w:space="0" w:color="DDDDDD"/>
            </w:tcBorders>
            <w:shd w:val="clear" w:color="FFFFFF" w:fill="FFFFFF"/>
            <w:noWrap/>
            <w:vAlign w:val="bottom"/>
            <w:hideMark/>
          </w:tcPr>
          <w:p w14:paraId="1F5AD6D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https://iopscience.iop.org/article/10.1149/1945-7111/aba4eb</w:t>
            </w:r>
          </w:p>
        </w:tc>
      </w:tr>
      <w:tr w:rsidR="00BD154D" w:rsidRPr="004535FA" w14:paraId="526202BB"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6B44FE8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GAIA</w:t>
            </w:r>
          </w:p>
        </w:tc>
        <w:tc>
          <w:tcPr>
            <w:tcW w:w="0" w:type="auto"/>
            <w:tcBorders>
              <w:top w:val="nil"/>
              <w:left w:val="nil"/>
              <w:bottom w:val="single" w:sz="4" w:space="0" w:color="DDDDDD"/>
              <w:right w:val="single" w:sz="4" w:space="0" w:color="DDDDDD"/>
            </w:tcBorders>
            <w:shd w:val="clear" w:color="FFFFFF" w:fill="FFFFFF"/>
            <w:noWrap/>
            <w:vAlign w:val="bottom"/>
            <w:hideMark/>
          </w:tcPr>
          <w:p w14:paraId="50E494E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6C31F78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Enhancing the activity and stability of carbon-supported platinum–gadolinium nanoalloys towards the oxygen reduction reaction</w:t>
            </w:r>
          </w:p>
        </w:tc>
        <w:tc>
          <w:tcPr>
            <w:tcW w:w="0" w:type="auto"/>
            <w:tcBorders>
              <w:top w:val="nil"/>
              <w:left w:val="nil"/>
              <w:bottom w:val="single" w:sz="4" w:space="0" w:color="DDDDDD"/>
              <w:right w:val="single" w:sz="4" w:space="0" w:color="DDDDDD"/>
            </w:tcBorders>
            <w:shd w:val="clear" w:color="FFFFFF" w:fill="FFFFFF"/>
            <w:noWrap/>
            <w:vAlign w:val="bottom"/>
            <w:hideMark/>
          </w:tcPr>
          <w:p w14:paraId="53F1CF0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10.1039/d1na00740h</w:t>
            </w:r>
          </w:p>
        </w:tc>
        <w:tc>
          <w:tcPr>
            <w:tcW w:w="0" w:type="auto"/>
            <w:tcBorders>
              <w:top w:val="nil"/>
              <w:left w:val="nil"/>
              <w:bottom w:val="single" w:sz="4" w:space="0" w:color="DDDDDD"/>
              <w:right w:val="single" w:sz="4" w:space="0" w:color="DDDDDD"/>
            </w:tcBorders>
            <w:shd w:val="clear" w:color="FFFFFF" w:fill="FFFFFF"/>
            <w:noWrap/>
            <w:vAlign w:val="bottom"/>
            <w:hideMark/>
          </w:tcPr>
          <w:p w14:paraId="7EA1443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25160230</w:t>
            </w:r>
          </w:p>
        </w:tc>
        <w:tc>
          <w:tcPr>
            <w:tcW w:w="0" w:type="auto"/>
            <w:tcBorders>
              <w:top w:val="nil"/>
              <w:left w:val="nil"/>
              <w:bottom w:val="single" w:sz="4" w:space="0" w:color="DDDDDD"/>
              <w:right w:val="single" w:sz="4" w:space="0" w:color="DDDDDD"/>
            </w:tcBorders>
            <w:shd w:val="clear" w:color="FFFFFF" w:fill="FFFFFF"/>
            <w:noWrap/>
            <w:vAlign w:val="bottom"/>
            <w:hideMark/>
          </w:tcPr>
          <w:p w14:paraId="0BC21286" w14:textId="77777777" w:rsidR="00BD154D" w:rsidRPr="00F07F7C" w:rsidRDefault="00BD154D" w:rsidP="00DF2591">
            <w:pPr>
              <w:spacing w:after="0" w:line="240" w:lineRule="auto"/>
              <w:rPr>
                <w:rFonts w:ascii="Arial" w:eastAsia="Times New Roman" w:hAnsi="Arial" w:cs="Arial"/>
                <w:color w:val="333333"/>
                <w:sz w:val="12"/>
                <w:szCs w:val="12"/>
                <w:lang w:val="fr-BE" w:eastAsia="en-GB"/>
              </w:rPr>
            </w:pPr>
            <w:r w:rsidRPr="00F07F7C">
              <w:rPr>
                <w:rFonts w:ascii="Arial" w:eastAsia="Times New Roman" w:hAnsi="Arial" w:cs="Arial"/>
                <w:color w:val="333333"/>
                <w:sz w:val="12"/>
                <w:szCs w:val="12"/>
                <w:lang w:val="fr-BE" w:eastAsia="en-GB"/>
              </w:rPr>
              <w:t>C. A. Campos-Roldán, F. Pailloux, P.-Y. Blanchard, D. J. Jones, J. Rozière, S. Cavaliere</w:t>
            </w:r>
          </w:p>
        </w:tc>
        <w:tc>
          <w:tcPr>
            <w:tcW w:w="0" w:type="auto"/>
            <w:tcBorders>
              <w:top w:val="nil"/>
              <w:left w:val="nil"/>
              <w:bottom w:val="single" w:sz="4" w:space="0" w:color="DDDDDD"/>
              <w:right w:val="single" w:sz="4" w:space="0" w:color="DDDDDD"/>
            </w:tcBorders>
            <w:shd w:val="clear" w:color="FFFFFF" w:fill="FFFFFF"/>
            <w:noWrap/>
            <w:vAlign w:val="bottom"/>
            <w:hideMark/>
          </w:tcPr>
          <w:p w14:paraId="2F4D68E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Nanoscale Advances</w:t>
            </w:r>
          </w:p>
        </w:tc>
        <w:tc>
          <w:tcPr>
            <w:tcW w:w="0" w:type="auto"/>
            <w:tcBorders>
              <w:top w:val="nil"/>
              <w:left w:val="nil"/>
              <w:bottom w:val="single" w:sz="4" w:space="0" w:color="DDDDDD"/>
              <w:right w:val="single" w:sz="4" w:space="0" w:color="DDDDDD"/>
            </w:tcBorders>
            <w:shd w:val="clear" w:color="FFFFFF" w:fill="FFFFFF"/>
            <w:noWrap/>
            <w:vAlign w:val="bottom"/>
            <w:hideMark/>
          </w:tcPr>
          <w:p w14:paraId="47BF72E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4</w:t>
            </w:r>
          </w:p>
        </w:tc>
        <w:tc>
          <w:tcPr>
            <w:tcW w:w="0" w:type="auto"/>
            <w:tcBorders>
              <w:top w:val="nil"/>
              <w:left w:val="nil"/>
              <w:bottom w:val="single" w:sz="4" w:space="0" w:color="DDDDDD"/>
              <w:right w:val="single" w:sz="4" w:space="0" w:color="DDDDDD"/>
            </w:tcBorders>
            <w:shd w:val="clear" w:color="FFFFFF" w:fill="FFFFFF"/>
            <w:noWrap/>
            <w:vAlign w:val="bottom"/>
            <w:hideMark/>
          </w:tcPr>
          <w:p w14:paraId="16A7550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Royal society of chemistry</w:t>
            </w:r>
          </w:p>
        </w:tc>
        <w:tc>
          <w:tcPr>
            <w:tcW w:w="0" w:type="auto"/>
            <w:tcBorders>
              <w:top w:val="nil"/>
              <w:left w:val="nil"/>
              <w:bottom w:val="single" w:sz="4" w:space="0" w:color="DDDDDD"/>
              <w:right w:val="single" w:sz="4" w:space="0" w:color="DDDDDD"/>
            </w:tcBorders>
            <w:shd w:val="clear" w:color="FFFFFF" w:fill="FFFFFF"/>
            <w:noWrap/>
            <w:vAlign w:val="bottom"/>
            <w:hideMark/>
          </w:tcPr>
          <w:p w14:paraId="2C76540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United Kingdom</w:t>
            </w:r>
          </w:p>
        </w:tc>
        <w:tc>
          <w:tcPr>
            <w:tcW w:w="0" w:type="auto"/>
            <w:tcBorders>
              <w:top w:val="nil"/>
              <w:left w:val="nil"/>
              <w:bottom w:val="single" w:sz="4" w:space="0" w:color="DDDDDD"/>
              <w:right w:val="single" w:sz="4" w:space="0" w:color="DDDDDD"/>
            </w:tcBorders>
            <w:shd w:val="clear" w:color="FFFFFF" w:fill="FFFFFF"/>
            <w:noWrap/>
            <w:vAlign w:val="bottom"/>
            <w:hideMark/>
          </w:tcPr>
          <w:p w14:paraId="52823987"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68E5D79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26-29</w:t>
            </w:r>
          </w:p>
        </w:tc>
        <w:tc>
          <w:tcPr>
            <w:tcW w:w="0" w:type="auto"/>
            <w:tcBorders>
              <w:top w:val="nil"/>
              <w:left w:val="nil"/>
              <w:bottom w:val="single" w:sz="4" w:space="0" w:color="DDDDDD"/>
              <w:right w:val="single" w:sz="4" w:space="0" w:color="DDDDDD"/>
            </w:tcBorders>
            <w:shd w:val="clear" w:color="FFFFFF" w:fill="FFFFFF"/>
            <w:noWrap/>
            <w:vAlign w:val="bottom"/>
            <w:hideMark/>
          </w:tcPr>
          <w:p w14:paraId="548CBD1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363F9B5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4136121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https://hal.archives-ouvertes.fr/hal-03432743/</w:t>
            </w:r>
          </w:p>
        </w:tc>
      </w:tr>
      <w:tr w:rsidR="00BD154D" w:rsidRPr="004535FA" w14:paraId="4E595CE1"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150FA71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GAIA</w:t>
            </w:r>
          </w:p>
        </w:tc>
        <w:tc>
          <w:tcPr>
            <w:tcW w:w="0" w:type="auto"/>
            <w:tcBorders>
              <w:top w:val="nil"/>
              <w:left w:val="nil"/>
              <w:bottom w:val="single" w:sz="4" w:space="0" w:color="DDDDDD"/>
              <w:right w:val="single" w:sz="4" w:space="0" w:color="DDDDDD"/>
            </w:tcBorders>
            <w:shd w:val="clear" w:color="FFFFFF" w:fill="FFFFFF"/>
            <w:noWrap/>
            <w:vAlign w:val="bottom"/>
            <w:hideMark/>
          </w:tcPr>
          <w:p w14:paraId="148ABB9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294B17E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Rational Design of Carbon-Supported Platinum–Gadolinium Nanoalloys for Oxygen Reduction Reaction</w:t>
            </w:r>
          </w:p>
        </w:tc>
        <w:tc>
          <w:tcPr>
            <w:tcW w:w="0" w:type="auto"/>
            <w:tcBorders>
              <w:top w:val="nil"/>
              <w:left w:val="nil"/>
              <w:bottom w:val="single" w:sz="4" w:space="0" w:color="DDDDDD"/>
              <w:right w:val="single" w:sz="4" w:space="0" w:color="DDDDDD"/>
            </w:tcBorders>
            <w:shd w:val="clear" w:color="FFFFFF" w:fill="FFFFFF"/>
            <w:noWrap/>
            <w:vAlign w:val="bottom"/>
            <w:hideMark/>
          </w:tcPr>
          <w:p w14:paraId="40DFB08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10.1021/acscatal.1c02449</w:t>
            </w:r>
          </w:p>
        </w:tc>
        <w:tc>
          <w:tcPr>
            <w:tcW w:w="0" w:type="auto"/>
            <w:tcBorders>
              <w:top w:val="nil"/>
              <w:left w:val="nil"/>
              <w:bottom w:val="single" w:sz="4" w:space="0" w:color="DDDDDD"/>
              <w:right w:val="single" w:sz="4" w:space="0" w:color="DDDDDD"/>
            </w:tcBorders>
            <w:shd w:val="clear" w:color="FFFFFF" w:fill="FFFFFF"/>
            <w:noWrap/>
            <w:vAlign w:val="bottom"/>
            <w:hideMark/>
          </w:tcPr>
          <w:p w14:paraId="6085430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21555435</w:t>
            </w:r>
          </w:p>
        </w:tc>
        <w:tc>
          <w:tcPr>
            <w:tcW w:w="0" w:type="auto"/>
            <w:tcBorders>
              <w:top w:val="nil"/>
              <w:left w:val="nil"/>
              <w:bottom w:val="single" w:sz="4" w:space="0" w:color="DDDDDD"/>
              <w:right w:val="single" w:sz="4" w:space="0" w:color="DDDDDD"/>
            </w:tcBorders>
            <w:shd w:val="clear" w:color="FFFFFF" w:fill="FFFFFF"/>
            <w:noWrap/>
            <w:vAlign w:val="bottom"/>
            <w:hideMark/>
          </w:tcPr>
          <w:p w14:paraId="73693EA7" w14:textId="77777777" w:rsidR="00BD154D" w:rsidRPr="00F07F7C" w:rsidRDefault="00BD154D" w:rsidP="00DF2591">
            <w:pPr>
              <w:spacing w:after="0" w:line="240" w:lineRule="auto"/>
              <w:rPr>
                <w:rFonts w:ascii="Arial" w:eastAsia="Times New Roman" w:hAnsi="Arial" w:cs="Arial"/>
                <w:color w:val="333333"/>
                <w:sz w:val="12"/>
                <w:szCs w:val="12"/>
                <w:lang w:val="fr-BE" w:eastAsia="en-GB"/>
              </w:rPr>
            </w:pPr>
            <w:r w:rsidRPr="00F07F7C">
              <w:rPr>
                <w:rFonts w:ascii="Arial" w:eastAsia="Times New Roman" w:hAnsi="Arial" w:cs="Arial"/>
                <w:color w:val="333333"/>
                <w:sz w:val="12"/>
                <w:szCs w:val="12"/>
                <w:lang w:val="fr-BE" w:eastAsia="en-GB"/>
              </w:rPr>
              <w:t>Carlos A. Campos-Roldán, Frédéric Pailloux, Pierre-Yves Blanchard, Deborah J. Jones, Jacques Rozière, Sara Cavaliere</w:t>
            </w:r>
          </w:p>
        </w:tc>
        <w:tc>
          <w:tcPr>
            <w:tcW w:w="0" w:type="auto"/>
            <w:tcBorders>
              <w:top w:val="nil"/>
              <w:left w:val="nil"/>
              <w:bottom w:val="single" w:sz="4" w:space="0" w:color="DDDDDD"/>
              <w:right w:val="single" w:sz="4" w:space="0" w:color="DDDDDD"/>
            </w:tcBorders>
            <w:shd w:val="clear" w:color="FFFFFF" w:fill="FFFFFF"/>
            <w:noWrap/>
            <w:vAlign w:val="bottom"/>
            <w:hideMark/>
          </w:tcPr>
          <w:p w14:paraId="2795881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ACS Catalysis</w:t>
            </w:r>
          </w:p>
        </w:tc>
        <w:tc>
          <w:tcPr>
            <w:tcW w:w="0" w:type="auto"/>
            <w:tcBorders>
              <w:top w:val="nil"/>
              <w:left w:val="nil"/>
              <w:bottom w:val="single" w:sz="4" w:space="0" w:color="DDDDDD"/>
              <w:right w:val="single" w:sz="4" w:space="0" w:color="DDDDDD"/>
            </w:tcBorders>
            <w:shd w:val="clear" w:color="FFFFFF" w:fill="FFFFFF"/>
            <w:noWrap/>
            <w:vAlign w:val="bottom"/>
            <w:hideMark/>
          </w:tcPr>
          <w:p w14:paraId="2E92210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11/21</w:t>
            </w:r>
          </w:p>
        </w:tc>
        <w:tc>
          <w:tcPr>
            <w:tcW w:w="0" w:type="auto"/>
            <w:tcBorders>
              <w:top w:val="nil"/>
              <w:left w:val="nil"/>
              <w:bottom w:val="single" w:sz="4" w:space="0" w:color="DDDDDD"/>
              <w:right w:val="single" w:sz="4" w:space="0" w:color="DDDDDD"/>
            </w:tcBorders>
            <w:shd w:val="clear" w:color="FFFFFF" w:fill="FFFFFF"/>
            <w:noWrap/>
            <w:vAlign w:val="bottom"/>
            <w:hideMark/>
          </w:tcPr>
          <w:p w14:paraId="370A31D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American Chemical Society</w:t>
            </w:r>
          </w:p>
        </w:tc>
        <w:tc>
          <w:tcPr>
            <w:tcW w:w="0" w:type="auto"/>
            <w:tcBorders>
              <w:top w:val="nil"/>
              <w:left w:val="nil"/>
              <w:bottom w:val="single" w:sz="4" w:space="0" w:color="DDDDDD"/>
              <w:right w:val="single" w:sz="4" w:space="0" w:color="DDDDDD"/>
            </w:tcBorders>
            <w:shd w:val="clear" w:color="FFFFFF" w:fill="FFFFFF"/>
            <w:noWrap/>
            <w:vAlign w:val="bottom"/>
            <w:hideMark/>
          </w:tcPr>
          <w:p w14:paraId="1D2690D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United States</w:t>
            </w:r>
          </w:p>
        </w:tc>
        <w:tc>
          <w:tcPr>
            <w:tcW w:w="0" w:type="auto"/>
            <w:tcBorders>
              <w:top w:val="nil"/>
              <w:left w:val="nil"/>
              <w:bottom w:val="single" w:sz="4" w:space="0" w:color="DDDDDD"/>
              <w:right w:val="single" w:sz="4" w:space="0" w:color="DDDDDD"/>
            </w:tcBorders>
            <w:shd w:val="clear" w:color="FFFFFF" w:fill="FFFFFF"/>
            <w:noWrap/>
            <w:vAlign w:val="bottom"/>
            <w:hideMark/>
          </w:tcPr>
          <w:p w14:paraId="6B908257"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21E540D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13519-13529</w:t>
            </w:r>
          </w:p>
        </w:tc>
        <w:tc>
          <w:tcPr>
            <w:tcW w:w="0" w:type="auto"/>
            <w:tcBorders>
              <w:top w:val="nil"/>
              <w:left w:val="nil"/>
              <w:bottom w:val="single" w:sz="4" w:space="0" w:color="DDDDDD"/>
              <w:right w:val="single" w:sz="4" w:space="0" w:color="DDDDDD"/>
            </w:tcBorders>
            <w:shd w:val="clear" w:color="FFFFFF" w:fill="FFFFFF"/>
            <w:noWrap/>
            <w:vAlign w:val="bottom"/>
            <w:hideMark/>
          </w:tcPr>
          <w:p w14:paraId="72F4331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1D59F1A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Yes</w:t>
            </w:r>
          </w:p>
        </w:tc>
        <w:tc>
          <w:tcPr>
            <w:tcW w:w="0" w:type="auto"/>
            <w:tcBorders>
              <w:top w:val="nil"/>
              <w:left w:val="nil"/>
              <w:bottom w:val="single" w:sz="4" w:space="0" w:color="DDDDDD"/>
              <w:right w:val="single" w:sz="4" w:space="0" w:color="DDDDDD"/>
            </w:tcBorders>
            <w:shd w:val="clear" w:color="FFFFFF" w:fill="FFFFFF"/>
            <w:noWrap/>
            <w:vAlign w:val="bottom"/>
            <w:hideMark/>
          </w:tcPr>
          <w:p w14:paraId="1E98289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https://hal.archives-ouvertes.fr/hal-03424386/</w:t>
            </w:r>
          </w:p>
        </w:tc>
      </w:tr>
      <w:tr w:rsidR="00BD154D" w:rsidRPr="004535FA" w14:paraId="4D5E4D7E"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554CF68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GAIA</w:t>
            </w:r>
          </w:p>
        </w:tc>
        <w:tc>
          <w:tcPr>
            <w:tcW w:w="0" w:type="auto"/>
            <w:tcBorders>
              <w:top w:val="nil"/>
              <w:left w:val="nil"/>
              <w:bottom w:val="single" w:sz="4" w:space="0" w:color="DDDDDD"/>
              <w:right w:val="single" w:sz="4" w:space="0" w:color="DDDDDD"/>
            </w:tcBorders>
            <w:shd w:val="clear" w:color="FFFFFF" w:fill="FFFFFF"/>
            <w:noWrap/>
            <w:vAlign w:val="bottom"/>
            <w:hideMark/>
          </w:tcPr>
          <w:p w14:paraId="049AB49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3E0F085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Seed-Mediated Synthesis and Catalytic ORR Reactivity of Facet-Stable, Monodisperse Platinum Nano-Octahedra</w:t>
            </w:r>
          </w:p>
        </w:tc>
        <w:tc>
          <w:tcPr>
            <w:tcW w:w="0" w:type="auto"/>
            <w:tcBorders>
              <w:top w:val="nil"/>
              <w:left w:val="nil"/>
              <w:bottom w:val="single" w:sz="4" w:space="0" w:color="DDDDDD"/>
              <w:right w:val="single" w:sz="4" w:space="0" w:color="DDDDDD"/>
            </w:tcBorders>
            <w:shd w:val="clear" w:color="FFFFFF" w:fill="FFFFFF"/>
            <w:noWrap/>
            <w:vAlign w:val="bottom"/>
            <w:hideMark/>
          </w:tcPr>
          <w:p w14:paraId="61C05C6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10.1021/acsaem.1c01696</w:t>
            </w:r>
          </w:p>
        </w:tc>
        <w:tc>
          <w:tcPr>
            <w:tcW w:w="0" w:type="auto"/>
            <w:tcBorders>
              <w:top w:val="nil"/>
              <w:left w:val="nil"/>
              <w:bottom w:val="single" w:sz="4" w:space="0" w:color="DDDDDD"/>
              <w:right w:val="single" w:sz="4" w:space="0" w:color="DDDDDD"/>
            </w:tcBorders>
            <w:shd w:val="clear" w:color="FFFFFF" w:fill="FFFFFF"/>
            <w:noWrap/>
            <w:vAlign w:val="bottom"/>
            <w:hideMark/>
          </w:tcPr>
          <w:p w14:paraId="2BA6CBD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25740962</w:t>
            </w:r>
          </w:p>
        </w:tc>
        <w:tc>
          <w:tcPr>
            <w:tcW w:w="0" w:type="auto"/>
            <w:tcBorders>
              <w:top w:val="nil"/>
              <w:left w:val="nil"/>
              <w:bottom w:val="single" w:sz="4" w:space="0" w:color="DDDDDD"/>
              <w:right w:val="single" w:sz="4" w:space="0" w:color="DDDDDD"/>
            </w:tcBorders>
            <w:shd w:val="clear" w:color="FFFFFF" w:fill="FFFFFF"/>
            <w:noWrap/>
            <w:vAlign w:val="bottom"/>
            <w:hideMark/>
          </w:tcPr>
          <w:p w14:paraId="38E6D5D1" w14:textId="77777777" w:rsidR="00BD154D" w:rsidRPr="00A60794" w:rsidRDefault="00BD154D" w:rsidP="00DF2591">
            <w:pPr>
              <w:spacing w:after="0" w:line="240" w:lineRule="auto"/>
              <w:rPr>
                <w:rFonts w:ascii="Arial" w:eastAsia="Times New Roman" w:hAnsi="Arial" w:cs="Arial"/>
                <w:color w:val="333333"/>
                <w:sz w:val="12"/>
                <w:szCs w:val="12"/>
                <w:lang w:val="es-ES" w:eastAsia="en-GB"/>
              </w:rPr>
            </w:pPr>
            <w:r w:rsidRPr="00A60794">
              <w:rPr>
                <w:rFonts w:ascii="Arial" w:eastAsia="Times New Roman" w:hAnsi="Arial" w:cs="Arial"/>
                <w:color w:val="333333"/>
                <w:sz w:val="12"/>
                <w:szCs w:val="12"/>
                <w:lang w:val="es-ES" w:eastAsia="en-GB"/>
              </w:rPr>
              <w:t>Elisabeth Hornberger, Valentina Mastronardi, Rosaria Brescia, Pier Paolo Pompa, Malte Klingenhof, Fabio Dionigi, Mauro Moglianetti, Peter Strasser</w:t>
            </w:r>
          </w:p>
        </w:tc>
        <w:tc>
          <w:tcPr>
            <w:tcW w:w="0" w:type="auto"/>
            <w:tcBorders>
              <w:top w:val="nil"/>
              <w:left w:val="nil"/>
              <w:bottom w:val="single" w:sz="4" w:space="0" w:color="DDDDDD"/>
              <w:right w:val="single" w:sz="4" w:space="0" w:color="DDDDDD"/>
            </w:tcBorders>
            <w:shd w:val="clear" w:color="FFFFFF" w:fill="FFFFFF"/>
            <w:noWrap/>
            <w:vAlign w:val="bottom"/>
            <w:hideMark/>
          </w:tcPr>
          <w:p w14:paraId="0AA57D2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ACS Applied Energy Materials</w:t>
            </w:r>
          </w:p>
        </w:tc>
        <w:tc>
          <w:tcPr>
            <w:tcW w:w="0" w:type="auto"/>
            <w:tcBorders>
              <w:top w:val="nil"/>
              <w:left w:val="nil"/>
              <w:bottom w:val="single" w:sz="4" w:space="0" w:color="DDDDDD"/>
              <w:right w:val="single" w:sz="4" w:space="0" w:color="DDDDDD"/>
            </w:tcBorders>
            <w:shd w:val="clear" w:color="FFFFFF" w:fill="FFFFFF"/>
            <w:noWrap/>
            <w:vAlign w:val="bottom"/>
            <w:hideMark/>
          </w:tcPr>
          <w:p w14:paraId="09C027C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4/9</w:t>
            </w:r>
          </w:p>
        </w:tc>
        <w:tc>
          <w:tcPr>
            <w:tcW w:w="0" w:type="auto"/>
            <w:tcBorders>
              <w:top w:val="nil"/>
              <w:left w:val="nil"/>
              <w:bottom w:val="single" w:sz="4" w:space="0" w:color="DDDDDD"/>
              <w:right w:val="single" w:sz="4" w:space="0" w:color="DDDDDD"/>
            </w:tcBorders>
            <w:shd w:val="clear" w:color="FFFFFF" w:fill="FFFFFF"/>
            <w:noWrap/>
            <w:vAlign w:val="bottom"/>
            <w:hideMark/>
          </w:tcPr>
          <w:p w14:paraId="2BC2BD8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American Chemical Society</w:t>
            </w:r>
          </w:p>
        </w:tc>
        <w:tc>
          <w:tcPr>
            <w:tcW w:w="0" w:type="auto"/>
            <w:tcBorders>
              <w:top w:val="nil"/>
              <w:left w:val="nil"/>
              <w:bottom w:val="single" w:sz="4" w:space="0" w:color="DDDDDD"/>
              <w:right w:val="single" w:sz="4" w:space="0" w:color="DDDDDD"/>
            </w:tcBorders>
            <w:shd w:val="clear" w:color="FFFFFF" w:fill="FFFFFF"/>
            <w:noWrap/>
            <w:vAlign w:val="bottom"/>
            <w:hideMark/>
          </w:tcPr>
          <w:p w14:paraId="68ECF14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USA</w:t>
            </w:r>
          </w:p>
        </w:tc>
        <w:tc>
          <w:tcPr>
            <w:tcW w:w="0" w:type="auto"/>
            <w:tcBorders>
              <w:top w:val="nil"/>
              <w:left w:val="nil"/>
              <w:bottom w:val="single" w:sz="4" w:space="0" w:color="DDDDDD"/>
              <w:right w:val="single" w:sz="4" w:space="0" w:color="DDDDDD"/>
            </w:tcBorders>
            <w:shd w:val="clear" w:color="FFFFFF" w:fill="FFFFFF"/>
            <w:noWrap/>
            <w:vAlign w:val="bottom"/>
            <w:hideMark/>
          </w:tcPr>
          <w:p w14:paraId="64F019F6"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6A20D9E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9542-9552</w:t>
            </w:r>
          </w:p>
        </w:tc>
        <w:tc>
          <w:tcPr>
            <w:tcW w:w="0" w:type="auto"/>
            <w:tcBorders>
              <w:top w:val="nil"/>
              <w:left w:val="nil"/>
              <w:bottom w:val="single" w:sz="4" w:space="0" w:color="DDDDDD"/>
              <w:right w:val="single" w:sz="4" w:space="0" w:color="DDDDDD"/>
            </w:tcBorders>
            <w:shd w:val="clear" w:color="FFFFFF" w:fill="FFFFFF"/>
            <w:noWrap/>
            <w:vAlign w:val="bottom"/>
            <w:hideMark/>
          </w:tcPr>
          <w:p w14:paraId="0954E74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1938B57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Yes</w:t>
            </w:r>
          </w:p>
        </w:tc>
        <w:tc>
          <w:tcPr>
            <w:tcW w:w="0" w:type="auto"/>
            <w:tcBorders>
              <w:top w:val="nil"/>
              <w:left w:val="nil"/>
              <w:bottom w:val="single" w:sz="4" w:space="0" w:color="DDDDDD"/>
              <w:right w:val="single" w:sz="4" w:space="0" w:color="DDDDDD"/>
            </w:tcBorders>
            <w:shd w:val="clear" w:color="FFFFFF" w:fill="FFFFFF"/>
            <w:noWrap/>
            <w:vAlign w:val="bottom"/>
            <w:hideMark/>
          </w:tcPr>
          <w:p w14:paraId="2F96F5B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r>
      <w:tr w:rsidR="00BD154D" w:rsidRPr="004535FA" w14:paraId="210ECBDC"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35CFC1F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HIGGS</w:t>
            </w:r>
          </w:p>
        </w:tc>
        <w:tc>
          <w:tcPr>
            <w:tcW w:w="0" w:type="auto"/>
            <w:tcBorders>
              <w:top w:val="nil"/>
              <w:left w:val="nil"/>
              <w:bottom w:val="single" w:sz="4" w:space="0" w:color="DDDDDD"/>
              <w:right w:val="single" w:sz="4" w:space="0" w:color="DDDDDD"/>
            </w:tcBorders>
            <w:shd w:val="clear" w:color="FFFFFF" w:fill="FFFFFF"/>
            <w:noWrap/>
            <w:vAlign w:val="bottom"/>
            <w:hideMark/>
          </w:tcPr>
          <w:p w14:paraId="7E5065A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CONFERENCE_PROCEEDING</w:t>
            </w:r>
          </w:p>
        </w:tc>
        <w:tc>
          <w:tcPr>
            <w:tcW w:w="0" w:type="auto"/>
            <w:tcBorders>
              <w:top w:val="nil"/>
              <w:left w:val="nil"/>
              <w:bottom w:val="single" w:sz="4" w:space="0" w:color="DDDDDD"/>
              <w:right w:val="single" w:sz="4" w:space="0" w:color="DDDDDD"/>
            </w:tcBorders>
            <w:shd w:val="clear" w:color="FFFFFF" w:fill="FFFFFF"/>
            <w:noWrap/>
            <w:vAlign w:val="bottom"/>
            <w:hideMark/>
          </w:tcPr>
          <w:p w14:paraId="6D59E5A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Hydrogen In Gas GridS: a systematic validation approach at various admixture levels into high-pressure grids</w:t>
            </w:r>
          </w:p>
        </w:tc>
        <w:tc>
          <w:tcPr>
            <w:tcW w:w="0" w:type="auto"/>
            <w:tcBorders>
              <w:top w:val="nil"/>
              <w:left w:val="nil"/>
              <w:bottom w:val="single" w:sz="4" w:space="0" w:color="DDDDDD"/>
              <w:right w:val="single" w:sz="4" w:space="0" w:color="DDDDDD"/>
            </w:tcBorders>
            <w:shd w:val="clear" w:color="FFFFFF" w:fill="FFFFFF"/>
            <w:noWrap/>
            <w:vAlign w:val="bottom"/>
            <w:hideMark/>
          </w:tcPr>
          <w:p w14:paraId="2CCD2ED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568A8D8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1C63457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Agustin Pascual Aranda</w:t>
            </w:r>
          </w:p>
        </w:tc>
        <w:tc>
          <w:tcPr>
            <w:tcW w:w="0" w:type="auto"/>
            <w:tcBorders>
              <w:top w:val="nil"/>
              <w:left w:val="nil"/>
              <w:bottom w:val="single" w:sz="4" w:space="0" w:color="DDDDDD"/>
              <w:right w:val="single" w:sz="4" w:space="0" w:color="DDDDDD"/>
            </w:tcBorders>
            <w:shd w:val="clear" w:color="FFFFFF" w:fill="FFFFFF"/>
            <w:noWrap/>
            <w:vAlign w:val="bottom"/>
            <w:hideMark/>
          </w:tcPr>
          <w:p w14:paraId="276C912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0B09D52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1343B57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Gasnam</w:t>
            </w:r>
          </w:p>
        </w:tc>
        <w:tc>
          <w:tcPr>
            <w:tcW w:w="0" w:type="auto"/>
            <w:tcBorders>
              <w:top w:val="nil"/>
              <w:left w:val="nil"/>
              <w:bottom w:val="single" w:sz="4" w:space="0" w:color="DDDDDD"/>
              <w:right w:val="single" w:sz="4" w:space="0" w:color="DDDDDD"/>
            </w:tcBorders>
            <w:shd w:val="clear" w:color="FFFFFF" w:fill="FFFFFF"/>
            <w:noWrap/>
            <w:vAlign w:val="bottom"/>
            <w:hideMark/>
          </w:tcPr>
          <w:p w14:paraId="2794ED0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https://greengasmobilitysummit.com/edicionesanteriores/ggms2020/</w:t>
            </w:r>
          </w:p>
        </w:tc>
        <w:tc>
          <w:tcPr>
            <w:tcW w:w="0" w:type="auto"/>
            <w:tcBorders>
              <w:top w:val="nil"/>
              <w:left w:val="nil"/>
              <w:bottom w:val="single" w:sz="4" w:space="0" w:color="DDDDDD"/>
              <w:right w:val="single" w:sz="4" w:space="0" w:color="DDDDDD"/>
            </w:tcBorders>
            <w:shd w:val="clear" w:color="FFFFFF" w:fill="FFFFFF"/>
            <w:noWrap/>
            <w:vAlign w:val="bottom"/>
            <w:hideMark/>
          </w:tcPr>
          <w:p w14:paraId="1755B668"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2020</w:t>
            </w:r>
          </w:p>
        </w:tc>
        <w:tc>
          <w:tcPr>
            <w:tcW w:w="0" w:type="auto"/>
            <w:tcBorders>
              <w:top w:val="nil"/>
              <w:left w:val="nil"/>
              <w:bottom w:val="single" w:sz="4" w:space="0" w:color="DDDDDD"/>
              <w:right w:val="single" w:sz="4" w:space="0" w:color="DDDDDD"/>
            </w:tcBorders>
            <w:shd w:val="clear" w:color="FFFFFF" w:fill="FFFFFF"/>
            <w:noWrap/>
            <w:vAlign w:val="bottom"/>
            <w:hideMark/>
          </w:tcPr>
          <w:p w14:paraId="4E43623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0A1C895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03CCA30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5C96D24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r>
      <w:tr w:rsidR="00BD154D" w:rsidRPr="004535FA" w14:paraId="57EE6C28"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4FAF826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HIGGS</w:t>
            </w:r>
          </w:p>
        </w:tc>
        <w:tc>
          <w:tcPr>
            <w:tcW w:w="0" w:type="auto"/>
            <w:tcBorders>
              <w:top w:val="nil"/>
              <w:left w:val="nil"/>
              <w:bottom w:val="single" w:sz="4" w:space="0" w:color="DDDDDD"/>
              <w:right w:val="single" w:sz="4" w:space="0" w:color="DDDDDD"/>
            </w:tcBorders>
            <w:shd w:val="clear" w:color="FFFFFF" w:fill="FFFFFF"/>
            <w:noWrap/>
            <w:vAlign w:val="bottom"/>
            <w:hideMark/>
          </w:tcPr>
          <w:p w14:paraId="1B29735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CONFERENCE_</w:t>
            </w:r>
            <w:r w:rsidRPr="00F07F7C">
              <w:rPr>
                <w:rFonts w:ascii="Arial" w:eastAsia="Times New Roman" w:hAnsi="Arial" w:cs="Arial"/>
                <w:color w:val="333333"/>
                <w:sz w:val="12"/>
                <w:szCs w:val="12"/>
                <w:lang w:eastAsia="en-GB"/>
              </w:rPr>
              <w:lastRenderedPageBreak/>
              <w:t>PROCEEDING</w:t>
            </w:r>
          </w:p>
        </w:tc>
        <w:tc>
          <w:tcPr>
            <w:tcW w:w="0" w:type="auto"/>
            <w:tcBorders>
              <w:top w:val="nil"/>
              <w:left w:val="nil"/>
              <w:bottom w:val="single" w:sz="4" w:space="0" w:color="DDDDDD"/>
              <w:right w:val="single" w:sz="4" w:space="0" w:color="DDDDDD"/>
            </w:tcBorders>
            <w:shd w:val="clear" w:color="FFFFFF" w:fill="FFFFFF"/>
            <w:noWrap/>
            <w:vAlign w:val="bottom"/>
            <w:hideMark/>
          </w:tcPr>
          <w:p w14:paraId="203AC1F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lastRenderedPageBreak/>
              <w:t xml:space="preserve">Injection of hydrogen in high-pressure gas grids: technical, </w:t>
            </w:r>
            <w:proofErr w:type="gramStart"/>
            <w:r w:rsidRPr="00F07F7C">
              <w:rPr>
                <w:rFonts w:ascii="Arial" w:eastAsia="Times New Roman" w:hAnsi="Arial" w:cs="Arial"/>
                <w:color w:val="333333"/>
                <w:sz w:val="12"/>
                <w:szCs w:val="12"/>
                <w:lang w:eastAsia="en-GB"/>
              </w:rPr>
              <w:t>regulatory</w:t>
            </w:r>
            <w:proofErr w:type="gramEnd"/>
            <w:r w:rsidRPr="00F07F7C">
              <w:rPr>
                <w:rFonts w:ascii="Arial" w:eastAsia="Times New Roman" w:hAnsi="Arial" w:cs="Arial"/>
                <w:color w:val="333333"/>
                <w:sz w:val="12"/>
                <w:szCs w:val="12"/>
                <w:lang w:eastAsia="en-GB"/>
              </w:rPr>
              <w:t xml:space="preserve"> and legal aspects</w:t>
            </w:r>
          </w:p>
        </w:tc>
        <w:tc>
          <w:tcPr>
            <w:tcW w:w="0" w:type="auto"/>
            <w:tcBorders>
              <w:top w:val="nil"/>
              <w:left w:val="nil"/>
              <w:bottom w:val="single" w:sz="4" w:space="0" w:color="DDDDDD"/>
              <w:right w:val="single" w:sz="4" w:space="0" w:color="DDDDDD"/>
            </w:tcBorders>
            <w:shd w:val="clear" w:color="FFFFFF" w:fill="FFFFFF"/>
            <w:noWrap/>
            <w:vAlign w:val="bottom"/>
            <w:hideMark/>
          </w:tcPr>
          <w:p w14:paraId="0930407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1B266C0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2C0BFF7F" w14:textId="77777777" w:rsidR="00BD154D" w:rsidRPr="00A60794" w:rsidRDefault="00BD154D" w:rsidP="00DF2591">
            <w:pPr>
              <w:spacing w:after="0" w:line="240" w:lineRule="auto"/>
              <w:rPr>
                <w:rFonts w:ascii="Arial" w:eastAsia="Times New Roman" w:hAnsi="Arial" w:cs="Arial"/>
                <w:color w:val="333333"/>
                <w:sz w:val="12"/>
                <w:szCs w:val="12"/>
                <w:lang w:val="es-ES" w:eastAsia="en-GB"/>
              </w:rPr>
            </w:pPr>
            <w:r w:rsidRPr="00A60794">
              <w:rPr>
                <w:rFonts w:ascii="Arial" w:eastAsia="Times New Roman" w:hAnsi="Arial" w:cs="Arial"/>
                <w:color w:val="333333"/>
                <w:sz w:val="12"/>
                <w:szCs w:val="12"/>
                <w:lang w:val="es-ES" w:eastAsia="en-GB"/>
              </w:rPr>
              <w:t>Javier Sánchez-Laínez, Rodrigo Pérez, Alberto Cerezo, Virginia Madina, Michael Walter, Vanesa Gil1</w:t>
            </w:r>
          </w:p>
        </w:tc>
        <w:tc>
          <w:tcPr>
            <w:tcW w:w="0" w:type="auto"/>
            <w:tcBorders>
              <w:top w:val="nil"/>
              <w:left w:val="nil"/>
              <w:bottom w:val="single" w:sz="4" w:space="0" w:color="DDDDDD"/>
              <w:right w:val="single" w:sz="4" w:space="0" w:color="DDDDDD"/>
            </w:tcBorders>
            <w:shd w:val="clear" w:color="FFFFFF" w:fill="FFFFFF"/>
            <w:noWrap/>
            <w:vAlign w:val="bottom"/>
            <w:hideMark/>
          </w:tcPr>
          <w:p w14:paraId="63557DA2" w14:textId="77777777" w:rsidR="00BD154D" w:rsidRPr="00A60794" w:rsidRDefault="00BD154D" w:rsidP="00DF2591">
            <w:pPr>
              <w:spacing w:after="0" w:line="240" w:lineRule="auto"/>
              <w:rPr>
                <w:rFonts w:ascii="Arial" w:eastAsia="Times New Roman" w:hAnsi="Arial" w:cs="Arial"/>
                <w:color w:val="333333"/>
                <w:sz w:val="12"/>
                <w:szCs w:val="12"/>
                <w:lang w:val="es-ES" w:eastAsia="en-GB"/>
              </w:rPr>
            </w:pPr>
            <w:r w:rsidRPr="00A60794">
              <w:rPr>
                <w:rFonts w:ascii="Arial" w:eastAsia="Times New Roman" w:hAnsi="Arial" w:cs="Arial"/>
                <w:color w:val="333333"/>
                <w:sz w:val="12"/>
                <w:szCs w:val="12"/>
                <w:lang w:val="es-ES"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61C1892A" w14:textId="77777777" w:rsidR="00BD154D" w:rsidRPr="00A60794" w:rsidRDefault="00BD154D" w:rsidP="00DF2591">
            <w:pPr>
              <w:spacing w:after="0" w:line="240" w:lineRule="auto"/>
              <w:rPr>
                <w:rFonts w:ascii="Arial" w:eastAsia="Times New Roman" w:hAnsi="Arial" w:cs="Arial"/>
                <w:color w:val="333333"/>
                <w:sz w:val="12"/>
                <w:szCs w:val="12"/>
                <w:lang w:val="es-ES" w:eastAsia="en-GB"/>
              </w:rPr>
            </w:pPr>
            <w:r w:rsidRPr="00A60794">
              <w:rPr>
                <w:rFonts w:ascii="Arial" w:eastAsia="Times New Roman" w:hAnsi="Arial" w:cs="Arial"/>
                <w:color w:val="333333"/>
                <w:sz w:val="12"/>
                <w:szCs w:val="12"/>
                <w:lang w:val="es-ES"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58B7FDE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WHTC 2021</w:t>
            </w:r>
          </w:p>
        </w:tc>
        <w:tc>
          <w:tcPr>
            <w:tcW w:w="0" w:type="auto"/>
            <w:tcBorders>
              <w:top w:val="nil"/>
              <w:left w:val="nil"/>
              <w:bottom w:val="single" w:sz="4" w:space="0" w:color="DDDDDD"/>
              <w:right w:val="single" w:sz="4" w:space="0" w:color="DDDDDD"/>
            </w:tcBorders>
            <w:shd w:val="clear" w:color="FFFFFF" w:fill="FFFFFF"/>
            <w:noWrap/>
            <w:vAlign w:val="bottom"/>
            <w:hideMark/>
          </w:tcPr>
          <w:p w14:paraId="2593709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Montreal (Canada)</w:t>
            </w:r>
          </w:p>
        </w:tc>
        <w:tc>
          <w:tcPr>
            <w:tcW w:w="0" w:type="auto"/>
            <w:tcBorders>
              <w:top w:val="nil"/>
              <w:left w:val="nil"/>
              <w:bottom w:val="single" w:sz="4" w:space="0" w:color="DDDDDD"/>
              <w:right w:val="single" w:sz="4" w:space="0" w:color="DDDDDD"/>
            </w:tcBorders>
            <w:shd w:val="clear" w:color="FFFFFF" w:fill="FFFFFF"/>
            <w:noWrap/>
            <w:vAlign w:val="bottom"/>
            <w:hideMark/>
          </w:tcPr>
          <w:p w14:paraId="245402A4"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45F60B9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0B28958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2EFD097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3C605D7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r>
      <w:tr w:rsidR="00BD154D" w:rsidRPr="004535FA" w14:paraId="3E4037F2"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70B810C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HIGGS</w:t>
            </w:r>
          </w:p>
        </w:tc>
        <w:tc>
          <w:tcPr>
            <w:tcW w:w="0" w:type="auto"/>
            <w:tcBorders>
              <w:top w:val="nil"/>
              <w:left w:val="nil"/>
              <w:bottom w:val="single" w:sz="4" w:space="0" w:color="DDDDDD"/>
              <w:right w:val="single" w:sz="4" w:space="0" w:color="DDDDDD"/>
            </w:tcBorders>
            <w:shd w:val="clear" w:color="FFFFFF" w:fill="FFFFFF"/>
            <w:noWrap/>
            <w:vAlign w:val="bottom"/>
            <w:hideMark/>
          </w:tcPr>
          <w:p w14:paraId="6068586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CONFERENCE_PROCEEDING</w:t>
            </w:r>
          </w:p>
        </w:tc>
        <w:tc>
          <w:tcPr>
            <w:tcW w:w="0" w:type="auto"/>
            <w:tcBorders>
              <w:top w:val="nil"/>
              <w:left w:val="nil"/>
              <w:bottom w:val="single" w:sz="4" w:space="0" w:color="DDDDDD"/>
              <w:right w:val="single" w:sz="4" w:space="0" w:color="DDDDDD"/>
            </w:tcBorders>
            <w:shd w:val="clear" w:color="FFFFFF" w:fill="FFFFFF"/>
            <w:noWrap/>
            <w:vAlign w:val="bottom"/>
            <w:hideMark/>
          </w:tcPr>
          <w:p w14:paraId="1E13D3D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Presentation of project HIGGS</w:t>
            </w:r>
          </w:p>
        </w:tc>
        <w:tc>
          <w:tcPr>
            <w:tcW w:w="0" w:type="auto"/>
            <w:tcBorders>
              <w:top w:val="nil"/>
              <w:left w:val="nil"/>
              <w:bottom w:val="single" w:sz="4" w:space="0" w:color="DDDDDD"/>
              <w:right w:val="single" w:sz="4" w:space="0" w:color="DDDDDD"/>
            </w:tcBorders>
            <w:shd w:val="clear" w:color="FFFFFF" w:fill="FFFFFF"/>
            <w:noWrap/>
            <w:vAlign w:val="bottom"/>
            <w:hideMark/>
          </w:tcPr>
          <w:p w14:paraId="79B38F7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78939B5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51BAA9E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Vanesa Gil</w:t>
            </w:r>
          </w:p>
        </w:tc>
        <w:tc>
          <w:tcPr>
            <w:tcW w:w="0" w:type="auto"/>
            <w:tcBorders>
              <w:top w:val="nil"/>
              <w:left w:val="nil"/>
              <w:bottom w:val="single" w:sz="4" w:space="0" w:color="DDDDDD"/>
              <w:right w:val="single" w:sz="4" w:space="0" w:color="DDDDDD"/>
            </w:tcBorders>
            <w:shd w:val="clear" w:color="FFFFFF" w:fill="FFFFFF"/>
            <w:noWrap/>
            <w:vAlign w:val="bottom"/>
            <w:hideMark/>
          </w:tcPr>
          <w:p w14:paraId="0115BCC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EU Green Week</w:t>
            </w:r>
          </w:p>
        </w:tc>
        <w:tc>
          <w:tcPr>
            <w:tcW w:w="0" w:type="auto"/>
            <w:tcBorders>
              <w:top w:val="nil"/>
              <w:left w:val="nil"/>
              <w:bottom w:val="single" w:sz="4" w:space="0" w:color="DDDDDD"/>
              <w:right w:val="single" w:sz="4" w:space="0" w:color="DDDDDD"/>
            </w:tcBorders>
            <w:shd w:val="clear" w:color="FFFFFF" w:fill="FFFFFF"/>
            <w:noWrap/>
            <w:vAlign w:val="bottom"/>
            <w:hideMark/>
          </w:tcPr>
          <w:p w14:paraId="39F88D7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0F57E04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ERIG</w:t>
            </w:r>
          </w:p>
        </w:tc>
        <w:tc>
          <w:tcPr>
            <w:tcW w:w="0" w:type="auto"/>
            <w:tcBorders>
              <w:top w:val="nil"/>
              <w:left w:val="nil"/>
              <w:bottom w:val="single" w:sz="4" w:space="0" w:color="DDDDDD"/>
              <w:right w:val="single" w:sz="4" w:space="0" w:color="DDDDDD"/>
            </w:tcBorders>
            <w:shd w:val="clear" w:color="FFFFFF" w:fill="FFFFFF"/>
            <w:noWrap/>
            <w:vAlign w:val="bottom"/>
            <w:hideMark/>
          </w:tcPr>
          <w:p w14:paraId="3943E52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Virtual</w:t>
            </w:r>
          </w:p>
        </w:tc>
        <w:tc>
          <w:tcPr>
            <w:tcW w:w="0" w:type="auto"/>
            <w:tcBorders>
              <w:top w:val="nil"/>
              <w:left w:val="nil"/>
              <w:bottom w:val="single" w:sz="4" w:space="0" w:color="DDDDDD"/>
              <w:right w:val="single" w:sz="4" w:space="0" w:color="DDDDDD"/>
            </w:tcBorders>
            <w:shd w:val="clear" w:color="FFFFFF" w:fill="FFFFFF"/>
            <w:noWrap/>
            <w:vAlign w:val="bottom"/>
            <w:hideMark/>
          </w:tcPr>
          <w:p w14:paraId="7CB9D496"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001D882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07FC741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7AFF6EB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3447B6E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r>
      <w:tr w:rsidR="00BD154D" w:rsidRPr="004535FA" w14:paraId="5355CA97"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40AF271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HIGGS</w:t>
            </w:r>
          </w:p>
        </w:tc>
        <w:tc>
          <w:tcPr>
            <w:tcW w:w="0" w:type="auto"/>
            <w:tcBorders>
              <w:top w:val="nil"/>
              <w:left w:val="nil"/>
              <w:bottom w:val="single" w:sz="4" w:space="0" w:color="DDDDDD"/>
              <w:right w:val="single" w:sz="4" w:space="0" w:color="DDDDDD"/>
            </w:tcBorders>
            <w:shd w:val="clear" w:color="FFFFFF" w:fill="FFFFFF"/>
            <w:noWrap/>
            <w:vAlign w:val="bottom"/>
            <w:hideMark/>
          </w:tcPr>
          <w:p w14:paraId="1A7A7D1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CONFERENCE_PROCEEDING</w:t>
            </w:r>
          </w:p>
        </w:tc>
        <w:tc>
          <w:tcPr>
            <w:tcW w:w="0" w:type="auto"/>
            <w:tcBorders>
              <w:top w:val="nil"/>
              <w:left w:val="nil"/>
              <w:bottom w:val="single" w:sz="4" w:space="0" w:color="DDDDDD"/>
              <w:right w:val="single" w:sz="4" w:space="0" w:color="DDDDDD"/>
            </w:tcBorders>
            <w:shd w:val="clear" w:color="FFFFFF" w:fill="FFFFFF"/>
            <w:noWrap/>
            <w:vAlign w:val="bottom"/>
            <w:hideMark/>
          </w:tcPr>
          <w:p w14:paraId="681D7A8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Presentation of project HIGGS</w:t>
            </w:r>
          </w:p>
        </w:tc>
        <w:tc>
          <w:tcPr>
            <w:tcW w:w="0" w:type="auto"/>
            <w:tcBorders>
              <w:top w:val="nil"/>
              <w:left w:val="nil"/>
              <w:bottom w:val="single" w:sz="4" w:space="0" w:color="DDDDDD"/>
              <w:right w:val="single" w:sz="4" w:space="0" w:color="DDDDDD"/>
            </w:tcBorders>
            <w:shd w:val="clear" w:color="FFFFFF" w:fill="FFFFFF"/>
            <w:noWrap/>
            <w:vAlign w:val="bottom"/>
            <w:hideMark/>
          </w:tcPr>
          <w:p w14:paraId="4DF2561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64DDDAB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2E1D86D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Vanesa Gil</w:t>
            </w:r>
          </w:p>
        </w:tc>
        <w:tc>
          <w:tcPr>
            <w:tcW w:w="0" w:type="auto"/>
            <w:tcBorders>
              <w:top w:val="nil"/>
              <w:left w:val="nil"/>
              <w:bottom w:val="single" w:sz="4" w:space="0" w:color="DDDDDD"/>
              <w:right w:val="single" w:sz="4" w:space="0" w:color="DDDDDD"/>
            </w:tcBorders>
            <w:shd w:val="clear" w:color="FFFFFF" w:fill="FFFFFF"/>
            <w:noWrap/>
            <w:vAlign w:val="bottom"/>
            <w:hideMark/>
          </w:tcPr>
          <w:p w14:paraId="3DC9A09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European Hydrogen Forum 2021</w:t>
            </w:r>
          </w:p>
        </w:tc>
        <w:tc>
          <w:tcPr>
            <w:tcW w:w="0" w:type="auto"/>
            <w:tcBorders>
              <w:top w:val="nil"/>
              <w:left w:val="nil"/>
              <w:bottom w:val="single" w:sz="4" w:space="0" w:color="DDDDDD"/>
              <w:right w:val="single" w:sz="4" w:space="0" w:color="DDDDDD"/>
            </w:tcBorders>
            <w:shd w:val="clear" w:color="FFFFFF" w:fill="FFFFFF"/>
            <w:noWrap/>
            <w:vAlign w:val="bottom"/>
            <w:hideMark/>
          </w:tcPr>
          <w:p w14:paraId="7B22C88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0074A13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European Clean Hydrogen Alliance</w:t>
            </w:r>
          </w:p>
        </w:tc>
        <w:tc>
          <w:tcPr>
            <w:tcW w:w="0" w:type="auto"/>
            <w:tcBorders>
              <w:top w:val="nil"/>
              <w:left w:val="nil"/>
              <w:bottom w:val="single" w:sz="4" w:space="0" w:color="DDDDDD"/>
              <w:right w:val="single" w:sz="4" w:space="0" w:color="DDDDDD"/>
            </w:tcBorders>
            <w:shd w:val="clear" w:color="FFFFFF" w:fill="FFFFFF"/>
            <w:noWrap/>
            <w:vAlign w:val="bottom"/>
            <w:hideMark/>
          </w:tcPr>
          <w:p w14:paraId="155891D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Belguium</w:t>
            </w:r>
          </w:p>
        </w:tc>
        <w:tc>
          <w:tcPr>
            <w:tcW w:w="0" w:type="auto"/>
            <w:tcBorders>
              <w:top w:val="nil"/>
              <w:left w:val="nil"/>
              <w:bottom w:val="single" w:sz="4" w:space="0" w:color="DDDDDD"/>
              <w:right w:val="single" w:sz="4" w:space="0" w:color="DDDDDD"/>
            </w:tcBorders>
            <w:shd w:val="clear" w:color="FFFFFF" w:fill="FFFFFF"/>
            <w:noWrap/>
            <w:vAlign w:val="bottom"/>
            <w:hideMark/>
          </w:tcPr>
          <w:p w14:paraId="01E0CCEB"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2020</w:t>
            </w:r>
          </w:p>
        </w:tc>
        <w:tc>
          <w:tcPr>
            <w:tcW w:w="0" w:type="auto"/>
            <w:tcBorders>
              <w:top w:val="nil"/>
              <w:left w:val="nil"/>
              <w:bottom w:val="single" w:sz="4" w:space="0" w:color="DDDDDD"/>
              <w:right w:val="single" w:sz="4" w:space="0" w:color="DDDDDD"/>
            </w:tcBorders>
            <w:shd w:val="clear" w:color="FFFFFF" w:fill="FFFFFF"/>
            <w:noWrap/>
            <w:vAlign w:val="bottom"/>
            <w:hideMark/>
          </w:tcPr>
          <w:p w14:paraId="2821F52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39C5B31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7074661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3C7E462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r>
      <w:tr w:rsidR="00BD154D" w:rsidRPr="004535FA" w14:paraId="3ACAB39A"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1D49D1D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HIGGS</w:t>
            </w:r>
          </w:p>
        </w:tc>
        <w:tc>
          <w:tcPr>
            <w:tcW w:w="0" w:type="auto"/>
            <w:tcBorders>
              <w:top w:val="nil"/>
              <w:left w:val="nil"/>
              <w:bottom w:val="single" w:sz="4" w:space="0" w:color="DDDDDD"/>
              <w:right w:val="single" w:sz="4" w:space="0" w:color="DDDDDD"/>
            </w:tcBorders>
            <w:shd w:val="clear" w:color="FFFFFF" w:fill="FFFFFF"/>
            <w:noWrap/>
            <w:vAlign w:val="bottom"/>
            <w:hideMark/>
          </w:tcPr>
          <w:p w14:paraId="34039D1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OTHER</w:t>
            </w:r>
          </w:p>
        </w:tc>
        <w:tc>
          <w:tcPr>
            <w:tcW w:w="0" w:type="auto"/>
            <w:tcBorders>
              <w:top w:val="nil"/>
              <w:left w:val="nil"/>
              <w:bottom w:val="single" w:sz="4" w:space="0" w:color="DDDDDD"/>
              <w:right w:val="single" w:sz="4" w:space="0" w:color="DDDDDD"/>
            </w:tcBorders>
            <w:shd w:val="clear" w:color="FFFFFF" w:fill="FFFFFF"/>
            <w:noWrap/>
            <w:vAlign w:val="bottom"/>
            <w:hideMark/>
          </w:tcPr>
          <w:p w14:paraId="09AE447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Presentation of HIGGS project</w:t>
            </w:r>
          </w:p>
        </w:tc>
        <w:tc>
          <w:tcPr>
            <w:tcW w:w="0" w:type="auto"/>
            <w:tcBorders>
              <w:top w:val="nil"/>
              <w:left w:val="nil"/>
              <w:bottom w:val="single" w:sz="4" w:space="0" w:color="DDDDDD"/>
              <w:right w:val="single" w:sz="4" w:space="0" w:color="DDDDDD"/>
            </w:tcBorders>
            <w:shd w:val="clear" w:color="FFFFFF" w:fill="FFFFFF"/>
            <w:noWrap/>
            <w:vAlign w:val="bottom"/>
            <w:hideMark/>
          </w:tcPr>
          <w:p w14:paraId="7D862DA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1F931D8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69E0188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Vanesa Gil</w:t>
            </w:r>
          </w:p>
        </w:tc>
        <w:tc>
          <w:tcPr>
            <w:tcW w:w="0" w:type="auto"/>
            <w:tcBorders>
              <w:top w:val="nil"/>
              <w:left w:val="nil"/>
              <w:bottom w:val="single" w:sz="4" w:space="0" w:color="DDDDDD"/>
              <w:right w:val="single" w:sz="4" w:space="0" w:color="DDDDDD"/>
            </w:tcBorders>
            <w:shd w:val="clear" w:color="FFFFFF" w:fill="FFFFFF"/>
            <w:noWrap/>
            <w:vAlign w:val="bottom"/>
            <w:hideMark/>
          </w:tcPr>
          <w:p w14:paraId="55191EF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Prime movers’ group on Gas Quality and H2 handling Sub-Group 2) #2 meeting</w:t>
            </w:r>
          </w:p>
        </w:tc>
        <w:tc>
          <w:tcPr>
            <w:tcW w:w="0" w:type="auto"/>
            <w:tcBorders>
              <w:top w:val="nil"/>
              <w:left w:val="nil"/>
              <w:bottom w:val="single" w:sz="4" w:space="0" w:color="DDDDDD"/>
              <w:right w:val="single" w:sz="4" w:space="0" w:color="DDDDDD"/>
            </w:tcBorders>
            <w:shd w:val="clear" w:color="FFFFFF" w:fill="FFFFFF"/>
            <w:noWrap/>
            <w:vAlign w:val="bottom"/>
            <w:hideMark/>
          </w:tcPr>
          <w:p w14:paraId="3FC617F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2D91381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ENTSOG</w:t>
            </w:r>
          </w:p>
        </w:tc>
        <w:tc>
          <w:tcPr>
            <w:tcW w:w="0" w:type="auto"/>
            <w:tcBorders>
              <w:top w:val="nil"/>
              <w:left w:val="nil"/>
              <w:bottom w:val="single" w:sz="4" w:space="0" w:color="DDDDDD"/>
              <w:right w:val="single" w:sz="4" w:space="0" w:color="DDDDDD"/>
            </w:tcBorders>
            <w:shd w:val="clear" w:color="FFFFFF" w:fill="FFFFFF"/>
            <w:noWrap/>
            <w:vAlign w:val="bottom"/>
            <w:hideMark/>
          </w:tcPr>
          <w:p w14:paraId="3721A56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Belgium</w:t>
            </w:r>
          </w:p>
        </w:tc>
        <w:tc>
          <w:tcPr>
            <w:tcW w:w="0" w:type="auto"/>
            <w:tcBorders>
              <w:top w:val="nil"/>
              <w:left w:val="nil"/>
              <w:bottom w:val="single" w:sz="4" w:space="0" w:color="DDDDDD"/>
              <w:right w:val="single" w:sz="4" w:space="0" w:color="DDDDDD"/>
            </w:tcBorders>
            <w:shd w:val="clear" w:color="FFFFFF" w:fill="FFFFFF"/>
            <w:noWrap/>
            <w:vAlign w:val="bottom"/>
            <w:hideMark/>
          </w:tcPr>
          <w:p w14:paraId="20D2E1C5"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552C006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141783D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6528EF6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6E75DDC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r>
      <w:tr w:rsidR="00BD154D" w:rsidRPr="004535FA" w14:paraId="1445B887"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0D58E25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HyCARE</w:t>
            </w:r>
          </w:p>
        </w:tc>
        <w:tc>
          <w:tcPr>
            <w:tcW w:w="0" w:type="auto"/>
            <w:tcBorders>
              <w:top w:val="nil"/>
              <w:left w:val="nil"/>
              <w:bottom w:val="single" w:sz="4" w:space="0" w:color="DDDDDD"/>
              <w:right w:val="single" w:sz="4" w:space="0" w:color="DDDDDD"/>
            </w:tcBorders>
            <w:shd w:val="clear" w:color="FFFFFF" w:fill="FFFFFF"/>
            <w:noWrap/>
            <w:vAlign w:val="bottom"/>
            <w:hideMark/>
          </w:tcPr>
          <w:p w14:paraId="25F0748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OTHER</w:t>
            </w:r>
          </w:p>
        </w:tc>
        <w:tc>
          <w:tcPr>
            <w:tcW w:w="0" w:type="auto"/>
            <w:tcBorders>
              <w:top w:val="nil"/>
              <w:left w:val="nil"/>
              <w:bottom w:val="single" w:sz="4" w:space="0" w:color="DDDDDD"/>
              <w:right w:val="single" w:sz="4" w:space="0" w:color="DDDDDD"/>
            </w:tcBorders>
            <w:shd w:val="clear" w:color="FFFFFF" w:fill="FFFFFF"/>
            <w:noWrap/>
            <w:vAlign w:val="bottom"/>
            <w:hideMark/>
          </w:tcPr>
          <w:p w14:paraId="14B2629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Characterisation of powder and pellets</w:t>
            </w:r>
          </w:p>
        </w:tc>
        <w:tc>
          <w:tcPr>
            <w:tcW w:w="0" w:type="auto"/>
            <w:tcBorders>
              <w:top w:val="nil"/>
              <w:left w:val="nil"/>
              <w:bottom w:val="single" w:sz="4" w:space="0" w:color="DDDDDD"/>
              <w:right w:val="single" w:sz="4" w:space="0" w:color="DDDDDD"/>
            </w:tcBorders>
            <w:shd w:val="clear" w:color="FFFFFF" w:fill="FFFFFF"/>
            <w:noWrap/>
            <w:vAlign w:val="bottom"/>
            <w:hideMark/>
          </w:tcPr>
          <w:p w14:paraId="1A7CF9A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10.5281/zenodo.4638519</w:t>
            </w:r>
          </w:p>
        </w:tc>
        <w:tc>
          <w:tcPr>
            <w:tcW w:w="0" w:type="auto"/>
            <w:tcBorders>
              <w:top w:val="nil"/>
              <w:left w:val="nil"/>
              <w:bottom w:val="single" w:sz="4" w:space="0" w:color="DDDDDD"/>
              <w:right w:val="single" w:sz="4" w:space="0" w:color="DDDDDD"/>
            </w:tcBorders>
            <w:shd w:val="clear" w:color="FFFFFF" w:fill="FFFFFF"/>
            <w:noWrap/>
            <w:vAlign w:val="bottom"/>
            <w:hideMark/>
          </w:tcPr>
          <w:p w14:paraId="4782110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63D3E41A" w14:textId="77777777" w:rsidR="00BD154D" w:rsidRPr="00F07F7C" w:rsidRDefault="00BD154D" w:rsidP="00DF2591">
            <w:pPr>
              <w:spacing w:after="0" w:line="240" w:lineRule="auto"/>
              <w:rPr>
                <w:rFonts w:ascii="Arial" w:eastAsia="Times New Roman" w:hAnsi="Arial" w:cs="Arial"/>
                <w:color w:val="333333"/>
                <w:sz w:val="12"/>
                <w:szCs w:val="12"/>
                <w:lang w:val="fr-BE" w:eastAsia="en-GB"/>
              </w:rPr>
            </w:pPr>
            <w:r w:rsidRPr="00F07F7C">
              <w:rPr>
                <w:rFonts w:ascii="Arial" w:eastAsia="Times New Roman" w:hAnsi="Arial" w:cs="Arial"/>
                <w:color w:val="333333"/>
                <w:sz w:val="12"/>
                <w:szCs w:val="12"/>
                <w:lang w:val="fr-BE" w:eastAsia="en-GB"/>
              </w:rPr>
              <w:t xml:space="preserve">Dematteis, Erika </w:t>
            </w:r>
            <w:proofErr w:type="gramStart"/>
            <w:r w:rsidRPr="00F07F7C">
              <w:rPr>
                <w:rFonts w:ascii="Arial" w:eastAsia="Times New Roman" w:hAnsi="Arial" w:cs="Arial"/>
                <w:color w:val="333333"/>
                <w:sz w:val="12"/>
                <w:szCs w:val="12"/>
                <w:lang w:val="fr-BE" w:eastAsia="en-GB"/>
              </w:rPr>
              <w:t>Michela;</w:t>
            </w:r>
            <w:proofErr w:type="gramEnd"/>
            <w:r w:rsidRPr="00F07F7C">
              <w:rPr>
                <w:rFonts w:ascii="Arial" w:eastAsia="Times New Roman" w:hAnsi="Arial" w:cs="Arial"/>
                <w:color w:val="333333"/>
                <w:sz w:val="12"/>
                <w:szCs w:val="12"/>
                <w:lang w:val="fr-BE" w:eastAsia="en-GB"/>
              </w:rPr>
              <w:t xml:space="preserve"> Cuevas, Fermin; Latroche, Michel</w:t>
            </w:r>
          </w:p>
        </w:tc>
        <w:tc>
          <w:tcPr>
            <w:tcW w:w="0" w:type="auto"/>
            <w:tcBorders>
              <w:top w:val="nil"/>
              <w:left w:val="nil"/>
              <w:bottom w:val="single" w:sz="4" w:space="0" w:color="DDDDDD"/>
              <w:right w:val="single" w:sz="4" w:space="0" w:color="DDDDDD"/>
            </w:tcBorders>
            <w:shd w:val="clear" w:color="FFFFFF" w:fill="FFFFFF"/>
            <w:noWrap/>
            <w:vAlign w:val="bottom"/>
            <w:hideMark/>
          </w:tcPr>
          <w:p w14:paraId="52E299E1" w14:textId="77777777" w:rsidR="00BD154D" w:rsidRPr="00F07F7C" w:rsidRDefault="00BD154D" w:rsidP="00DF2591">
            <w:pPr>
              <w:spacing w:after="0" w:line="240" w:lineRule="auto"/>
              <w:rPr>
                <w:rFonts w:ascii="Arial" w:eastAsia="Times New Roman" w:hAnsi="Arial" w:cs="Arial"/>
                <w:color w:val="333333"/>
                <w:sz w:val="12"/>
                <w:szCs w:val="12"/>
                <w:lang w:val="fr-BE" w:eastAsia="en-GB"/>
              </w:rPr>
            </w:pPr>
            <w:r w:rsidRPr="00F07F7C">
              <w:rPr>
                <w:rFonts w:ascii="Arial" w:eastAsia="Times New Roman" w:hAnsi="Arial" w:cs="Arial"/>
                <w:color w:val="333333"/>
                <w:sz w:val="12"/>
                <w:szCs w:val="12"/>
                <w:lang w:val="fr-BE"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5A361DCF" w14:textId="77777777" w:rsidR="00BD154D" w:rsidRPr="00F07F7C" w:rsidRDefault="00BD154D" w:rsidP="00DF2591">
            <w:pPr>
              <w:spacing w:after="0" w:line="240" w:lineRule="auto"/>
              <w:rPr>
                <w:rFonts w:ascii="Arial" w:eastAsia="Times New Roman" w:hAnsi="Arial" w:cs="Arial"/>
                <w:color w:val="333333"/>
                <w:sz w:val="12"/>
                <w:szCs w:val="12"/>
                <w:lang w:val="fr-BE" w:eastAsia="en-GB"/>
              </w:rPr>
            </w:pPr>
            <w:r w:rsidRPr="00F07F7C">
              <w:rPr>
                <w:rFonts w:ascii="Arial" w:eastAsia="Times New Roman" w:hAnsi="Arial" w:cs="Arial"/>
                <w:color w:val="333333"/>
                <w:sz w:val="12"/>
                <w:szCs w:val="12"/>
                <w:lang w:val="fr-BE"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69227C9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Zenodo</w:t>
            </w:r>
          </w:p>
        </w:tc>
        <w:tc>
          <w:tcPr>
            <w:tcW w:w="0" w:type="auto"/>
            <w:tcBorders>
              <w:top w:val="nil"/>
              <w:left w:val="nil"/>
              <w:bottom w:val="single" w:sz="4" w:space="0" w:color="DDDDDD"/>
              <w:right w:val="single" w:sz="4" w:space="0" w:color="DDDDDD"/>
            </w:tcBorders>
            <w:shd w:val="clear" w:color="FFFFFF" w:fill="FFFFFF"/>
            <w:noWrap/>
            <w:vAlign w:val="bottom"/>
            <w:hideMark/>
          </w:tcPr>
          <w:p w14:paraId="6B11B5D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Zenodo</w:t>
            </w:r>
          </w:p>
        </w:tc>
        <w:tc>
          <w:tcPr>
            <w:tcW w:w="0" w:type="auto"/>
            <w:tcBorders>
              <w:top w:val="nil"/>
              <w:left w:val="nil"/>
              <w:bottom w:val="single" w:sz="4" w:space="0" w:color="DDDDDD"/>
              <w:right w:val="single" w:sz="4" w:space="0" w:color="DDDDDD"/>
            </w:tcBorders>
            <w:shd w:val="clear" w:color="FFFFFF" w:fill="FFFFFF"/>
            <w:noWrap/>
            <w:vAlign w:val="bottom"/>
            <w:hideMark/>
          </w:tcPr>
          <w:p w14:paraId="217AF4C5"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050CEB6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5BB0A7D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2323A48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296B4BB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https://zenodo.org/record/4638519</w:t>
            </w:r>
          </w:p>
        </w:tc>
      </w:tr>
      <w:tr w:rsidR="00BD154D" w:rsidRPr="004535FA" w14:paraId="488C2F84"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51C4DA3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HyCARE</w:t>
            </w:r>
          </w:p>
        </w:tc>
        <w:tc>
          <w:tcPr>
            <w:tcW w:w="0" w:type="auto"/>
            <w:tcBorders>
              <w:top w:val="nil"/>
              <w:left w:val="nil"/>
              <w:bottom w:val="single" w:sz="4" w:space="0" w:color="DDDDDD"/>
              <w:right w:val="single" w:sz="4" w:space="0" w:color="DDDDDD"/>
            </w:tcBorders>
            <w:shd w:val="clear" w:color="FFFFFF" w:fill="FFFFFF"/>
            <w:noWrap/>
            <w:vAlign w:val="bottom"/>
            <w:hideMark/>
          </w:tcPr>
          <w:p w14:paraId="07F4ABF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OTHER</w:t>
            </w:r>
          </w:p>
        </w:tc>
        <w:tc>
          <w:tcPr>
            <w:tcW w:w="0" w:type="auto"/>
            <w:tcBorders>
              <w:top w:val="nil"/>
              <w:left w:val="nil"/>
              <w:bottom w:val="single" w:sz="4" w:space="0" w:color="DDDDDD"/>
              <w:right w:val="single" w:sz="4" w:space="0" w:color="DDDDDD"/>
            </w:tcBorders>
            <w:shd w:val="clear" w:color="FFFFFF" w:fill="FFFFFF"/>
            <w:noWrap/>
            <w:vAlign w:val="bottom"/>
            <w:hideMark/>
          </w:tcPr>
          <w:p w14:paraId="5076658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Data Management Plan M6</w:t>
            </w:r>
          </w:p>
        </w:tc>
        <w:tc>
          <w:tcPr>
            <w:tcW w:w="0" w:type="auto"/>
            <w:tcBorders>
              <w:top w:val="nil"/>
              <w:left w:val="nil"/>
              <w:bottom w:val="single" w:sz="4" w:space="0" w:color="DDDDDD"/>
              <w:right w:val="single" w:sz="4" w:space="0" w:color="DDDDDD"/>
            </w:tcBorders>
            <w:shd w:val="clear" w:color="FFFFFF" w:fill="FFFFFF"/>
            <w:noWrap/>
            <w:vAlign w:val="bottom"/>
            <w:hideMark/>
          </w:tcPr>
          <w:p w14:paraId="6922698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10.5281/zenodo.3824773</w:t>
            </w:r>
          </w:p>
        </w:tc>
        <w:tc>
          <w:tcPr>
            <w:tcW w:w="0" w:type="auto"/>
            <w:tcBorders>
              <w:top w:val="nil"/>
              <w:left w:val="nil"/>
              <w:bottom w:val="single" w:sz="4" w:space="0" w:color="DDDDDD"/>
              <w:right w:val="single" w:sz="4" w:space="0" w:color="DDDDDD"/>
            </w:tcBorders>
            <w:shd w:val="clear" w:color="FFFFFF" w:fill="FFFFFF"/>
            <w:noWrap/>
            <w:vAlign w:val="bottom"/>
            <w:hideMark/>
          </w:tcPr>
          <w:p w14:paraId="6837265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26C6268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Sabina Fiorot</w:t>
            </w:r>
          </w:p>
        </w:tc>
        <w:tc>
          <w:tcPr>
            <w:tcW w:w="0" w:type="auto"/>
            <w:tcBorders>
              <w:top w:val="nil"/>
              <w:left w:val="nil"/>
              <w:bottom w:val="single" w:sz="4" w:space="0" w:color="DDDDDD"/>
              <w:right w:val="single" w:sz="4" w:space="0" w:color="DDDDDD"/>
            </w:tcBorders>
            <w:shd w:val="clear" w:color="FFFFFF" w:fill="FFFFFF"/>
            <w:noWrap/>
            <w:vAlign w:val="bottom"/>
            <w:hideMark/>
          </w:tcPr>
          <w:p w14:paraId="1AC0E3D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74F2281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w:t>
            </w:r>
          </w:p>
        </w:tc>
        <w:tc>
          <w:tcPr>
            <w:tcW w:w="0" w:type="auto"/>
            <w:tcBorders>
              <w:top w:val="nil"/>
              <w:left w:val="nil"/>
              <w:bottom w:val="single" w:sz="4" w:space="0" w:color="DDDDDD"/>
              <w:right w:val="single" w:sz="4" w:space="0" w:color="DDDDDD"/>
            </w:tcBorders>
            <w:shd w:val="clear" w:color="FFFFFF" w:fill="FFFFFF"/>
            <w:noWrap/>
            <w:vAlign w:val="bottom"/>
            <w:hideMark/>
          </w:tcPr>
          <w:p w14:paraId="08F8EAE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Zenodo</w:t>
            </w:r>
          </w:p>
        </w:tc>
        <w:tc>
          <w:tcPr>
            <w:tcW w:w="0" w:type="auto"/>
            <w:tcBorders>
              <w:top w:val="nil"/>
              <w:left w:val="nil"/>
              <w:bottom w:val="single" w:sz="4" w:space="0" w:color="DDDDDD"/>
              <w:right w:val="single" w:sz="4" w:space="0" w:color="DDDDDD"/>
            </w:tcBorders>
            <w:shd w:val="clear" w:color="FFFFFF" w:fill="FFFFFF"/>
            <w:noWrap/>
            <w:vAlign w:val="bottom"/>
            <w:hideMark/>
          </w:tcPr>
          <w:p w14:paraId="50584CC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Zenodo</w:t>
            </w:r>
          </w:p>
        </w:tc>
        <w:tc>
          <w:tcPr>
            <w:tcW w:w="0" w:type="auto"/>
            <w:tcBorders>
              <w:top w:val="nil"/>
              <w:left w:val="nil"/>
              <w:bottom w:val="single" w:sz="4" w:space="0" w:color="DDDDDD"/>
              <w:right w:val="single" w:sz="4" w:space="0" w:color="DDDDDD"/>
            </w:tcBorders>
            <w:shd w:val="clear" w:color="FFFFFF" w:fill="FFFFFF"/>
            <w:noWrap/>
            <w:vAlign w:val="bottom"/>
            <w:hideMark/>
          </w:tcPr>
          <w:p w14:paraId="668726BE"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2020</w:t>
            </w:r>
          </w:p>
        </w:tc>
        <w:tc>
          <w:tcPr>
            <w:tcW w:w="0" w:type="auto"/>
            <w:tcBorders>
              <w:top w:val="nil"/>
              <w:left w:val="nil"/>
              <w:bottom w:val="single" w:sz="4" w:space="0" w:color="DDDDDD"/>
              <w:right w:val="single" w:sz="4" w:space="0" w:color="DDDDDD"/>
            </w:tcBorders>
            <w:shd w:val="clear" w:color="FFFFFF" w:fill="FFFFFF"/>
            <w:noWrap/>
            <w:vAlign w:val="bottom"/>
            <w:hideMark/>
          </w:tcPr>
          <w:p w14:paraId="69E631C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3F1132B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11D3FEB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0CDE55B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https://zenodo.org/record/3824773</w:t>
            </w:r>
          </w:p>
        </w:tc>
      </w:tr>
      <w:tr w:rsidR="00BD154D" w:rsidRPr="004535FA" w14:paraId="30113CB0"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4507BE7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HyCARE</w:t>
            </w:r>
          </w:p>
        </w:tc>
        <w:tc>
          <w:tcPr>
            <w:tcW w:w="0" w:type="auto"/>
            <w:tcBorders>
              <w:top w:val="nil"/>
              <w:left w:val="nil"/>
              <w:bottom w:val="single" w:sz="4" w:space="0" w:color="DDDDDD"/>
              <w:right w:val="single" w:sz="4" w:space="0" w:color="DDDDDD"/>
            </w:tcBorders>
            <w:shd w:val="clear" w:color="FFFFFF" w:fill="FFFFFF"/>
            <w:noWrap/>
            <w:vAlign w:val="bottom"/>
            <w:hideMark/>
          </w:tcPr>
          <w:p w14:paraId="552270B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OTHER</w:t>
            </w:r>
          </w:p>
        </w:tc>
        <w:tc>
          <w:tcPr>
            <w:tcW w:w="0" w:type="auto"/>
            <w:tcBorders>
              <w:top w:val="nil"/>
              <w:left w:val="nil"/>
              <w:bottom w:val="single" w:sz="4" w:space="0" w:color="DDDDDD"/>
              <w:right w:val="single" w:sz="4" w:space="0" w:color="DDDDDD"/>
            </w:tcBorders>
            <w:shd w:val="clear" w:color="FFFFFF" w:fill="FFFFFF"/>
            <w:noWrap/>
            <w:vAlign w:val="bottom"/>
            <w:hideMark/>
          </w:tcPr>
          <w:p w14:paraId="254BBB2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Design of hydrogen-heat-storage module</w:t>
            </w:r>
          </w:p>
        </w:tc>
        <w:tc>
          <w:tcPr>
            <w:tcW w:w="0" w:type="auto"/>
            <w:tcBorders>
              <w:top w:val="nil"/>
              <w:left w:val="nil"/>
              <w:bottom w:val="single" w:sz="4" w:space="0" w:color="DDDDDD"/>
              <w:right w:val="single" w:sz="4" w:space="0" w:color="DDDDDD"/>
            </w:tcBorders>
            <w:shd w:val="clear" w:color="FFFFFF" w:fill="FFFFFF"/>
            <w:noWrap/>
            <w:vAlign w:val="bottom"/>
            <w:hideMark/>
          </w:tcPr>
          <w:p w14:paraId="6557C5B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10.5281/zenodo.4639812</w:t>
            </w:r>
          </w:p>
        </w:tc>
        <w:tc>
          <w:tcPr>
            <w:tcW w:w="0" w:type="auto"/>
            <w:tcBorders>
              <w:top w:val="nil"/>
              <w:left w:val="nil"/>
              <w:bottom w:val="single" w:sz="4" w:space="0" w:color="DDDDDD"/>
              <w:right w:val="single" w:sz="4" w:space="0" w:color="DDDDDD"/>
            </w:tcBorders>
            <w:shd w:val="clear" w:color="FFFFFF" w:fill="FFFFFF"/>
            <w:noWrap/>
            <w:vAlign w:val="bottom"/>
            <w:hideMark/>
          </w:tcPr>
          <w:p w14:paraId="73491C0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56C51FD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Capurso, Giovanni</w:t>
            </w:r>
          </w:p>
        </w:tc>
        <w:tc>
          <w:tcPr>
            <w:tcW w:w="0" w:type="auto"/>
            <w:tcBorders>
              <w:top w:val="nil"/>
              <w:left w:val="nil"/>
              <w:bottom w:val="single" w:sz="4" w:space="0" w:color="DDDDDD"/>
              <w:right w:val="single" w:sz="4" w:space="0" w:color="DDDDDD"/>
            </w:tcBorders>
            <w:shd w:val="clear" w:color="FFFFFF" w:fill="FFFFFF"/>
            <w:noWrap/>
            <w:vAlign w:val="bottom"/>
            <w:hideMark/>
          </w:tcPr>
          <w:p w14:paraId="6364741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1FC5AA0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w:t>
            </w:r>
          </w:p>
        </w:tc>
        <w:tc>
          <w:tcPr>
            <w:tcW w:w="0" w:type="auto"/>
            <w:tcBorders>
              <w:top w:val="nil"/>
              <w:left w:val="nil"/>
              <w:bottom w:val="single" w:sz="4" w:space="0" w:color="DDDDDD"/>
              <w:right w:val="single" w:sz="4" w:space="0" w:color="DDDDDD"/>
            </w:tcBorders>
            <w:shd w:val="clear" w:color="FFFFFF" w:fill="FFFFFF"/>
            <w:noWrap/>
            <w:vAlign w:val="bottom"/>
            <w:hideMark/>
          </w:tcPr>
          <w:p w14:paraId="7D17F5E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Zenodo</w:t>
            </w:r>
          </w:p>
        </w:tc>
        <w:tc>
          <w:tcPr>
            <w:tcW w:w="0" w:type="auto"/>
            <w:tcBorders>
              <w:top w:val="nil"/>
              <w:left w:val="nil"/>
              <w:bottom w:val="single" w:sz="4" w:space="0" w:color="DDDDDD"/>
              <w:right w:val="single" w:sz="4" w:space="0" w:color="DDDDDD"/>
            </w:tcBorders>
            <w:shd w:val="clear" w:color="FFFFFF" w:fill="FFFFFF"/>
            <w:noWrap/>
            <w:vAlign w:val="bottom"/>
            <w:hideMark/>
          </w:tcPr>
          <w:p w14:paraId="1B417D5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Zenodo</w:t>
            </w:r>
          </w:p>
        </w:tc>
        <w:tc>
          <w:tcPr>
            <w:tcW w:w="0" w:type="auto"/>
            <w:tcBorders>
              <w:top w:val="nil"/>
              <w:left w:val="nil"/>
              <w:bottom w:val="single" w:sz="4" w:space="0" w:color="DDDDDD"/>
              <w:right w:val="single" w:sz="4" w:space="0" w:color="DDDDDD"/>
            </w:tcBorders>
            <w:shd w:val="clear" w:color="FFFFFF" w:fill="FFFFFF"/>
            <w:noWrap/>
            <w:vAlign w:val="bottom"/>
            <w:hideMark/>
          </w:tcPr>
          <w:p w14:paraId="3A71D443"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2020</w:t>
            </w:r>
          </w:p>
        </w:tc>
        <w:tc>
          <w:tcPr>
            <w:tcW w:w="0" w:type="auto"/>
            <w:tcBorders>
              <w:top w:val="nil"/>
              <w:left w:val="nil"/>
              <w:bottom w:val="single" w:sz="4" w:space="0" w:color="DDDDDD"/>
              <w:right w:val="single" w:sz="4" w:space="0" w:color="DDDDDD"/>
            </w:tcBorders>
            <w:shd w:val="clear" w:color="FFFFFF" w:fill="FFFFFF"/>
            <w:noWrap/>
            <w:vAlign w:val="bottom"/>
            <w:hideMark/>
          </w:tcPr>
          <w:p w14:paraId="3BE8D28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6DE143C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75F1449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43E129E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https://zenodo.org/record/4639812</w:t>
            </w:r>
          </w:p>
        </w:tc>
      </w:tr>
      <w:tr w:rsidR="00BD154D" w:rsidRPr="004535FA" w14:paraId="46E71363"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2052078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HyCARE</w:t>
            </w:r>
          </w:p>
        </w:tc>
        <w:tc>
          <w:tcPr>
            <w:tcW w:w="0" w:type="auto"/>
            <w:tcBorders>
              <w:top w:val="nil"/>
              <w:left w:val="nil"/>
              <w:bottom w:val="single" w:sz="4" w:space="0" w:color="DDDDDD"/>
              <w:right w:val="single" w:sz="4" w:space="0" w:color="DDDDDD"/>
            </w:tcBorders>
            <w:shd w:val="clear" w:color="FFFFFF" w:fill="FFFFFF"/>
            <w:noWrap/>
            <w:vAlign w:val="bottom"/>
            <w:hideMark/>
          </w:tcPr>
          <w:p w14:paraId="05F691F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OTHER</w:t>
            </w:r>
          </w:p>
        </w:tc>
        <w:tc>
          <w:tcPr>
            <w:tcW w:w="0" w:type="auto"/>
            <w:tcBorders>
              <w:top w:val="nil"/>
              <w:left w:val="nil"/>
              <w:bottom w:val="single" w:sz="4" w:space="0" w:color="DDDDDD"/>
              <w:right w:val="single" w:sz="4" w:space="0" w:color="DDDDDD"/>
            </w:tcBorders>
            <w:shd w:val="clear" w:color="FFFFFF" w:fill="FFFFFF"/>
            <w:noWrap/>
            <w:vAlign w:val="bottom"/>
            <w:hideMark/>
          </w:tcPr>
          <w:p w14:paraId="5F4B849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Optimized alloy composition</w:t>
            </w:r>
          </w:p>
        </w:tc>
        <w:tc>
          <w:tcPr>
            <w:tcW w:w="0" w:type="auto"/>
            <w:tcBorders>
              <w:top w:val="nil"/>
              <w:left w:val="nil"/>
              <w:bottom w:val="single" w:sz="4" w:space="0" w:color="DDDDDD"/>
              <w:right w:val="single" w:sz="4" w:space="0" w:color="DDDDDD"/>
            </w:tcBorders>
            <w:shd w:val="clear" w:color="FFFFFF" w:fill="FFFFFF"/>
            <w:noWrap/>
            <w:vAlign w:val="bottom"/>
            <w:hideMark/>
          </w:tcPr>
          <w:p w14:paraId="6F2B052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10.5281/zenodo.3712826</w:t>
            </w:r>
          </w:p>
        </w:tc>
        <w:tc>
          <w:tcPr>
            <w:tcW w:w="0" w:type="auto"/>
            <w:tcBorders>
              <w:top w:val="nil"/>
              <w:left w:val="nil"/>
              <w:bottom w:val="single" w:sz="4" w:space="0" w:color="DDDDDD"/>
              <w:right w:val="single" w:sz="4" w:space="0" w:color="DDDDDD"/>
            </w:tcBorders>
            <w:shd w:val="clear" w:color="FFFFFF" w:fill="FFFFFF"/>
            <w:noWrap/>
            <w:vAlign w:val="bottom"/>
            <w:hideMark/>
          </w:tcPr>
          <w:p w14:paraId="607170A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7AFB753B" w14:textId="77777777" w:rsidR="00BD154D" w:rsidRPr="00F07F7C" w:rsidRDefault="00BD154D" w:rsidP="00DF2591">
            <w:pPr>
              <w:spacing w:after="0" w:line="240" w:lineRule="auto"/>
              <w:rPr>
                <w:rFonts w:ascii="Arial" w:eastAsia="Times New Roman" w:hAnsi="Arial" w:cs="Arial"/>
                <w:color w:val="333333"/>
                <w:sz w:val="12"/>
                <w:szCs w:val="12"/>
                <w:lang w:val="fr-BE" w:eastAsia="en-GB"/>
              </w:rPr>
            </w:pPr>
            <w:r w:rsidRPr="00F07F7C">
              <w:rPr>
                <w:rFonts w:ascii="Arial" w:eastAsia="Times New Roman" w:hAnsi="Arial" w:cs="Arial"/>
                <w:color w:val="333333"/>
                <w:sz w:val="12"/>
                <w:szCs w:val="12"/>
                <w:lang w:val="fr-BE" w:eastAsia="en-GB"/>
              </w:rPr>
              <w:t xml:space="preserve">Erika Michela </w:t>
            </w:r>
            <w:proofErr w:type="gramStart"/>
            <w:r w:rsidRPr="00F07F7C">
              <w:rPr>
                <w:rFonts w:ascii="Arial" w:eastAsia="Times New Roman" w:hAnsi="Arial" w:cs="Arial"/>
                <w:color w:val="333333"/>
                <w:sz w:val="12"/>
                <w:szCs w:val="12"/>
                <w:lang w:val="fr-BE" w:eastAsia="en-GB"/>
              </w:rPr>
              <w:t>Dematteis;</w:t>
            </w:r>
            <w:proofErr w:type="gramEnd"/>
            <w:r w:rsidRPr="00F07F7C">
              <w:rPr>
                <w:rFonts w:ascii="Arial" w:eastAsia="Times New Roman" w:hAnsi="Arial" w:cs="Arial"/>
                <w:color w:val="333333"/>
                <w:sz w:val="12"/>
                <w:szCs w:val="12"/>
                <w:lang w:val="fr-BE" w:eastAsia="en-GB"/>
              </w:rPr>
              <w:t xml:space="preserve"> Fermin Cuevas; Michel Latroche</w:t>
            </w:r>
          </w:p>
        </w:tc>
        <w:tc>
          <w:tcPr>
            <w:tcW w:w="0" w:type="auto"/>
            <w:tcBorders>
              <w:top w:val="nil"/>
              <w:left w:val="nil"/>
              <w:bottom w:val="single" w:sz="4" w:space="0" w:color="DDDDDD"/>
              <w:right w:val="single" w:sz="4" w:space="0" w:color="DDDDDD"/>
            </w:tcBorders>
            <w:shd w:val="clear" w:color="FFFFFF" w:fill="FFFFFF"/>
            <w:noWrap/>
            <w:vAlign w:val="bottom"/>
            <w:hideMark/>
          </w:tcPr>
          <w:p w14:paraId="1BCD4BFA" w14:textId="77777777" w:rsidR="00BD154D" w:rsidRPr="00F07F7C" w:rsidRDefault="00BD154D" w:rsidP="00DF2591">
            <w:pPr>
              <w:spacing w:after="0" w:line="240" w:lineRule="auto"/>
              <w:rPr>
                <w:rFonts w:ascii="Arial" w:eastAsia="Times New Roman" w:hAnsi="Arial" w:cs="Arial"/>
                <w:color w:val="333333"/>
                <w:sz w:val="12"/>
                <w:szCs w:val="12"/>
                <w:lang w:val="fr-BE" w:eastAsia="en-GB"/>
              </w:rPr>
            </w:pPr>
            <w:r w:rsidRPr="00F07F7C">
              <w:rPr>
                <w:rFonts w:ascii="Arial" w:eastAsia="Times New Roman" w:hAnsi="Arial" w:cs="Arial"/>
                <w:color w:val="333333"/>
                <w:sz w:val="12"/>
                <w:szCs w:val="12"/>
                <w:lang w:val="fr-BE"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2DE86CE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w:t>
            </w:r>
          </w:p>
        </w:tc>
        <w:tc>
          <w:tcPr>
            <w:tcW w:w="0" w:type="auto"/>
            <w:tcBorders>
              <w:top w:val="nil"/>
              <w:left w:val="nil"/>
              <w:bottom w:val="single" w:sz="4" w:space="0" w:color="DDDDDD"/>
              <w:right w:val="single" w:sz="4" w:space="0" w:color="DDDDDD"/>
            </w:tcBorders>
            <w:shd w:val="clear" w:color="FFFFFF" w:fill="FFFFFF"/>
            <w:noWrap/>
            <w:vAlign w:val="bottom"/>
            <w:hideMark/>
          </w:tcPr>
          <w:p w14:paraId="48A6541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Zenodo</w:t>
            </w:r>
          </w:p>
        </w:tc>
        <w:tc>
          <w:tcPr>
            <w:tcW w:w="0" w:type="auto"/>
            <w:tcBorders>
              <w:top w:val="nil"/>
              <w:left w:val="nil"/>
              <w:bottom w:val="single" w:sz="4" w:space="0" w:color="DDDDDD"/>
              <w:right w:val="single" w:sz="4" w:space="0" w:color="DDDDDD"/>
            </w:tcBorders>
            <w:shd w:val="clear" w:color="FFFFFF" w:fill="FFFFFF"/>
            <w:noWrap/>
            <w:vAlign w:val="bottom"/>
            <w:hideMark/>
          </w:tcPr>
          <w:p w14:paraId="2FF4304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Zenodo</w:t>
            </w:r>
          </w:p>
        </w:tc>
        <w:tc>
          <w:tcPr>
            <w:tcW w:w="0" w:type="auto"/>
            <w:tcBorders>
              <w:top w:val="nil"/>
              <w:left w:val="nil"/>
              <w:bottom w:val="single" w:sz="4" w:space="0" w:color="DDDDDD"/>
              <w:right w:val="single" w:sz="4" w:space="0" w:color="DDDDDD"/>
            </w:tcBorders>
            <w:shd w:val="clear" w:color="FFFFFF" w:fill="FFFFFF"/>
            <w:noWrap/>
            <w:vAlign w:val="bottom"/>
            <w:hideMark/>
          </w:tcPr>
          <w:p w14:paraId="45EDB3D1"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2020</w:t>
            </w:r>
          </w:p>
        </w:tc>
        <w:tc>
          <w:tcPr>
            <w:tcW w:w="0" w:type="auto"/>
            <w:tcBorders>
              <w:top w:val="nil"/>
              <w:left w:val="nil"/>
              <w:bottom w:val="single" w:sz="4" w:space="0" w:color="DDDDDD"/>
              <w:right w:val="single" w:sz="4" w:space="0" w:color="DDDDDD"/>
            </w:tcBorders>
            <w:shd w:val="clear" w:color="FFFFFF" w:fill="FFFFFF"/>
            <w:noWrap/>
            <w:vAlign w:val="bottom"/>
            <w:hideMark/>
          </w:tcPr>
          <w:p w14:paraId="4B183B7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7BADCBD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5573181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3B6FB10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https://dx.doi.org/10.5281/zenodo.3712826</w:t>
            </w:r>
          </w:p>
        </w:tc>
      </w:tr>
      <w:tr w:rsidR="00BD154D" w:rsidRPr="004535FA" w14:paraId="2F935A8B"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29DF9F7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HyCARE</w:t>
            </w:r>
          </w:p>
        </w:tc>
        <w:tc>
          <w:tcPr>
            <w:tcW w:w="0" w:type="auto"/>
            <w:tcBorders>
              <w:top w:val="nil"/>
              <w:left w:val="nil"/>
              <w:bottom w:val="single" w:sz="4" w:space="0" w:color="DDDDDD"/>
              <w:right w:val="single" w:sz="4" w:space="0" w:color="DDDDDD"/>
            </w:tcBorders>
            <w:shd w:val="clear" w:color="FFFFFF" w:fill="FFFFFF"/>
            <w:noWrap/>
            <w:vAlign w:val="bottom"/>
            <w:hideMark/>
          </w:tcPr>
          <w:p w14:paraId="02F69F8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OTHER</w:t>
            </w:r>
          </w:p>
        </w:tc>
        <w:tc>
          <w:tcPr>
            <w:tcW w:w="0" w:type="auto"/>
            <w:tcBorders>
              <w:top w:val="nil"/>
              <w:left w:val="nil"/>
              <w:bottom w:val="single" w:sz="4" w:space="0" w:color="DDDDDD"/>
              <w:right w:val="single" w:sz="4" w:space="0" w:color="DDDDDD"/>
            </w:tcBorders>
            <w:shd w:val="clear" w:color="FFFFFF" w:fill="FFFFFF"/>
            <w:noWrap/>
            <w:vAlign w:val="bottom"/>
            <w:hideMark/>
          </w:tcPr>
          <w:p w14:paraId="4A5205E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Processing parameters</w:t>
            </w:r>
          </w:p>
        </w:tc>
        <w:tc>
          <w:tcPr>
            <w:tcW w:w="0" w:type="auto"/>
            <w:tcBorders>
              <w:top w:val="nil"/>
              <w:left w:val="nil"/>
              <w:bottom w:val="single" w:sz="4" w:space="0" w:color="DDDDDD"/>
              <w:right w:val="single" w:sz="4" w:space="0" w:color="DDDDDD"/>
            </w:tcBorders>
            <w:shd w:val="clear" w:color="FFFFFF" w:fill="FFFFFF"/>
            <w:noWrap/>
            <w:vAlign w:val="bottom"/>
            <w:hideMark/>
          </w:tcPr>
          <w:p w14:paraId="47BA752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10.5281/zenodo.3712858</w:t>
            </w:r>
          </w:p>
        </w:tc>
        <w:tc>
          <w:tcPr>
            <w:tcW w:w="0" w:type="auto"/>
            <w:tcBorders>
              <w:top w:val="nil"/>
              <w:left w:val="nil"/>
              <w:bottom w:val="single" w:sz="4" w:space="0" w:color="DDDDDD"/>
              <w:right w:val="single" w:sz="4" w:space="0" w:color="DDDDDD"/>
            </w:tcBorders>
            <w:shd w:val="clear" w:color="FFFFFF" w:fill="FFFFFF"/>
            <w:noWrap/>
            <w:vAlign w:val="bottom"/>
            <w:hideMark/>
          </w:tcPr>
          <w:p w14:paraId="572CFCA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73E6A328" w14:textId="77777777" w:rsidR="00BD154D" w:rsidRPr="00F07F7C" w:rsidRDefault="00BD154D" w:rsidP="00DF2591">
            <w:pPr>
              <w:spacing w:after="0" w:line="240" w:lineRule="auto"/>
              <w:rPr>
                <w:rFonts w:ascii="Arial" w:eastAsia="Times New Roman" w:hAnsi="Arial" w:cs="Arial"/>
                <w:color w:val="333333"/>
                <w:sz w:val="12"/>
                <w:szCs w:val="12"/>
                <w:lang w:val="fr-BE" w:eastAsia="en-GB"/>
              </w:rPr>
            </w:pPr>
            <w:r w:rsidRPr="00F07F7C">
              <w:rPr>
                <w:rFonts w:ascii="Arial" w:eastAsia="Times New Roman" w:hAnsi="Arial" w:cs="Arial"/>
                <w:color w:val="333333"/>
                <w:sz w:val="12"/>
                <w:szCs w:val="12"/>
                <w:lang w:val="fr-BE" w:eastAsia="en-GB"/>
              </w:rPr>
              <w:t xml:space="preserve">Dematteis, Erika </w:t>
            </w:r>
            <w:proofErr w:type="gramStart"/>
            <w:r w:rsidRPr="00F07F7C">
              <w:rPr>
                <w:rFonts w:ascii="Arial" w:eastAsia="Times New Roman" w:hAnsi="Arial" w:cs="Arial"/>
                <w:color w:val="333333"/>
                <w:sz w:val="12"/>
                <w:szCs w:val="12"/>
                <w:lang w:val="fr-BE" w:eastAsia="en-GB"/>
              </w:rPr>
              <w:t>Michela;</w:t>
            </w:r>
            <w:proofErr w:type="gramEnd"/>
            <w:r w:rsidRPr="00F07F7C">
              <w:rPr>
                <w:rFonts w:ascii="Arial" w:eastAsia="Times New Roman" w:hAnsi="Arial" w:cs="Arial"/>
                <w:color w:val="333333"/>
                <w:sz w:val="12"/>
                <w:szCs w:val="12"/>
                <w:lang w:val="fr-BE" w:eastAsia="en-GB"/>
              </w:rPr>
              <w:t xml:space="preserve"> Cuevas, Fermin; Latroche, Michel</w:t>
            </w:r>
          </w:p>
        </w:tc>
        <w:tc>
          <w:tcPr>
            <w:tcW w:w="0" w:type="auto"/>
            <w:tcBorders>
              <w:top w:val="nil"/>
              <w:left w:val="nil"/>
              <w:bottom w:val="single" w:sz="4" w:space="0" w:color="DDDDDD"/>
              <w:right w:val="single" w:sz="4" w:space="0" w:color="DDDDDD"/>
            </w:tcBorders>
            <w:shd w:val="clear" w:color="FFFFFF" w:fill="FFFFFF"/>
            <w:noWrap/>
            <w:vAlign w:val="bottom"/>
            <w:hideMark/>
          </w:tcPr>
          <w:p w14:paraId="720E30B6" w14:textId="77777777" w:rsidR="00BD154D" w:rsidRPr="00F07F7C" w:rsidRDefault="00BD154D" w:rsidP="00DF2591">
            <w:pPr>
              <w:spacing w:after="0" w:line="240" w:lineRule="auto"/>
              <w:rPr>
                <w:rFonts w:ascii="Arial" w:eastAsia="Times New Roman" w:hAnsi="Arial" w:cs="Arial"/>
                <w:color w:val="333333"/>
                <w:sz w:val="12"/>
                <w:szCs w:val="12"/>
                <w:lang w:val="fr-BE" w:eastAsia="en-GB"/>
              </w:rPr>
            </w:pPr>
            <w:r w:rsidRPr="00F07F7C">
              <w:rPr>
                <w:rFonts w:ascii="Arial" w:eastAsia="Times New Roman" w:hAnsi="Arial" w:cs="Arial"/>
                <w:color w:val="333333"/>
                <w:sz w:val="12"/>
                <w:szCs w:val="12"/>
                <w:lang w:val="fr-BE"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256FA7A3" w14:textId="77777777" w:rsidR="00BD154D" w:rsidRPr="00F07F7C" w:rsidRDefault="00BD154D" w:rsidP="00DF2591">
            <w:pPr>
              <w:spacing w:after="0" w:line="240" w:lineRule="auto"/>
              <w:rPr>
                <w:rFonts w:ascii="Arial" w:eastAsia="Times New Roman" w:hAnsi="Arial" w:cs="Arial"/>
                <w:color w:val="333333"/>
                <w:sz w:val="12"/>
                <w:szCs w:val="12"/>
                <w:lang w:val="fr-BE" w:eastAsia="en-GB"/>
              </w:rPr>
            </w:pPr>
            <w:r w:rsidRPr="00F07F7C">
              <w:rPr>
                <w:rFonts w:ascii="Arial" w:eastAsia="Times New Roman" w:hAnsi="Arial" w:cs="Arial"/>
                <w:color w:val="333333"/>
                <w:sz w:val="12"/>
                <w:szCs w:val="12"/>
                <w:lang w:val="fr-BE"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477ED2E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Zenodo</w:t>
            </w:r>
          </w:p>
        </w:tc>
        <w:tc>
          <w:tcPr>
            <w:tcW w:w="0" w:type="auto"/>
            <w:tcBorders>
              <w:top w:val="nil"/>
              <w:left w:val="nil"/>
              <w:bottom w:val="single" w:sz="4" w:space="0" w:color="DDDDDD"/>
              <w:right w:val="single" w:sz="4" w:space="0" w:color="DDDDDD"/>
            </w:tcBorders>
            <w:shd w:val="clear" w:color="FFFFFF" w:fill="FFFFFF"/>
            <w:noWrap/>
            <w:vAlign w:val="bottom"/>
            <w:hideMark/>
          </w:tcPr>
          <w:p w14:paraId="676D0A8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Zenodo</w:t>
            </w:r>
          </w:p>
        </w:tc>
        <w:tc>
          <w:tcPr>
            <w:tcW w:w="0" w:type="auto"/>
            <w:tcBorders>
              <w:top w:val="nil"/>
              <w:left w:val="nil"/>
              <w:bottom w:val="single" w:sz="4" w:space="0" w:color="DDDDDD"/>
              <w:right w:val="single" w:sz="4" w:space="0" w:color="DDDDDD"/>
            </w:tcBorders>
            <w:shd w:val="clear" w:color="FFFFFF" w:fill="FFFFFF"/>
            <w:noWrap/>
            <w:vAlign w:val="bottom"/>
            <w:hideMark/>
          </w:tcPr>
          <w:p w14:paraId="5D3ADD59"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2020</w:t>
            </w:r>
          </w:p>
        </w:tc>
        <w:tc>
          <w:tcPr>
            <w:tcW w:w="0" w:type="auto"/>
            <w:tcBorders>
              <w:top w:val="nil"/>
              <w:left w:val="nil"/>
              <w:bottom w:val="single" w:sz="4" w:space="0" w:color="DDDDDD"/>
              <w:right w:val="single" w:sz="4" w:space="0" w:color="DDDDDD"/>
            </w:tcBorders>
            <w:shd w:val="clear" w:color="FFFFFF" w:fill="FFFFFF"/>
            <w:noWrap/>
            <w:vAlign w:val="bottom"/>
            <w:hideMark/>
          </w:tcPr>
          <w:p w14:paraId="364A918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65BD94A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34FB9AE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3371CB5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https://zenodo.org/record/3712858</w:t>
            </w:r>
          </w:p>
        </w:tc>
      </w:tr>
      <w:tr w:rsidR="00BD154D" w:rsidRPr="004535FA" w14:paraId="0667D906"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4305635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HyCARE</w:t>
            </w:r>
          </w:p>
        </w:tc>
        <w:tc>
          <w:tcPr>
            <w:tcW w:w="0" w:type="auto"/>
            <w:tcBorders>
              <w:top w:val="nil"/>
              <w:left w:val="nil"/>
              <w:bottom w:val="single" w:sz="4" w:space="0" w:color="DDDDDD"/>
              <w:right w:val="single" w:sz="4" w:space="0" w:color="DDDDDD"/>
            </w:tcBorders>
            <w:shd w:val="clear" w:color="FFFFFF" w:fill="FFFFFF"/>
            <w:noWrap/>
            <w:vAlign w:val="bottom"/>
            <w:hideMark/>
          </w:tcPr>
          <w:p w14:paraId="40C08FB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OTHER</w:t>
            </w:r>
          </w:p>
        </w:tc>
        <w:tc>
          <w:tcPr>
            <w:tcW w:w="0" w:type="auto"/>
            <w:tcBorders>
              <w:top w:val="nil"/>
              <w:left w:val="nil"/>
              <w:bottom w:val="single" w:sz="4" w:space="0" w:color="DDDDDD"/>
              <w:right w:val="single" w:sz="4" w:space="0" w:color="DDDDDD"/>
            </w:tcBorders>
            <w:shd w:val="clear" w:color="FFFFFF" w:fill="FFFFFF"/>
            <w:noWrap/>
            <w:vAlign w:val="bottom"/>
            <w:hideMark/>
          </w:tcPr>
          <w:p w14:paraId="36573A0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Selected alloy characterisation</w:t>
            </w:r>
          </w:p>
        </w:tc>
        <w:tc>
          <w:tcPr>
            <w:tcW w:w="0" w:type="auto"/>
            <w:tcBorders>
              <w:top w:val="nil"/>
              <w:left w:val="nil"/>
              <w:bottom w:val="single" w:sz="4" w:space="0" w:color="DDDDDD"/>
              <w:right w:val="single" w:sz="4" w:space="0" w:color="DDDDDD"/>
            </w:tcBorders>
            <w:shd w:val="clear" w:color="FFFFFF" w:fill="FFFFFF"/>
            <w:noWrap/>
            <w:vAlign w:val="bottom"/>
            <w:hideMark/>
          </w:tcPr>
          <w:p w14:paraId="4B59D56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10.5281/zenodo.3712849</w:t>
            </w:r>
          </w:p>
        </w:tc>
        <w:tc>
          <w:tcPr>
            <w:tcW w:w="0" w:type="auto"/>
            <w:tcBorders>
              <w:top w:val="nil"/>
              <w:left w:val="nil"/>
              <w:bottom w:val="single" w:sz="4" w:space="0" w:color="DDDDDD"/>
              <w:right w:val="single" w:sz="4" w:space="0" w:color="DDDDDD"/>
            </w:tcBorders>
            <w:shd w:val="clear" w:color="FFFFFF" w:fill="FFFFFF"/>
            <w:noWrap/>
            <w:vAlign w:val="bottom"/>
            <w:hideMark/>
          </w:tcPr>
          <w:p w14:paraId="505C35A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7C83C0E0" w14:textId="77777777" w:rsidR="00BD154D" w:rsidRPr="00F07F7C" w:rsidRDefault="00BD154D" w:rsidP="00DF2591">
            <w:pPr>
              <w:spacing w:after="0" w:line="240" w:lineRule="auto"/>
              <w:rPr>
                <w:rFonts w:ascii="Arial" w:eastAsia="Times New Roman" w:hAnsi="Arial" w:cs="Arial"/>
                <w:color w:val="333333"/>
                <w:sz w:val="12"/>
                <w:szCs w:val="12"/>
                <w:lang w:val="fr-BE" w:eastAsia="en-GB"/>
              </w:rPr>
            </w:pPr>
            <w:r w:rsidRPr="00F07F7C">
              <w:rPr>
                <w:rFonts w:ascii="Arial" w:eastAsia="Times New Roman" w:hAnsi="Arial" w:cs="Arial"/>
                <w:color w:val="333333"/>
                <w:sz w:val="12"/>
                <w:szCs w:val="12"/>
                <w:lang w:val="fr-BE" w:eastAsia="en-GB"/>
              </w:rPr>
              <w:t xml:space="preserve">Dematteis, Erika </w:t>
            </w:r>
            <w:proofErr w:type="gramStart"/>
            <w:r w:rsidRPr="00F07F7C">
              <w:rPr>
                <w:rFonts w:ascii="Arial" w:eastAsia="Times New Roman" w:hAnsi="Arial" w:cs="Arial"/>
                <w:color w:val="333333"/>
                <w:sz w:val="12"/>
                <w:szCs w:val="12"/>
                <w:lang w:val="fr-BE" w:eastAsia="en-GB"/>
              </w:rPr>
              <w:t>Michela;</w:t>
            </w:r>
            <w:proofErr w:type="gramEnd"/>
            <w:r w:rsidRPr="00F07F7C">
              <w:rPr>
                <w:rFonts w:ascii="Arial" w:eastAsia="Times New Roman" w:hAnsi="Arial" w:cs="Arial"/>
                <w:color w:val="333333"/>
                <w:sz w:val="12"/>
                <w:szCs w:val="12"/>
                <w:lang w:val="fr-BE" w:eastAsia="en-GB"/>
              </w:rPr>
              <w:t xml:space="preserve"> Cuevas, Fermin; Latroche, Michel</w:t>
            </w:r>
          </w:p>
        </w:tc>
        <w:tc>
          <w:tcPr>
            <w:tcW w:w="0" w:type="auto"/>
            <w:tcBorders>
              <w:top w:val="nil"/>
              <w:left w:val="nil"/>
              <w:bottom w:val="single" w:sz="4" w:space="0" w:color="DDDDDD"/>
              <w:right w:val="single" w:sz="4" w:space="0" w:color="DDDDDD"/>
            </w:tcBorders>
            <w:shd w:val="clear" w:color="FFFFFF" w:fill="FFFFFF"/>
            <w:noWrap/>
            <w:vAlign w:val="bottom"/>
            <w:hideMark/>
          </w:tcPr>
          <w:p w14:paraId="658B56D2" w14:textId="77777777" w:rsidR="00BD154D" w:rsidRPr="00F07F7C" w:rsidRDefault="00BD154D" w:rsidP="00DF2591">
            <w:pPr>
              <w:spacing w:after="0" w:line="240" w:lineRule="auto"/>
              <w:rPr>
                <w:rFonts w:ascii="Arial" w:eastAsia="Times New Roman" w:hAnsi="Arial" w:cs="Arial"/>
                <w:color w:val="333333"/>
                <w:sz w:val="12"/>
                <w:szCs w:val="12"/>
                <w:lang w:val="fr-BE" w:eastAsia="en-GB"/>
              </w:rPr>
            </w:pPr>
            <w:r w:rsidRPr="00F07F7C">
              <w:rPr>
                <w:rFonts w:ascii="Arial" w:eastAsia="Times New Roman" w:hAnsi="Arial" w:cs="Arial"/>
                <w:color w:val="333333"/>
                <w:sz w:val="12"/>
                <w:szCs w:val="12"/>
                <w:lang w:val="fr-BE"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2D8EA37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w:t>
            </w:r>
          </w:p>
        </w:tc>
        <w:tc>
          <w:tcPr>
            <w:tcW w:w="0" w:type="auto"/>
            <w:tcBorders>
              <w:top w:val="nil"/>
              <w:left w:val="nil"/>
              <w:bottom w:val="single" w:sz="4" w:space="0" w:color="DDDDDD"/>
              <w:right w:val="single" w:sz="4" w:space="0" w:color="DDDDDD"/>
            </w:tcBorders>
            <w:shd w:val="clear" w:color="FFFFFF" w:fill="FFFFFF"/>
            <w:noWrap/>
            <w:vAlign w:val="bottom"/>
            <w:hideMark/>
          </w:tcPr>
          <w:p w14:paraId="5421B24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Zenodo</w:t>
            </w:r>
          </w:p>
        </w:tc>
        <w:tc>
          <w:tcPr>
            <w:tcW w:w="0" w:type="auto"/>
            <w:tcBorders>
              <w:top w:val="nil"/>
              <w:left w:val="nil"/>
              <w:bottom w:val="single" w:sz="4" w:space="0" w:color="DDDDDD"/>
              <w:right w:val="single" w:sz="4" w:space="0" w:color="DDDDDD"/>
            </w:tcBorders>
            <w:shd w:val="clear" w:color="FFFFFF" w:fill="FFFFFF"/>
            <w:noWrap/>
            <w:vAlign w:val="bottom"/>
            <w:hideMark/>
          </w:tcPr>
          <w:p w14:paraId="2BC1CB9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Zenodo</w:t>
            </w:r>
          </w:p>
        </w:tc>
        <w:tc>
          <w:tcPr>
            <w:tcW w:w="0" w:type="auto"/>
            <w:tcBorders>
              <w:top w:val="nil"/>
              <w:left w:val="nil"/>
              <w:bottom w:val="single" w:sz="4" w:space="0" w:color="DDDDDD"/>
              <w:right w:val="single" w:sz="4" w:space="0" w:color="DDDDDD"/>
            </w:tcBorders>
            <w:shd w:val="clear" w:color="FFFFFF" w:fill="FFFFFF"/>
            <w:noWrap/>
            <w:vAlign w:val="bottom"/>
            <w:hideMark/>
          </w:tcPr>
          <w:p w14:paraId="44ABA88F"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2020</w:t>
            </w:r>
          </w:p>
        </w:tc>
        <w:tc>
          <w:tcPr>
            <w:tcW w:w="0" w:type="auto"/>
            <w:tcBorders>
              <w:top w:val="nil"/>
              <w:left w:val="nil"/>
              <w:bottom w:val="single" w:sz="4" w:space="0" w:color="DDDDDD"/>
              <w:right w:val="single" w:sz="4" w:space="0" w:color="DDDDDD"/>
            </w:tcBorders>
            <w:shd w:val="clear" w:color="FFFFFF" w:fill="FFFFFF"/>
            <w:noWrap/>
            <w:vAlign w:val="bottom"/>
            <w:hideMark/>
          </w:tcPr>
          <w:p w14:paraId="086E4DD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0AAD0D6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2BE8935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1468754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https://dx.doi.org/10.5281/zenodo.3712849</w:t>
            </w:r>
          </w:p>
        </w:tc>
      </w:tr>
      <w:tr w:rsidR="00BD154D" w:rsidRPr="004535FA" w14:paraId="34DC3543"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58FD5F7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HyCARE</w:t>
            </w:r>
          </w:p>
        </w:tc>
        <w:tc>
          <w:tcPr>
            <w:tcW w:w="0" w:type="auto"/>
            <w:tcBorders>
              <w:top w:val="nil"/>
              <w:left w:val="nil"/>
              <w:bottom w:val="single" w:sz="4" w:space="0" w:color="DDDDDD"/>
              <w:right w:val="single" w:sz="4" w:space="0" w:color="DDDDDD"/>
            </w:tcBorders>
            <w:shd w:val="clear" w:color="FFFFFF" w:fill="FFFFFF"/>
            <w:noWrap/>
            <w:vAlign w:val="bottom"/>
            <w:hideMark/>
          </w:tcPr>
          <w:p w14:paraId="0B436EF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w:t>
            </w:r>
            <w:r w:rsidRPr="00F07F7C">
              <w:rPr>
                <w:rFonts w:ascii="Arial" w:eastAsia="Times New Roman" w:hAnsi="Arial" w:cs="Arial"/>
                <w:color w:val="333333"/>
                <w:sz w:val="12"/>
                <w:szCs w:val="12"/>
                <w:lang w:eastAsia="en-GB"/>
              </w:rPr>
              <w:lastRenderedPageBreak/>
              <w: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35047EF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lastRenderedPageBreak/>
              <w:t>Fundamental hydrogen storage properties of TiFe-alloy with partial substitution of Fe by Ti and Mn</w:t>
            </w:r>
          </w:p>
        </w:tc>
        <w:tc>
          <w:tcPr>
            <w:tcW w:w="0" w:type="auto"/>
            <w:tcBorders>
              <w:top w:val="nil"/>
              <w:left w:val="nil"/>
              <w:bottom w:val="single" w:sz="4" w:space="0" w:color="DDDDDD"/>
              <w:right w:val="single" w:sz="4" w:space="0" w:color="DDDDDD"/>
            </w:tcBorders>
            <w:shd w:val="clear" w:color="FFFFFF" w:fill="FFFFFF"/>
            <w:noWrap/>
            <w:vAlign w:val="bottom"/>
            <w:hideMark/>
          </w:tcPr>
          <w:p w14:paraId="08880BB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10.1016/j.jallcom.2021.159925</w:t>
            </w:r>
          </w:p>
        </w:tc>
        <w:tc>
          <w:tcPr>
            <w:tcW w:w="0" w:type="auto"/>
            <w:tcBorders>
              <w:top w:val="nil"/>
              <w:left w:val="nil"/>
              <w:bottom w:val="single" w:sz="4" w:space="0" w:color="DDDDDD"/>
              <w:right w:val="single" w:sz="4" w:space="0" w:color="DDDDDD"/>
            </w:tcBorders>
            <w:shd w:val="clear" w:color="FFFFFF" w:fill="FFFFFF"/>
            <w:noWrap/>
            <w:vAlign w:val="bottom"/>
            <w:hideMark/>
          </w:tcPr>
          <w:p w14:paraId="663675F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0925-8388</w:t>
            </w:r>
          </w:p>
        </w:tc>
        <w:tc>
          <w:tcPr>
            <w:tcW w:w="0" w:type="auto"/>
            <w:tcBorders>
              <w:top w:val="nil"/>
              <w:left w:val="nil"/>
              <w:bottom w:val="single" w:sz="4" w:space="0" w:color="DDDDDD"/>
              <w:right w:val="single" w:sz="4" w:space="0" w:color="DDDDDD"/>
            </w:tcBorders>
            <w:shd w:val="clear" w:color="FFFFFF" w:fill="FFFFFF"/>
            <w:noWrap/>
            <w:vAlign w:val="bottom"/>
            <w:hideMark/>
          </w:tcPr>
          <w:p w14:paraId="5257B887" w14:textId="77777777" w:rsidR="00BD154D" w:rsidRPr="00A60794" w:rsidRDefault="00BD154D" w:rsidP="00DF2591">
            <w:pPr>
              <w:spacing w:after="0" w:line="240" w:lineRule="auto"/>
              <w:rPr>
                <w:rFonts w:ascii="Arial" w:eastAsia="Times New Roman" w:hAnsi="Arial" w:cs="Arial"/>
                <w:color w:val="333333"/>
                <w:sz w:val="12"/>
                <w:szCs w:val="12"/>
                <w:lang w:val="es-ES" w:eastAsia="en-GB"/>
              </w:rPr>
            </w:pPr>
            <w:r w:rsidRPr="00A60794">
              <w:rPr>
                <w:rFonts w:ascii="Arial" w:eastAsia="Times New Roman" w:hAnsi="Arial" w:cs="Arial"/>
                <w:color w:val="333333"/>
                <w:sz w:val="12"/>
                <w:szCs w:val="12"/>
                <w:lang w:val="es-ES" w:eastAsia="en-GB"/>
              </w:rPr>
              <w:t>Erika Michela Dematteis; David Michael Dreistadt; Giovanni Capurso; Julian Jepsen; Julian Jepsen; Fermin Cuevas; Michel Latroche</w:t>
            </w:r>
          </w:p>
        </w:tc>
        <w:tc>
          <w:tcPr>
            <w:tcW w:w="0" w:type="auto"/>
            <w:tcBorders>
              <w:top w:val="nil"/>
              <w:left w:val="nil"/>
              <w:bottom w:val="single" w:sz="4" w:space="0" w:color="DDDDDD"/>
              <w:right w:val="single" w:sz="4" w:space="0" w:color="DDDDDD"/>
            </w:tcBorders>
            <w:shd w:val="clear" w:color="FFFFFF" w:fill="FFFFFF"/>
            <w:noWrap/>
            <w:vAlign w:val="bottom"/>
            <w:hideMark/>
          </w:tcPr>
          <w:p w14:paraId="0A4EF74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Journal of Alloys and Compounds</w:t>
            </w:r>
          </w:p>
        </w:tc>
        <w:tc>
          <w:tcPr>
            <w:tcW w:w="0" w:type="auto"/>
            <w:tcBorders>
              <w:top w:val="nil"/>
              <w:left w:val="nil"/>
              <w:bottom w:val="single" w:sz="4" w:space="0" w:color="DDDDDD"/>
              <w:right w:val="single" w:sz="4" w:space="0" w:color="DDDDDD"/>
            </w:tcBorders>
            <w:shd w:val="clear" w:color="FFFFFF" w:fill="FFFFFF"/>
            <w:noWrap/>
            <w:vAlign w:val="bottom"/>
            <w:hideMark/>
          </w:tcPr>
          <w:p w14:paraId="1271F9C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8</w:t>
            </w:r>
          </w:p>
        </w:tc>
        <w:tc>
          <w:tcPr>
            <w:tcW w:w="0" w:type="auto"/>
            <w:tcBorders>
              <w:top w:val="nil"/>
              <w:left w:val="nil"/>
              <w:bottom w:val="single" w:sz="4" w:space="0" w:color="DDDDDD"/>
              <w:right w:val="single" w:sz="4" w:space="0" w:color="DDDDDD"/>
            </w:tcBorders>
            <w:shd w:val="clear" w:color="FFFFFF" w:fill="FFFFFF"/>
            <w:noWrap/>
            <w:vAlign w:val="bottom"/>
            <w:hideMark/>
          </w:tcPr>
          <w:p w14:paraId="3988E31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Elsevier BV</w:t>
            </w:r>
          </w:p>
        </w:tc>
        <w:tc>
          <w:tcPr>
            <w:tcW w:w="0" w:type="auto"/>
            <w:tcBorders>
              <w:top w:val="nil"/>
              <w:left w:val="nil"/>
              <w:bottom w:val="single" w:sz="4" w:space="0" w:color="DDDDDD"/>
              <w:right w:val="single" w:sz="4" w:space="0" w:color="DDDDDD"/>
            </w:tcBorders>
            <w:shd w:val="clear" w:color="FFFFFF" w:fill="FFFFFF"/>
            <w:noWrap/>
            <w:vAlign w:val="bottom"/>
            <w:hideMark/>
          </w:tcPr>
          <w:p w14:paraId="537DF83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Netherlands</w:t>
            </w:r>
          </w:p>
        </w:tc>
        <w:tc>
          <w:tcPr>
            <w:tcW w:w="0" w:type="auto"/>
            <w:tcBorders>
              <w:top w:val="nil"/>
              <w:left w:val="nil"/>
              <w:bottom w:val="single" w:sz="4" w:space="0" w:color="DDDDDD"/>
              <w:right w:val="single" w:sz="4" w:space="0" w:color="DDDDDD"/>
            </w:tcBorders>
            <w:shd w:val="clear" w:color="FFFFFF" w:fill="FFFFFF"/>
            <w:noWrap/>
            <w:vAlign w:val="bottom"/>
            <w:hideMark/>
          </w:tcPr>
          <w:p w14:paraId="22A79180"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11858E3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159925</w:t>
            </w:r>
          </w:p>
        </w:tc>
        <w:tc>
          <w:tcPr>
            <w:tcW w:w="0" w:type="auto"/>
            <w:tcBorders>
              <w:top w:val="nil"/>
              <w:left w:val="nil"/>
              <w:bottom w:val="single" w:sz="4" w:space="0" w:color="DDDDDD"/>
              <w:right w:val="single" w:sz="4" w:space="0" w:color="DDDDDD"/>
            </w:tcBorders>
            <w:shd w:val="clear" w:color="FFFFFF" w:fill="FFFFFF"/>
            <w:noWrap/>
            <w:vAlign w:val="bottom"/>
            <w:hideMark/>
          </w:tcPr>
          <w:p w14:paraId="4BAE1FC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72063E4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Yes</w:t>
            </w:r>
          </w:p>
        </w:tc>
        <w:tc>
          <w:tcPr>
            <w:tcW w:w="0" w:type="auto"/>
            <w:tcBorders>
              <w:top w:val="nil"/>
              <w:left w:val="nil"/>
              <w:bottom w:val="single" w:sz="4" w:space="0" w:color="DDDDDD"/>
              <w:right w:val="single" w:sz="4" w:space="0" w:color="DDDDDD"/>
            </w:tcBorders>
            <w:shd w:val="clear" w:color="FFFFFF" w:fill="FFFFFF"/>
            <w:noWrap/>
            <w:vAlign w:val="bottom"/>
            <w:hideMark/>
          </w:tcPr>
          <w:p w14:paraId="748F347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https://hal.archives-ouvertes.fr/hal-03211535</w:t>
            </w:r>
          </w:p>
        </w:tc>
      </w:tr>
      <w:tr w:rsidR="00BD154D" w:rsidRPr="004535FA" w14:paraId="62F063DA"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7EF40D3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HyCARE</w:t>
            </w:r>
          </w:p>
        </w:tc>
        <w:tc>
          <w:tcPr>
            <w:tcW w:w="0" w:type="auto"/>
            <w:tcBorders>
              <w:top w:val="nil"/>
              <w:left w:val="nil"/>
              <w:bottom w:val="single" w:sz="4" w:space="0" w:color="DDDDDD"/>
              <w:right w:val="single" w:sz="4" w:space="0" w:color="DDDDDD"/>
            </w:tcBorders>
            <w:shd w:val="clear" w:color="FFFFFF" w:fill="FFFFFF"/>
            <w:noWrap/>
            <w:vAlign w:val="bottom"/>
            <w:hideMark/>
          </w:tcPr>
          <w:p w14:paraId="73AB50C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0E46572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Metal (boro-) hydrides for high energy density storage and relevant emerging technologies</w:t>
            </w:r>
          </w:p>
        </w:tc>
        <w:tc>
          <w:tcPr>
            <w:tcW w:w="0" w:type="auto"/>
            <w:tcBorders>
              <w:top w:val="nil"/>
              <w:left w:val="nil"/>
              <w:bottom w:val="single" w:sz="4" w:space="0" w:color="DDDDDD"/>
              <w:right w:val="single" w:sz="4" w:space="0" w:color="DDDDDD"/>
            </w:tcBorders>
            <w:shd w:val="clear" w:color="FFFFFF" w:fill="FFFFFF"/>
            <w:noWrap/>
            <w:vAlign w:val="bottom"/>
            <w:hideMark/>
          </w:tcPr>
          <w:p w14:paraId="3B89646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10.1016/j.ijhydene.2020.08.119</w:t>
            </w:r>
          </w:p>
        </w:tc>
        <w:tc>
          <w:tcPr>
            <w:tcW w:w="0" w:type="auto"/>
            <w:tcBorders>
              <w:top w:val="nil"/>
              <w:left w:val="nil"/>
              <w:bottom w:val="single" w:sz="4" w:space="0" w:color="DDDDDD"/>
              <w:right w:val="single" w:sz="4" w:space="0" w:color="DDDDDD"/>
            </w:tcBorders>
            <w:shd w:val="clear" w:color="FFFFFF" w:fill="FFFFFF"/>
            <w:noWrap/>
            <w:vAlign w:val="bottom"/>
            <w:hideMark/>
          </w:tcPr>
          <w:p w14:paraId="20DEA8D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0360-3199</w:t>
            </w:r>
          </w:p>
        </w:tc>
        <w:tc>
          <w:tcPr>
            <w:tcW w:w="0" w:type="auto"/>
            <w:tcBorders>
              <w:top w:val="nil"/>
              <w:left w:val="nil"/>
              <w:bottom w:val="single" w:sz="4" w:space="0" w:color="DDDDDD"/>
              <w:right w:val="single" w:sz="4" w:space="0" w:color="DDDDDD"/>
            </w:tcBorders>
            <w:shd w:val="clear" w:color="FFFFFF" w:fill="FFFFFF"/>
            <w:noWrap/>
            <w:vAlign w:val="bottom"/>
            <w:hideMark/>
          </w:tcPr>
          <w:p w14:paraId="18FF90D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L. J. Bannenberg; Michael Heere; Michael Heere; H. Benzidi; Jorge Montero; Erika Michela Dematteis; Erika Michela Dematteis; Suwarno Suwarno; Tomasz Jaroń; M. Winny; P. A. Orłowski; Wojciech Wegner; Agnieszka Starobrat; Karol J. Fijalkowski; Wojciech Grochala; Zhao Qian; J.-P. Bonnet; Ioana Nuta; Wiebke Lohstroh; Claudia Zlotea; Omar Mounkachi; Fermin Cuevas; C. Chatillon; Michel Latroche; Maxim</w:t>
            </w:r>
          </w:p>
        </w:tc>
        <w:tc>
          <w:tcPr>
            <w:tcW w:w="0" w:type="auto"/>
            <w:tcBorders>
              <w:top w:val="nil"/>
              <w:left w:val="nil"/>
              <w:bottom w:val="single" w:sz="4" w:space="0" w:color="DDDDDD"/>
              <w:right w:val="single" w:sz="4" w:space="0" w:color="DDDDDD"/>
            </w:tcBorders>
            <w:shd w:val="clear" w:color="FFFFFF" w:fill="FFFFFF"/>
            <w:noWrap/>
            <w:vAlign w:val="bottom"/>
            <w:hideMark/>
          </w:tcPr>
          <w:p w14:paraId="1F63D74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International Journal of Hydrogen Energy</w:t>
            </w:r>
          </w:p>
        </w:tc>
        <w:tc>
          <w:tcPr>
            <w:tcW w:w="0" w:type="auto"/>
            <w:tcBorders>
              <w:top w:val="nil"/>
              <w:left w:val="nil"/>
              <w:bottom w:val="single" w:sz="4" w:space="0" w:color="DDDDDD"/>
              <w:right w:val="single" w:sz="4" w:space="0" w:color="DDDDDD"/>
            </w:tcBorders>
            <w:shd w:val="clear" w:color="FFFFFF" w:fill="FFFFFF"/>
            <w:noWrap/>
            <w:vAlign w:val="bottom"/>
            <w:hideMark/>
          </w:tcPr>
          <w:p w14:paraId="5445A1F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7</w:t>
            </w:r>
          </w:p>
        </w:tc>
        <w:tc>
          <w:tcPr>
            <w:tcW w:w="0" w:type="auto"/>
            <w:tcBorders>
              <w:top w:val="nil"/>
              <w:left w:val="nil"/>
              <w:bottom w:val="single" w:sz="4" w:space="0" w:color="DDDDDD"/>
              <w:right w:val="single" w:sz="4" w:space="0" w:color="DDDDDD"/>
            </w:tcBorders>
            <w:shd w:val="clear" w:color="FFFFFF" w:fill="FFFFFF"/>
            <w:noWrap/>
            <w:vAlign w:val="bottom"/>
            <w:hideMark/>
          </w:tcPr>
          <w:p w14:paraId="0E637A4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Pergamon Press Ltd.</w:t>
            </w:r>
          </w:p>
        </w:tc>
        <w:tc>
          <w:tcPr>
            <w:tcW w:w="0" w:type="auto"/>
            <w:tcBorders>
              <w:top w:val="nil"/>
              <w:left w:val="nil"/>
              <w:bottom w:val="single" w:sz="4" w:space="0" w:color="DDDDDD"/>
              <w:right w:val="single" w:sz="4" w:space="0" w:color="DDDDDD"/>
            </w:tcBorders>
            <w:shd w:val="clear" w:color="FFFFFF" w:fill="FFFFFF"/>
            <w:noWrap/>
            <w:vAlign w:val="bottom"/>
            <w:hideMark/>
          </w:tcPr>
          <w:p w14:paraId="19564E0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United Kingdom</w:t>
            </w:r>
          </w:p>
        </w:tc>
        <w:tc>
          <w:tcPr>
            <w:tcW w:w="0" w:type="auto"/>
            <w:tcBorders>
              <w:top w:val="nil"/>
              <w:left w:val="nil"/>
              <w:bottom w:val="single" w:sz="4" w:space="0" w:color="DDDDDD"/>
              <w:right w:val="single" w:sz="4" w:space="0" w:color="DDDDDD"/>
            </w:tcBorders>
            <w:shd w:val="clear" w:color="FFFFFF" w:fill="FFFFFF"/>
            <w:noWrap/>
            <w:vAlign w:val="bottom"/>
            <w:hideMark/>
          </w:tcPr>
          <w:p w14:paraId="1EFB6B42"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2020</w:t>
            </w:r>
          </w:p>
        </w:tc>
        <w:tc>
          <w:tcPr>
            <w:tcW w:w="0" w:type="auto"/>
            <w:tcBorders>
              <w:top w:val="nil"/>
              <w:left w:val="nil"/>
              <w:bottom w:val="single" w:sz="4" w:space="0" w:color="DDDDDD"/>
              <w:right w:val="single" w:sz="4" w:space="0" w:color="DDDDDD"/>
            </w:tcBorders>
            <w:shd w:val="clear" w:color="FFFFFF" w:fill="FFFFFF"/>
            <w:noWrap/>
            <w:vAlign w:val="bottom"/>
            <w:hideMark/>
          </w:tcPr>
          <w:p w14:paraId="2E4E963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17E5DAF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680E939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Yes</w:t>
            </w:r>
          </w:p>
        </w:tc>
        <w:tc>
          <w:tcPr>
            <w:tcW w:w="0" w:type="auto"/>
            <w:tcBorders>
              <w:top w:val="nil"/>
              <w:left w:val="nil"/>
              <w:bottom w:val="single" w:sz="4" w:space="0" w:color="DDDDDD"/>
              <w:right w:val="single" w:sz="4" w:space="0" w:color="DDDDDD"/>
            </w:tcBorders>
            <w:shd w:val="clear" w:color="FFFFFF" w:fill="FFFFFF"/>
            <w:noWrap/>
            <w:vAlign w:val="bottom"/>
            <w:hideMark/>
          </w:tcPr>
          <w:p w14:paraId="124101D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https://hal.archives-ouvertes.fr/hal-02954746</w:t>
            </w:r>
          </w:p>
        </w:tc>
      </w:tr>
      <w:tr w:rsidR="00BD154D" w:rsidRPr="004535FA" w14:paraId="747B4149"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3B339EB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HyCARE</w:t>
            </w:r>
          </w:p>
        </w:tc>
        <w:tc>
          <w:tcPr>
            <w:tcW w:w="0" w:type="auto"/>
            <w:tcBorders>
              <w:top w:val="nil"/>
              <w:left w:val="nil"/>
              <w:bottom w:val="single" w:sz="4" w:space="0" w:color="DDDDDD"/>
              <w:right w:val="single" w:sz="4" w:space="0" w:color="DDDDDD"/>
            </w:tcBorders>
            <w:shd w:val="clear" w:color="FFFFFF" w:fill="FFFFFF"/>
            <w:noWrap/>
            <w:vAlign w:val="bottom"/>
            <w:hideMark/>
          </w:tcPr>
          <w:p w14:paraId="465D1B1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7CE4185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Solid-State Hydrogen Storage Systems and the Relevance of a Gender Perspective</w:t>
            </w:r>
          </w:p>
        </w:tc>
        <w:tc>
          <w:tcPr>
            <w:tcW w:w="0" w:type="auto"/>
            <w:tcBorders>
              <w:top w:val="nil"/>
              <w:left w:val="nil"/>
              <w:bottom w:val="single" w:sz="4" w:space="0" w:color="DDDDDD"/>
              <w:right w:val="single" w:sz="4" w:space="0" w:color="DDDDDD"/>
            </w:tcBorders>
            <w:shd w:val="clear" w:color="FFFFFF" w:fill="FFFFFF"/>
            <w:noWrap/>
            <w:vAlign w:val="bottom"/>
            <w:hideMark/>
          </w:tcPr>
          <w:p w14:paraId="5585BDA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10.3390/en14196158</w:t>
            </w:r>
          </w:p>
        </w:tc>
        <w:tc>
          <w:tcPr>
            <w:tcW w:w="0" w:type="auto"/>
            <w:tcBorders>
              <w:top w:val="nil"/>
              <w:left w:val="nil"/>
              <w:bottom w:val="single" w:sz="4" w:space="0" w:color="DDDDDD"/>
              <w:right w:val="single" w:sz="4" w:space="0" w:color="DDDDDD"/>
            </w:tcBorders>
            <w:shd w:val="clear" w:color="FFFFFF" w:fill="FFFFFF"/>
            <w:noWrap/>
            <w:vAlign w:val="bottom"/>
            <w:hideMark/>
          </w:tcPr>
          <w:p w14:paraId="06C9B4F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1996-1073</w:t>
            </w:r>
          </w:p>
        </w:tc>
        <w:tc>
          <w:tcPr>
            <w:tcW w:w="0" w:type="auto"/>
            <w:tcBorders>
              <w:top w:val="nil"/>
              <w:left w:val="nil"/>
              <w:bottom w:val="single" w:sz="4" w:space="0" w:color="DDDDDD"/>
              <w:right w:val="single" w:sz="4" w:space="0" w:color="DDDDDD"/>
            </w:tcBorders>
            <w:shd w:val="clear" w:color="FFFFFF" w:fill="FFFFFF"/>
            <w:noWrap/>
            <w:vAlign w:val="bottom"/>
            <w:hideMark/>
          </w:tcPr>
          <w:p w14:paraId="033046E5" w14:textId="77777777" w:rsidR="00BD154D" w:rsidRPr="00A60794" w:rsidRDefault="00BD154D" w:rsidP="00DF2591">
            <w:pPr>
              <w:spacing w:after="0" w:line="240" w:lineRule="auto"/>
              <w:rPr>
                <w:rFonts w:ascii="Arial" w:eastAsia="Times New Roman" w:hAnsi="Arial" w:cs="Arial"/>
                <w:color w:val="333333"/>
                <w:sz w:val="12"/>
                <w:szCs w:val="12"/>
                <w:lang w:val="es-ES" w:eastAsia="en-GB"/>
              </w:rPr>
            </w:pPr>
            <w:r w:rsidRPr="00A60794">
              <w:rPr>
                <w:rFonts w:ascii="Arial" w:eastAsia="Times New Roman" w:hAnsi="Arial" w:cs="Arial"/>
                <w:color w:val="333333"/>
                <w:sz w:val="12"/>
                <w:szCs w:val="12"/>
                <w:lang w:val="es-ES" w:eastAsia="en-GB"/>
              </w:rPr>
              <w:t>Erika Michela Dematteis; Jussara Barale; Marta Corno; Alessandro Sciullo; Marcello Baricco; Paola Rizzi</w:t>
            </w:r>
          </w:p>
        </w:tc>
        <w:tc>
          <w:tcPr>
            <w:tcW w:w="0" w:type="auto"/>
            <w:tcBorders>
              <w:top w:val="nil"/>
              <w:left w:val="nil"/>
              <w:bottom w:val="single" w:sz="4" w:space="0" w:color="DDDDDD"/>
              <w:right w:val="single" w:sz="4" w:space="0" w:color="DDDDDD"/>
            </w:tcBorders>
            <w:shd w:val="clear" w:color="FFFFFF" w:fill="FFFFFF"/>
            <w:noWrap/>
            <w:vAlign w:val="bottom"/>
            <w:hideMark/>
          </w:tcPr>
          <w:p w14:paraId="6E1C668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Energies</w:t>
            </w:r>
          </w:p>
        </w:tc>
        <w:tc>
          <w:tcPr>
            <w:tcW w:w="0" w:type="auto"/>
            <w:tcBorders>
              <w:top w:val="nil"/>
              <w:left w:val="nil"/>
              <w:bottom w:val="single" w:sz="4" w:space="0" w:color="DDDDDD"/>
              <w:right w:val="single" w:sz="4" w:space="0" w:color="DDDDDD"/>
            </w:tcBorders>
            <w:shd w:val="clear" w:color="FFFFFF" w:fill="FFFFFF"/>
            <w:noWrap/>
            <w:vAlign w:val="bottom"/>
            <w:hideMark/>
          </w:tcPr>
          <w:p w14:paraId="529630B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66D8E8E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Multidisciplinary Digital Publishing Institute (MDPI)</w:t>
            </w:r>
          </w:p>
        </w:tc>
        <w:tc>
          <w:tcPr>
            <w:tcW w:w="0" w:type="auto"/>
            <w:tcBorders>
              <w:top w:val="nil"/>
              <w:left w:val="nil"/>
              <w:bottom w:val="single" w:sz="4" w:space="0" w:color="DDDDDD"/>
              <w:right w:val="single" w:sz="4" w:space="0" w:color="DDDDDD"/>
            </w:tcBorders>
            <w:shd w:val="clear" w:color="FFFFFF" w:fill="FFFFFF"/>
            <w:noWrap/>
            <w:vAlign w:val="bottom"/>
            <w:hideMark/>
          </w:tcPr>
          <w:p w14:paraId="2A6CA84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Switzerland</w:t>
            </w:r>
          </w:p>
        </w:tc>
        <w:tc>
          <w:tcPr>
            <w:tcW w:w="0" w:type="auto"/>
            <w:tcBorders>
              <w:top w:val="nil"/>
              <w:left w:val="nil"/>
              <w:bottom w:val="single" w:sz="4" w:space="0" w:color="DDDDDD"/>
              <w:right w:val="single" w:sz="4" w:space="0" w:color="DDDDDD"/>
            </w:tcBorders>
            <w:shd w:val="clear" w:color="FFFFFF" w:fill="FFFFFF"/>
            <w:noWrap/>
            <w:vAlign w:val="bottom"/>
            <w:hideMark/>
          </w:tcPr>
          <w:p w14:paraId="257FD5DA"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343BD8E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76FDAF9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7D456C1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6B4FEE7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https://www.mdpi.com/1996-1073/14/19/6158</w:t>
            </w:r>
          </w:p>
        </w:tc>
      </w:tr>
      <w:tr w:rsidR="00BD154D" w:rsidRPr="004535FA" w14:paraId="2F6B7AF8"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37847E7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HyCARE</w:t>
            </w:r>
          </w:p>
        </w:tc>
        <w:tc>
          <w:tcPr>
            <w:tcW w:w="0" w:type="auto"/>
            <w:tcBorders>
              <w:top w:val="nil"/>
              <w:left w:val="nil"/>
              <w:bottom w:val="single" w:sz="4" w:space="0" w:color="DDDDDD"/>
              <w:right w:val="single" w:sz="4" w:space="0" w:color="DDDDDD"/>
            </w:tcBorders>
            <w:shd w:val="clear" w:color="FFFFFF" w:fill="FFFFFF"/>
            <w:noWrap/>
            <w:vAlign w:val="bottom"/>
            <w:hideMark/>
          </w:tcPr>
          <w:p w14:paraId="70F35E5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4376E64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Substitutional effects in TiFe for hydrogen storage: a comprehensive review</w:t>
            </w:r>
          </w:p>
        </w:tc>
        <w:tc>
          <w:tcPr>
            <w:tcW w:w="0" w:type="auto"/>
            <w:tcBorders>
              <w:top w:val="nil"/>
              <w:left w:val="nil"/>
              <w:bottom w:val="single" w:sz="4" w:space="0" w:color="DDDDDD"/>
              <w:right w:val="single" w:sz="4" w:space="0" w:color="DDDDDD"/>
            </w:tcBorders>
            <w:shd w:val="clear" w:color="FFFFFF" w:fill="FFFFFF"/>
            <w:noWrap/>
            <w:vAlign w:val="bottom"/>
            <w:hideMark/>
          </w:tcPr>
          <w:p w14:paraId="436E08E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10.1039/d1ma00101a</w:t>
            </w:r>
          </w:p>
        </w:tc>
        <w:tc>
          <w:tcPr>
            <w:tcW w:w="0" w:type="auto"/>
            <w:tcBorders>
              <w:top w:val="nil"/>
              <w:left w:val="nil"/>
              <w:bottom w:val="single" w:sz="4" w:space="0" w:color="DDDDDD"/>
              <w:right w:val="single" w:sz="4" w:space="0" w:color="DDDDDD"/>
            </w:tcBorders>
            <w:shd w:val="clear" w:color="FFFFFF" w:fill="FFFFFF"/>
            <w:noWrap/>
            <w:vAlign w:val="bottom"/>
            <w:hideMark/>
          </w:tcPr>
          <w:p w14:paraId="6F57E26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2633-5409</w:t>
            </w:r>
          </w:p>
        </w:tc>
        <w:tc>
          <w:tcPr>
            <w:tcW w:w="0" w:type="auto"/>
            <w:tcBorders>
              <w:top w:val="nil"/>
              <w:left w:val="nil"/>
              <w:bottom w:val="single" w:sz="4" w:space="0" w:color="DDDDDD"/>
              <w:right w:val="single" w:sz="4" w:space="0" w:color="DDDDDD"/>
            </w:tcBorders>
            <w:shd w:val="clear" w:color="FFFFFF" w:fill="FFFFFF"/>
            <w:noWrap/>
            <w:vAlign w:val="bottom"/>
            <w:hideMark/>
          </w:tcPr>
          <w:p w14:paraId="19955F83" w14:textId="77777777" w:rsidR="00BD154D" w:rsidRPr="00974B49" w:rsidRDefault="00BD154D" w:rsidP="00DF2591">
            <w:pPr>
              <w:spacing w:after="0" w:line="240" w:lineRule="auto"/>
              <w:rPr>
                <w:rFonts w:ascii="Arial" w:eastAsia="Times New Roman" w:hAnsi="Arial" w:cs="Arial"/>
                <w:color w:val="333333"/>
                <w:sz w:val="12"/>
                <w:szCs w:val="12"/>
                <w:lang w:val="it-IT" w:eastAsia="en-GB"/>
              </w:rPr>
            </w:pPr>
            <w:r w:rsidRPr="00974B49">
              <w:rPr>
                <w:rFonts w:ascii="Arial" w:eastAsia="Times New Roman" w:hAnsi="Arial" w:cs="Arial"/>
                <w:color w:val="333333"/>
                <w:sz w:val="12"/>
                <w:szCs w:val="12"/>
                <w:lang w:val="it-IT" w:eastAsia="en-GB"/>
              </w:rPr>
              <w:t>Erika Michela Dematteis; Erika Michela Dematteis; Nicola Berti; Fermin Cuevas; Michel Latroche; Marcello Baricco</w:t>
            </w:r>
          </w:p>
        </w:tc>
        <w:tc>
          <w:tcPr>
            <w:tcW w:w="0" w:type="auto"/>
            <w:tcBorders>
              <w:top w:val="nil"/>
              <w:left w:val="nil"/>
              <w:bottom w:val="single" w:sz="4" w:space="0" w:color="DDDDDD"/>
              <w:right w:val="single" w:sz="4" w:space="0" w:color="DDDDDD"/>
            </w:tcBorders>
            <w:shd w:val="clear" w:color="FFFFFF" w:fill="FFFFFF"/>
            <w:noWrap/>
            <w:vAlign w:val="bottom"/>
            <w:hideMark/>
          </w:tcPr>
          <w:p w14:paraId="127DF33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Materials Advances</w:t>
            </w:r>
          </w:p>
        </w:tc>
        <w:tc>
          <w:tcPr>
            <w:tcW w:w="0" w:type="auto"/>
            <w:tcBorders>
              <w:top w:val="nil"/>
              <w:left w:val="nil"/>
              <w:bottom w:val="single" w:sz="4" w:space="0" w:color="DDDDDD"/>
              <w:right w:val="single" w:sz="4" w:space="0" w:color="DDDDDD"/>
            </w:tcBorders>
            <w:shd w:val="clear" w:color="FFFFFF" w:fill="FFFFFF"/>
            <w:noWrap/>
            <w:vAlign w:val="bottom"/>
            <w:hideMark/>
          </w:tcPr>
          <w:p w14:paraId="04E7670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w:t>
            </w:r>
          </w:p>
        </w:tc>
        <w:tc>
          <w:tcPr>
            <w:tcW w:w="0" w:type="auto"/>
            <w:tcBorders>
              <w:top w:val="nil"/>
              <w:left w:val="nil"/>
              <w:bottom w:val="single" w:sz="4" w:space="0" w:color="DDDDDD"/>
              <w:right w:val="single" w:sz="4" w:space="0" w:color="DDDDDD"/>
            </w:tcBorders>
            <w:shd w:val="clear" w:color="FFFFFF" w:fill="FFFFFF"/>
            <w:noWrap/>
            <w:vAlign w:val="bottom"/>
            <w:hideMark/>
          </w:tcPr>
          <w:p w14:paraId="3C687BA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Royal Society of Chemistry</w:t>
            </w:r>
          </w:p>
        </w:tc>
        <w:tc>
          <w:tcPr>
            <w:tcW w:w="0" w:type="auto"/>
            <w:tcBorders>
              <w:top w:val="nil"/>
              <w:left w:val="nil"/>
              <w:bottom w:val="single" w:sz="4" w:space="0" w:color="DDDDDD"/>
              <w:right w:val="single" w:sz="4" w:space="0" w:color="DDDDDD"/>
            </w:tcBorders>
            <w:shd w:val="clear" w:color="FFFFFF" w:fill="FFFFFF"/>
            <w:noWrap/>
            <w:vAlign w:val="bottom"/>
            <w:hideMark/>
          </w:tcPr>
          <w:p w14:paraId="0F5C255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Cambridge, United Kingdom</w:t>
            </w:r>
          </w:p>
        </w:tc>
        <w:tc>
          <w:tcPr>
            <w:tcW w:w="0" w:type="auto"/>
            <w:tcBorders>
              <w:top w:val="nil"/>
              <w:left w:val="nil"/>
              <w:bottom w:val="single" w:sz="4" w:space="0" w:color="DDDDDD"/>
              <w:right w:val="single" w:sz="4" w:space="0" w:color="DDDDDD"/>
            </w:tcBorders>
            <w:shd w:val="clear" w:color="FFFFFF" w:fill="FFFFFF"/>
            <w:noWrap/>
            <w:vAlign w:val="bottom"/>
            <w:hideMark/>
          </w:tcPr>
          <w:p w14:paraId="5D111727"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73B214D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2524</w:t>
            </w:r>
          </w:p>
        </w:tc>
        <w:tc>
          <w:tcPr>
            <w:tcW w:w="0" w:type="auto"/>
            <w:tcBorders>
              <w:top w:val="nil"/>
              <w:left w:val="nil"/>
              <w:bottom w:val="single" w:sz="4" w:space="0" w:color="DDDDDD"/>
              <w:right w:val="single" w:sz="4" w:space="0" w:color="DDDDDD"/>
            </w:tcBorders>
            <w:shd w:val="clear" w:color="FFFFFF" w:fill="FFFFFF"/>
            <w:noWrap/>
            <w:vAlign w:val="bottom"/>
            <w:hideMark/>
          </w:tcPr>
          <w:p w14:paraId="11D7A9D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199AAC0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5DC6D1C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https://hal.archives-ouvertes.fr/hal-03190450</w:t>
            </w:r>
          </w:p>
        </w:tc>
      </w:tr>
      <w:tr w:rsidR="00BD154D" w:rsidRPr="004535FA" w14:paraId="5DBED8AB"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4959393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HyResponder</w:t>
            </w:r>
          </w:p>
        </w:tc>
        <w:tc>
          <w:tcPr>
            <w:tcW w:w="0" w:type="auto"/>
            <w:tcBorders>
              <w:top w:val="nil"/>
              <w:left w:val="nil"/>
              <w:bottom w:val="single" w:sz="4" w:space="0" w:color="DDDDDD"/>
              <w:right w:val="single" w:sz="4" w:space="0" w:color="DDDDDD"/>
            </w:tcBorders>
            <w:shd w:val="clear" w:color="FFFFFF" w:fill="FFFFFF"/>
            <w:noWrap/>
            <w:vAlign w:val="bottom"/>
            <w:hideMark/>
          </w:tcPr>
          <w:p w14:paraId="7EF5950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2E630C6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Hydrogen Jet Fire from a Thermally Activated Pressure Relief Device (TPRD) from Onboard Storage in a Naturally Ventilated Covered Car Park</w:t>
            </w:r>
          </w:p>
        </w:tc>
        <w:tc>
          <w:tcPr>
            <w:tcW w:w="0" w:type="auto"/>
            <w:tcBorders>
              <w:top w:val="nil"/>
              <w:left w:val="nil"/>
              <w:bottom w:val="single" w:sz="4" w:space="0" w:color="DDDDDD"/>
              <w:right w:val="single" w:sz="4" w:space="0" w:color="DDDDDD"/>
            </w:tcBorders>
            <w:shd w:val="clear" w:color="FFFFFF" w:fill="FFFFFF"/>
            <w:noWrap/>
            <w:vAlign w:val="bottom"/>
            <w:hideMark/>
          </w:tcPr>
          <w:p w14:paraId="28DFA3C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10.3390/hydrogen2030018</w:t>
            </w:r>
          </w:p>
        </w:tc>
        <w:tc>
          <w:tcPr>
            <w:tcW w:w="0" w:type="auto"/>
            <w:tcBorders>
              <w:top w:val="nil"/>
              <w:left w:val="nil"/>
              <w:bottom w:val="single" w:sz="4" w:space="0" w:color="DDDDDD"/>
              <w:right w:val="single" w:sz="4" w:space="0" w:color="DDDDDD"/>
            </w:tcBorders>
            <w:shd w:val="clear" w:color="FFFFFF" w:fill="FFFFFF"/>
            <w:noWrap/>
            <w:vAlign w:val="bottom"/>
            <w:hideMark/>
          </w:tcPr>
          <w:p w14:paraId="269A293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26734141</w:t>
            </w:r>
          </w:p>
        </w:tc>
        <w:tc>
          <w:tcPr>
            <w:tcW w:w="0" w:type="auto"/>
            <w:tcBorders>
              <w:top w:val="nil"/>
              <w:left w:val="nil"/>
              <w:bottom w:val="single" w:sz="4" w:space="0" w:color="DDDDDD"/>
              <w:right w:val="single" w:sz="4" w:space="0" w:color="DDDDDD"/>
            </w:tcBorders>
            <w:shd w:val="clear" w:color="FFFFFF" w:fill="FFFFFF"/>
            <w:noWrap/>
            <w:vAlign w:val="bottom"/>
            <w:hideMark/>
          </w:tcPr>
          <w:p w14:paraId="032CC1E3" w14:textId="77777777" w:rsidR="00BD154D" w:rsidRPr="00974B49" w:rsidRDefault="00BD154D" w:rsidP="00DF2591">
            <w:pPr>
              <w:spacing w:after="0" w:line="240" w:lineRule="auto"/>
              <w:rPr>
                <w:rFonts w:ascii="Arial" w:eastAsia="Times New Roman" w:hAnsi="Arial" w:cs="Arial"/>
                <w:color w:val="333333"/>
                <w:sz w:val="12"/>
                <w:szCs w:val="12"/>
                <w:lang w:val="de-DE" w:eastAsia="en-GB"/>
              </w:rPr>
            </w:pPr>
            <w:r w:rsidRPr="00974B49">
              <w:rPr>
                <w:rFonts w:ascii="Arial" w:eastAsia="Times New Roman" w:hAnsi="Arial" w:cs="Arial"/>
                <w:color w:val="333333"/>
                <w:sz w:val="12"/>
                <w:szCs w:val="12"/>
                <w:lang w:val="de-DE" w:eastAsia="en-GB"/>
              </w:rPr>
              <w:t>Harem Hussein, Síle Brennan, Vladimir Molkov</w:t>
            </w:r>
          </w:p>
        </w:tc>
        <w:tc>
          <w:tcPr>
            <w:tcW w:w="0" w:type="auto"/>
            <w:tcBorders>
              <w:top w:val="nil"/>
              <w:left w:val="nil"/>
              <w:bottom w:val="single" w:sz="4" w:space="0" w:color="DDDDDD"/>
              <w:right w:val="single" w:sz="4" w:space="0" w:color="DDDDDD"/>
            </w:tcBorders>
            <w:shd w:val="clear" w:color="FFFFFF" w:fill="FFFFFF"/>
            <w:noWrap/>
            <w:vAlign w:val="bottom"/>
            <w:hideMark/>
          </w:tcPr>
          <w:p w14:paraId="6716C1D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Hydrogen</w:t>
            </w:r>
          </w:p>
        </w:tc>
        <w:tc>
          <w:tcPr>
            <w:tcW w:w="0" w:type="auto"/>
            <w:tcBorders>
              <w:top w:val="nil"/>
              <w:left w:val="nil"/>
              <w:bottom w:val="single" w:sz="4" w:space="0" w:color="DDDDDD"/>
              <w:right w:val="single" w:sz="4" w:space="0" w:color="DDDDDD"/>
            </w:tcBorders>
            <w:shd w:val="clear" w:color="FFFFFF" w:fill="FFFFFF"/>
            <w:noWrap/>
            <w:vAlign w:val="bottom"/>
            <w:hideMark/>
          </w:tcPr>
          <w:p w14:paraId="6F16F43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2/3</w:t>
            </w:r>
          </w:p>
        </w:tc>
        <w:tc>
          <w:tcPr>
            <w:tcW w:w="0" w:type="auto"/>
            <w:tcBorders>
              <w:top w:val="nil"/>
              <w:left w:val="nil"/>
              <w:bottom w:val="single" w:sz="4" w:space="0" w:color="DDDDDD"/>
              <w:right w:val="single" w:sz="4" w:space="0" w:color="DDDDDD"/>
            </w:tcBorders>
            <w:shd w:val="clear" w:color="FFFFFF" w:fill="FFFFFF"/>
            <w:noWrap/>
            <w:vAlign w:val="bottom"/>
            <w:hideMark/>
          </w:tcPr>
          <w:p w14:paraId="5EA347F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MDPI</w:t>
            </w:r>
          </w:p>
        </w:tc>
        <w:tc>
          <w:tcPr>
            <w:tcW w:w="0" w:type="auto"/>
            <w:tcBorders>
              <w:top w:val="nil"/>
              <w:left w:val="nil"/>
              <w:bottom w:val="single" w:sz="4" w:space="0" w:color="DDDDDD"/>
              <w:right w:val="single" w:sz="4" w:space="0" w:color="DDDDDD"/>
            </w:tcBorders>
            <w:shd w:val="clear" w:color="FFFFFF" w:fill="FFFFFF"/>
            <w:noWrap/>
            <w:vAlign w:val="bottom"/>
            <w:hideMark/>
          </w:tcPr>
          <w:p w14:paraId="390D40F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Online</w:t>
            </w:r>
          </w:p>
        </w:tc>
        <w:tc>
          <w:tcPr>
            <w:tcW w:w="0" w:type="auto"/>
            <w:tcBorders>
              <w:top w:val="nil"/>
              <w:left w:val="nil"/>
              <w:bottom w:val="single" w:sz="4" w:space="0" w:color="DDDDDD"/>
              <w:right w:val="single" w:sz="4" w:space="0" w:color="DDDDDD"/>
            </w:tcBorders>
            <w:shd w:val="clear" w:color="FFFFFF" w:fill="FFFFFF"/>
            <w:noWrap/>
            <w:vAlign w:val="bottom"/>
            <w:hideMark/>
          </w:tcPr>
          <w:p w14:paraId="4C8273A9"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439C071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343-361</w:t>
            </w:r>
          </w:p>
        </w:tc>
        <w:tc>
          <w:tcPr>
            <w:tcW w:w="0" w:type="auto"/>
            <w:tcBorders>
              <w:top w:val="nil"/>
              <w:left w:val="nil"/>
              <w:bottom w:val="single" w:sz="4" w:space="0" w:color="DDDDDD"/>
              <w:right w:val="single" w:sz="4" w:space="0" w:color="DDDDDD"/>
            </w:tcBorders>
            <w:shd w:val="clear" w:color="FFFFFF" w:fill="FFFFFF"/>
            <w:noWrap/>
            <w:vAlign w:val="bottom"/>
            <w:hideMark/>
          </w:tcPr>
          <w:p w14:paraId="53C9D2E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00ABD86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5B9AD3D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r>
      <w:tr w:rsidR="00BD154D" w:rsidRPr="004535FA" w14:paraId="58F65642"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7D8B086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HyStorIES</w:t>
            </w:r>
          </w:p>
        </w:tc>
        <w:tc>
          <w:tcPr>
            <w:tcW w:w="0" w:type="auto"/>
            <w:tcBorders>
              <w:top w:val="nil"/>
              <w:left w:val="nil"/>
              <w:bottom w:val="single" w:sz="4" w:space="0" w:color="DDDDDD"/>
              <w:right w:val="single" w:sz="4" w:space="0" w:color="DDDDDD"/>
            </w:tcBorders>
            <w:shd w:val="clear" w:color="FFFFFF" w:fill="FFFFFF"/>
            <w:noWrap/>
            <w:vAlign w:val="bottom"/>
            <w:hideMark/>
          </w:tcPr>
          <w:p w14:paraId="59CF953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0B9D3C6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Wodór jako paliwo przysz³oœci. Wyzwania dla polskiej geologii</w:t>
            </w:r>
          </w:p>
        </w:tc>
        <w:tc>
          <w:tcPr>
            <w:tcW w:w="0" w:type="auto"/>
            <w:tcBorders>
              <w:top w:val="nil"/>
              <w:left w:val="nil"/>
              <w:bottom w:val="single" w:sz="4" w:space="0" w:color="DDDDDD"/>
              <w:right w:val="single" w:sz="4" w:space="0" w:color="DDDDDD"/>
            </w:tcBorders>
            <w:shd w:val="clear" w:color="FFFFFF" w:fill="FFFFFF"/>
            <w:noWrap/>
            <w:vAlign w:val="bottom"/>
            <w:hideMark/>
          </w:tcPr>
          <w:p w14:paraId="2A21E1F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70E7090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0033-2151</w:t>
            </w:r>
          </w:p>
        </w:tc>
        <w:tc>
          <w:tcPr>
            <w:tcW w:w="0" w:type="auto"/>
            <w:tcBorders>
              <w:top w:val="nil"/>
              <w:left w:val="nil"/>
              <w:bottom w:val="single" w:sz="4" w:space="0" w:color="DDDDDD"/>
              <w:right w:val="single" w:sz="4" w:space="0" w:color="DDDDDD"/>
            </w:tcBorders>
            <w:shd w:val="clear" w:color="FFFFFF" w:fill="FFFFFF"/>
            <w:noWrap/>
            <w:vAlign w:val="bottom"/>
            <w:hideMark/>
          </w:tcPr>
          <w:p w14:paraId="6A51A61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Radoslaw Tarkowski</w:t>
            </w:r>
          </w:p>
        </w:tc>
        <w:tc>
          <w:tcPr>
            <w:tcW w:w="0" w:type="auto"/>
            <w:tcBorders>
              <w:top w:val="nil"/>
              <w:left w:val="nil"/>
              <w:bottom w:val="single" w:sz="4" w:space="0" w:color="DDDDDD"/>
              <w:right w:val="single" w:sz="4" w:space="0" w:color="DDDDDD"/>
            </w:tcBorders>
            <w:shd w:val="clear" w:color="FFFFFF" w:fill="FFFFFF"/>
            <w:noWrap/>
            <w:vAlign w:val="bottom"/>
            <w:hideMark/>
          </w:tcPr>
          <w:p w14:paraId="595D665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Przegl¹d Geologiczny Journal</w:t>
            </w:r>
          </w:p>
        </w:tc>
        <w:tc>
          <w:tcPr>
            <w:tcW w:w="0" w:type="auto"/>
            <w:tcBorders>
              <w:top w:val="nil"/>
              <w:left w:val="nil"/>
              <w:bottom w:val="single" w:sz="4" w:space="0" w:color="DDDDDD"/>
              <w:right w:val="single" w:sz="4" w:space="0" w:color="DDDDDD"/>
            </w:tcBorders>
            <w:shd w:val="clear" w:color="FFFFFF" w:fill="FFFFFF"/>
            <w:noWrap/>
            <w:vAlign w:val="bottom"/>
            <w:hideMark/>
          </w:tcPr>
          <w:p w14:paraId="6F2C1B5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vol. 69, nr 4, 2021</w:t>
            </w:r>
          </w:p>
        </w:tc>
        <w:tc>
          <w:tcPr>
            <w:tcW w:w="0" w:type="auto"/>
            <w:tcBorders>
              <w:top w:val="nil"/>
              <w:left w:val="nil"/>
              <w:bottom w:val="single" w:sz="4" w:space="0" w:color="DDDDDD"/>
              <w:right w:val="single" w:sz="4" w:space="0" w:color="DDDDDD"/>
            </w:tcBorders>
            <w:shd w:val="clear" w:color="FFFFFF" w:fill="FFFFFF"/>
            <w:noWrap/>
            <w:vAlign w:val="bottom"/>
            <w:hideMark/>
          </w:tcPr>
          <w:p w14:paraId="0A214BC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Panstwowy Instytut Geologiczny</w:t>
            </w:r>
          </w:p>
        </w:tc>
        <w:tc>
          <w:tcPr>
            <w:tcW w:w="0" w:type="auto"/>
            <w:tcBorders>
              <w:top w:val="nil"/>
              <w:left w:val="nil"/>
              <w:bottom w:val="single" w:sz="4" w:space="0" w:color="DDDDDD"/>
              <w:right w:val="single" w:sz="4" w:space="0" w:color="DDDDDD"/>
            </w:tcBorders>
            <w:shd w:val="clear" w:color="FFFFFF" w:fill="FFFFFF"/>
            <w:noWrap/>
            <w:vAlign w:val="bottom"/>
            <w:hideMark/>
          </w:tcPr>
          <w:p w14:paraId="3A65825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Poland</w:t>
            </w:r>
          </w:p>
        </w:tc>
        <w:tc>
          <w:tcPr>
            <w:tcW w:w="0" w:type="auto"/>
            <w:tcBorders>
              <w:top w:val="nil"/>
              <w:left w:val="nil"/>
              <w:bottom w:val="single" w:sz="4" w:space="0" w:color="DDDDDD"/>
              <w:right w:val="single" w:sz="4" w:space="0" w:color="DDDDDD"/>
            </w:tcBorders>
            <w:shd w:val="clear" w:color="FFFFFF" w:fill="FFFFFF"/>
            <w:noWrap/>
            <w:vAlign w:val="bottom"/>
            <w:hideMark/>
          </w:tcPr>
          <w:p w14:paraId="6346040B"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1015FBE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366E9C7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4C74AA1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32AE04A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https://www.pgi.gov.pl/dokumenty-pig-pib-all/publikacje-2/przeglad-geologiczny/2021-2/4-kwiecien-1/8374-wodor-jako-paliwo-przyszlosci-wyzwania-dla-polskiej-geologii/file.html</w:t>
            </w:r>
          </w:p>
        </w:tc>
      </w:tr>
      <w:tr w:rsidR="00BD154D" w:rsidRPr="004535FA" w14:paraId="6A949D6A"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7D58140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HyStorIES</w:t>
            </w:r>
          </w:p>
        </w:tc>
        <w:tc>
          <w:tcPr>
            <w:tcW w:w="0" w:type="auto"/>
            <w:tcBorders>
              <w:top w:val="nil"/>
              <w:left w:val="nil"/>
              <w:bottom w:val="single" w:sz="4" w:space="0" w:color="DDDDDD"/>
              <w:right w:val="single" w:sz="4" w:space="0" w:color="DDDDDD"/>
            </w:tcBorders>
            <w:shd w:val="clear" w:color="FFFFFF" w:fill="FFFFFF"/>
            <w:noWrap/>
            <w:vAlign w:val="bottom"/>
            <w:hideMark/>
          </w:tcPr>
          <w:p w14:paraId="3704C8D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CONFERENCE_PROCEEDING</w:t>
            </w:r>
          </w:p>
        </w:tc>
        <w:tc>
          <w:tcPr>
            <w:tcW w:w="0" w:type="auto"/>
            <w:tcBorders>
              <w:top w:val="nil"/>
              <w:left w:val="nil"/>
              <w:bottom w:val="single" w:sz="4" w:space="0" w:color="DDDDDD"/>
              <w:right w:val="single" w:sz="4" w:space="0" w:color="DDDDDD"/>
            </w:tcBorders>
            <w:shd w:val="clear" w:color="FFFFFF" w:fill="FFFFFF"/>
            <w:noWrap/>
            <w:vAlign w:val="bottom"/>
            <w:hideMark/>
          </w:tcPr>
          <w:p w14:paraId="4D992BB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Four Ways to Store Large Quantities of Hydrogen</w:t>
            </w:r>
          </w:p>
        </w:tc>
        <w:tc>
          <w:tcPr>
            <w:tcW w:w="0" w:type="auto"/>
            <w:tcBorders>
              <w:top w:val="nil"/>
              <w:left w:val="nil"/>
              <w:bottom w:val="single" w:sz="4" w:space="0" w:color="DDDDDD"/>
              <w:right w:val="single" w:sz="4" w:space="0" w:color="DDDDDD"/>
            </w:tcBorders>
            <w:shd w:val="clear" w:color="FFFFFF" w:fill="FFFFFF"/>
            <w:noWrap/>
            <w:vAlign w:val="bottom"/>
            <w:hideMark/>
          </w:tcPr>
          <w:p w14:paraId="082F800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10.2118/208178-ms</w:t>
            </w:r>
          </w:p>
        </w:tc>
        <w:tc>
          <w:tcPr>
            <w:tcW w:w="0" w:type="auto"/>
            <w:tcBorders>
              <w:top w:val="nil"/>
              <w:left w:val="nil"/>
              <w:bottom w:val="single" w:sz="4" w:space="0" w:color="DDDDDD"/>
              <w:right w:val="single" w:sz="4" w:space="0" w:color="DDDDDD"/>
            </w:tcBorders>
            <w:shd w:val="clear" w:color="FFFFFF" w:fill="FFFFFF"/>
            <w:noWrap/>
            <w:vAlign w:val="bottom"/>
            <w:hideMark/>
          </w:tcPr>
          <w:p w14:paraId="2150216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978-1-61399-834-2</w:t>
            </w:r>
          </w:p>
        </w:tc>
        <w:tc>
          <w:tcPr>
            <w:tcW w:w="0" w:type="auto"/>
            <w:tcBorders>
              <w:top w:val="nil"/>
              <w:left w:val="nil"/>
              <w:bottom w:val="single" w:sz="4" w:space="0" w:color="DDDDDD"/>
              <w:right w:val="single" w:sz="4" w:space="0" w:color="DDDDDD"/>
            </w:tcBorders>
            <w:shd w:val="clear" w:color="FFFFFF" w:fill="FFFFFF"/>
            <w:noWrap/>
            <w:vAlign w:val="bottom"/>
            <w:hideMark/>
          </w:tcPr>
          <w:p w14:paraId="1A1E4C7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Louis Londe</w:t>
            </w:r>
          </w:p>
        </w:tc>
        <w:tc>
          <w:tcPr>
            <w:tcW w:w="0" w:type="auto"/>
            <w:tcBorders>
              <w:top w:val="nil"/>
              <w:left w:val="nil"/>
              <w:bottom w:val="single" w:sz="4" w:space="0" w:color="DDDDDD"/>
              <w:right w:val="single" w:sz="4" w:space="0" w:color="DDDDDD"/>
            </w:tcBorders>
            <w:shd w:val="clear" w:color="FFFFFF" w:fill="FFFFFF"/>
            <w:noWrap/>
            <w:vAlign w:val="bottom"/>
            <w:hideMark/>
          </w:tcPr>
          <w:p w14:paraId="1768B8E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Paper presented at the Abu Dhabi International Petroleum Exhibition &amp; Conference, Abu Dhabi, UAE</w:t>
            </w:r>
          </w:p>
        </w:tc>
        <w:tc>
          <w:tcPr>
            <w:tcW w:w="0" w:type="auto"/>
            <w:tcBorders>
              <w:top w:val="nil"/>
              <w:left w:val="nil"/>
              <w:bottom w:val="single" w:sz="4" w:space="0" w:color="DDDDDD"/>
              <w:right w:val="single" w:sz="4" w:space="0" w:color="DDDDDD"/>
            </w:tcBorders>
            <w:shd w:val="clear" w:color="FFFFFF" w:fill="FFFFFF"/>
            <w:noWrap/>
            <w:vAlign w:val="bottom"/>
            <w:hideMark/>
          </w:tcPr>
          <w:p w14:paraId="278AC59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November 2021.</w:t>
            </w:r>
          </w:p>
        </w:tc>
        <w:tc>
          <w:tcPr>
            <w:tcW w:w="0" w:type="auto"/>
            <w:tcBorders>
              <w:top w:val="nil"/>
              <w:left w:val="nil"/>
              <w:bottom w:val="single" w:sz="4" w:space="0" w:color="DDDDDD"/>
              <w:right w:val="single" w:sz="4" w:space="0" w:color="DDDDDD"/>
            </w:tcBorders>
            <w:shd w:val="clear" w:color="FFFFFF" w:fill="FFFFFF"/>
            <w:noWrap/>
            <w:vAlign w:val="bottom"/>
            <w:hideMark/>
          </w:tcPr>
          <w:p w14:paraId="11CC2BB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OnePetro</w:t>
            </w:r>
          </w:p>
        </w:tc>
        <w:tc>
          <w:tcPr>
            <w:tcW w:w="0" w:type="auto"/>
            <w:tcBorders>
              <w:top w:val="nil"/>
              <w:left w:val="nil"/>
              <w:bottom w:val="single" w:sz="4" w:space="0" w:color="DDDDDD"/>
              <w:right w:val="single" w:sz="4" w:space="0" w:color="DDDDDD"/>
            </w:tcBorders>
            <w:shd w:val="clear" w:color="FFFFFF" w:fill="FFFFFF"/>
            <w:noWrap/>
            <w:vAlign w:val="bottom"/>
            <w:hideMark/>
          </w:tcPr>
          <w:p w14:paraId="60B60C3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online</w:t>
            </w:r>
          </w:p>
        </w:tc>
        <w:tc>
          <w:tcPr>
            <w:tcW w:w="0" w:type="auto"/>
            <w:tcBorders>
              <w:top w:val="nil"/>
              <w:left w:val="nil"/>
              <w:bottom w:val="single" w:sz="4" w:space="0" w:color="DDDDDD"/>
              <w:right w:val="single" w:sz="4" w:space="0" w:color="DDDDDD"/>
            </w:tcBorders>
            <w:shd w:val="clear" w:color="FFFFFF" w:fill="FFFFFF"/>
            <w:noWrap/>
            <w:vAlign w:val="bottom"/>
            <w:hideMark/>
          </w:tcPr>
          <w:p w14:paraId="42FF2957"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51E1D18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5F2F5F7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376D252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Yes</w:t>
            </w:r>
          </w:p>
        </w:tc>
        <w:tc>
          <w:tcPr>
            <w:tcW w:w="0" w:type="auto"/>
            <w:tcBorders>
              <w:top w:val="nil"/>
              <w:left w:val="nil"/>
              <w:bottom w:val="single" w:sz="4" w:space="0" w:color="DDDDDD"/>
              <w:right w:val="single" w:sz="4" w:space="0" w:color="DDDDDD"/>
            </w:tcBorders>
            <w:shd w:val="clear" w:color="FFFFFF" w:fill="FFFFFF"/>
            <w:noWrap/>
            <w:vAlign w:val="bottom"/>
            <w:hideMark/>
          </w:tcPr>
          <w:p w14:paraId="71371E5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https://hystories.eu/wp-content/uploads/2022/01/Unformated-Londe_H2_ADIPEC_SPE-208178-MS.pdf</w:t>
            </w:r>
          </w:p>
        </w:tc>
      </w:tr>
      <w:tr w:rsidR="00BD154D" w:rsidRPr="004535FA" w14:paraId="4E060E72"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6267DE3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ID-FAST</w:t>
            </w:r>
          </w:p>
        </w:tc>
        <w:tc>
          <w:tcPr>
            <w:tcW w:w="0" w:type="auto"/>
            <w:tcBorders>
              <w:top w:val="nil"/>
              <w:left w:val="nil"/>
              <w:bottom w:val="single" w:sz="4" w:space="0" w:color="DDDDDD"/>
              <w:right w:val="single" w:sz="4" w:space="0" w:color="DDDDDD"/>
            </w:tcBorders>
            <w:shd w:val="clear" w:color="FFFFFF" w:fill="FFFFFF"/>
            <w:noWrap/>
            <w:vAlign w:val="bottom"/>
            <w:hideMark/>
          </w:tcPr>
          <w:p w14:paraId="45C50E1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33B9887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Advancement of Segmented Cell Technology in Low Temperature Hydrogen Technologies</w:t>
            </w:r>
          </w:p>
        </w:tc>
        <w:tc>
          <w:tcPr>
            <w:tcW w:w="0" w:type="auto"/>
            <w:tcBorders>
              <w:top w:val="nil"/>
              <w:left w:val="nil"/>
              <w:bottom w:val="single" w:sz="4" w:space="0" w:color="DDDDDD"/>
              <w:right w:val="single" w:sz="4" w:space="0" w:color="DDDDDD"/>
            </w:tcBorders>
            <w:shd w:val="clear" w:color="FFFFFF" w:fill="FFFFFF"/>
            <w:noWrap/>
            <w:vAlign w:val="bottom"/>
            <w:hideMark/>
          </w:tcPr>
          <w:p w14:paraId="6FB4A1A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10.3390/en13092301</w:t>
            </w:r>
          </w:p>
        </w:tc>
        <w:tc>
          <w:tcPr>
            <w:tcW w:w="0" w:type="auto"/>
            <w:tcBorders>
              <w:top w:val="nil"/>
              <w:left w:val="nil"/>
              <w:bottom w:val="single" w:sz="4" w:space="0" w:color="DDDDDD"/>
              <w:right w:val="single" w:sz="4" w:space="0" w:color="DDDDDD"/>
            </w:tcBorders>
            <w:shd w:val="clear" w:color="FFFFFF" w:fill="FFFFFF"/>
            <w:noWrap/>
            <w:vAlign w:val="bottom"/>
            <w:hideMark/>
          </w:tcPr>
          <w:p w14:paraId="7FAA89D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19961073</w:t>
            </w:r>
          </w:p>
        </w:tc>
        <w:tc>
          <w:tcPr>
            <w:tcW w:w="0" w:type="auto"/>
            <w:tcBorders>
              <w:top w:val="nil"/>
              <w:left w:val="nil"/>
              <w:bottom w:val="single" w:sz="4" w:space="0" w:color="DDDDDD"/>
              <w:right w:val="single" w:sz="4" w:space="0" w:color="DDDDDD"/>
            </w:tcBorders>
            <w:shd w:val="clear" w:color="FFFFFF" w:fill="FFFFFF"/>
            <w:noWrap/>
            <w:vAlign w:val="bottom"/>
            <w:hideMark/>
          </w:tcPr>
          <w:p w14:paraId="4C77C96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Indro Biswas, Daniel G. Sánchez, Mathias Schulze, Jens Mitzel, Benjamin Kimmel, Aldo Saul Gago, Pawel Gazdzicki, K. Andreas Friedrich</w:t>
            </w:r>
          </w:p>
        </w:tc>
        <w:tc>
          <w:tcPr>
            <w:tcW w:w="0" w:type="auto"/>
            <w:tcBorders>
              <w:top w:val="nil"/>
              <w:left w:val="nil"/>
              <w:bottom w:val="single" w:sz="4" w:space="0" w:color="DDDDDD"/>
              <w:right w:val="single" w:sz="4" w:space="0" w:color="DDDDDD"/>
            </w:tcBorders>
            <w:shd w:val="clear" w:color="FFFFFF" w:fill="FFFFFF"/>
            <w:noWrap/>
            <w:vAlign w:val="bottom"/>
            <w:hideMark/>
          </w:tcPr>
          <w:p w14:paraId="2A76B12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Energies</w:t>
            </w:r>
          </w:p>
        </w:tc>
        <w:tc>
          <w:tcPr>
            <w:tcW w:w="0" w:type="auto"/>
            <w:tcBorders>
              <w:top w:val="nil"/>
              <w:left w:val="nil"/>
              <w:bottom w:val="single" w:sz="4" w:space="0" w:color="DDDDDD"/>
              <w:right w:val="single" w:sz="4" w:space="0" w:color="DDDDDD"/>
            </w:tcBorders>
            <w:shd w:val="clear" w:color="FFFFFF" w:fill="FFFFFF"/>
            <w:noWrap/>
            <w:vAlign w:val="bottom"/>
            <w:hideMark/>
          </w:tcPr>
          <w:p w14:paraId="267760F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13/9</w:t>
            </w:r>
          </w:p>
        </w:tc>
        <w:tc>
          <w:tcPr>
            <w:tcW w:w="0" w:type="auto"/>
            <w:tcBorders>
              <w:top w:val="nil"/>
              <w:left w:val="nil"/>
              <w:bottom w:val="single" w:sz="4" w:space="0" w:color="DDDDDD"/>
              <w:right w:val="single" w:sz="4" w:space="0" w:color="DDDDDD"/>
            </w:tcBorders>
            <w:shd w:val="clear" w:color="FFFFFF" w:fill="FFFFFF"/>
            <w:noWrap/>
            <w:vAlign w:val="bottom"/>
            <w:hideMark/>
          </w:tcPr>
          <w:p w14:paraId="4CCEB85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Multidisciplinary Digital Publishing Institute (MDPI)</w:t>
            </w:r>
          </w:p>
        </w:tc>
        <w:tc>
          <w:tcPr>
            <w:tcW w:w="0" w:type="auto"/>
            <w:tcBorders>
              <w:top w:val="nil"/>
              <w:left w:val="nil"/>
              <w:bottom w:val="single" w:sz="4" w:space="0" w:color="DDDDDD"/>
              <w:right w:val="single" w:sz="4" w:space="0" w:color="DDDDDD"/>
            </w:tcBorders>
            <w:shd w:val="clear" w:color="FFFFFF" w:fill="FFFFFF"/>
            <w:noWrap/>
            <w:vAlign w:val="bottom"/>
            <w:hideMark/>
          </w:tcPr>
          <w:p w14:paraId="3183DE8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Switzerland</w:t>
            </w:r>
          </w:p>
        </w:tc>
        <w:tc>
          <w:tcPr>
            <w:tcW w:w="0" w:type="auto"/>
            <w:tcBorders>
              <w:top w:val="nil"/>
              <w:left w:val="nil"/>
              <w:bottom w:val="single" w:sz="4" w:space="0" w:color="DDDDDD"/>
              <w:right w:val="single" w:sz="4" w:space="0" w:color="DDDDDD"/>
            </w:tcBorders>
            <w:shd w:val="clear" w:color="FFFFFF" w:fill="FFFFFF"/>
            <w:noWrap/>
            <w:vAlign w:val="bottom"/>
            <w:hideMark/>
          </w:tcPr>
          <w:p w14:paraId="2AFD3FA8"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2020</w:t>
            </w:r>
          </w:p>
        </w:tc>
        <w:tc>
          <w:tcPr>
            <w:tcW w:w="0" w:type="auto"/>
            <w:tcBorders>
              <w:top w:val="nil"/>
              <w:left w:val="nil"/>
              <w:bottom w:val="single" w:sz="4" w:space="0" w:color="DDDDDD"/>
              <w:right w:val="single" w:sz="4" w:space="0" w:color="DDDDDD"/>
            </w:tcBorders>
            <w:shd w:val="clear" w:color="FFFFFF" w:fill="FFFFFF"/>
            <w:noWrap/>
            <w:vAlign w:val="bottom"/>
            <w:hideMark/>
          </w:tcPr>
          <w:p w14:paraId="507FDC9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2301</w:t>
            </w:r>
          </w:p>
        </w:tc>
        <w:tc>
          <w:tcPr>
            <w:tcW w:w="0" w:type="auto"/>
            <w:tcBorders>
              <w:top w:val="nil"/>
              <w:left w:val="nil"/>
              <w:bottom w:val="single" w:sz="4" w:space="0" w:color="DDDDDD"/>
              <w:right w:val="single" w:sz="4" w:space="0" w:color="DDDDDD"/>
            </w:tcBorders>
            <w:shd w:val="clear" w:color="FFFFFF" w:fill="FFFFFF"/>
            <w:noWrap/>
            <w:vAlign w:val="bottom"/>
            <w:hideMark/>
          </w:tcPr>
          <w:p w14:paraId="543F189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139E995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466C911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https://www.mdpi.com/1996-1073/13/9/2301</w:t>
            </w:r>
          </w:p>
        </w:tc>
      </w:tr>
      <w:tr w:rsidR="00BD154D" w:rsidRPr="004535FA" w14:paraId="390A66FE"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5964FA0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ID-F</w:t>
            </w:r>
            <w:r w:rsidRPr="00F07F7C">
              <w:rPr>
                <w:rFonts w:ascii="Arial" w:eastAsia="Times New Roman" w:hAnsi="Arial" w:cs="Arial"/>
                <w:color w:val="333333"/>
                <w:sz w:val="12"/>
                <w:szCs w:val="12"/>
                <w:lang w:eastAsia="en-GB"/>
              </w:rPr>
              <w:lastRenderedPageBreak/>
              <w:t>AST</w:t>
            </w:r>
          </w:p>
        </w:tc>
        <w:tc>
          <w:tcPr>
            <w:tcW w:w="0" w:type="auto"/>
            <w:tcBorders>
              <w:top w:val="nil"/>
              <w:left w:val="nil"/>
              <w:bottom w:val="single" w:sz="4" w:space="0" w:color="DDDDDD"/>
              <w:right w:val="single" w:sz="4" w:space="0" w:color="DDDDDD"/>
            </w:tcBorders>
            <w:shd w:val="clear" w:color="FFFFFF" w:fill="FFFFFF"/>
            <w:noWrap/>
            <w:vAlign w:val="bottom"/>
            <w:hideMark/>
          </w:tcPr>
          <w:p w14:paraId="11D833B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lastRenderedPageBreak/>
              <w:t>PEER_REVI</w:t>
            </w:r>
            <w:r w:rsidRPr="00F07F7C">
              <w:rPr>
                <w:rFonts w:ascii="Arial" w:eastAsia="Times New Roman" w:hAnsi="Arial" w:cs="Arial"/>
                <w:color w:val="333333"/>
                <w:sz w:val="12"/>
                <w:szCs w:val="12"/>
                <w:lang w:eastAsia="en-GB"/>
              </w:rPr>
              <w:lastRenderedPageBreak/>
              <w:t>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2E439E5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lastRenderedPageBreak/>
              <w:t xml:space="preserve">Mitigated Start-Up of PEMFC in Real Automotive Conditions: Local Experimental Investigation </w:t>
            </w:r>
            <w:r w:rsidRPr="00F07F7C">
              <w:rPr>
                <w:rFonts w:ascii="Arial" w:eastAsia="Times New Roman" w:hAnsi="Arial" w:cs="Arial"/>
                <w:color w:val="333333"/>
                <w:sz w:val="12"/>
                <w:szCs w:val="12"/>
                <w:lang w:eastAsia="en-GB"/>
              </w:rPr>
              <w:lastRenderedPageBreak/>
              <w:t>and Development of a New Accelerated Stress Test Protocol</w:t>
            </w:r>
          </w:p>
        </w:tc>
        <w:tc>
          <w:tcPr>
            <w:tcW w:w="0" w:type="auto"/>
            <w:tcBorders>
              <w:top w:val="nil"/>
              <w:left w:val="nil"/>
              <w:bottom w:val="single" w:sz="4" w:space="0" w:color="DDDDDD"/>
              <w:right w:val="single" w:sz="4" w:space="0" w:color="DDDDDD"/>
            </w:tcBorders>
            <w:shd w:val="clear" w:color="FFFFFF" w:fill="FFFFFF"/>
            <w:noWrap/>
            <w:vAlign w:val="bottom"/>
            <w:hideMark/>
          </w:tcPr>
          <w:p w14:paraId="731D1F7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lastRenderedPageBreak/>
              <w:t>10.1149/1945-</w:t>
            </w:r>
            <w:r w:rsidRPr="00F07F7C">
              <w:rPr>
                <w:rFonts w:ascii="Arial" w:eastAsia="Times New Roman" w:hAnsi="Arial" w:cs="Arial"/>
                <w:color w:val="333333"/>
                <w:sz w:val="12"/>
                <w:szCs w:val="12"/>
                <w:lang w:eastAsia="en-GB"/>
              </w:rPr>
              <w:lastRenderedPageBreak/>
              <w:t>7111/abf77b</w:t>
            </w:r>
          </w:p>
        </w:tc>
        <w:tc>
          <w:tcPr>
            <w:tcW w:w="0" w:type="auto"/>
            <w:tcBorders>
              <w:top w:val="nil"/>
              <w:left w:val="nil"/>
              <w:bottom w:val="single" w:sz="4" w:space="0" w:color="DDDDDD"/>
              <w:right w:val="single" w:sz="4" w:space="0" w:color="DDDDDD"/>
            </w:tcBorders>
            <w:shd w:val="clear" w:color="FFFFFF" w:fill="FFFFFF"/>
            <w:noWrap/>
            <w:vAlign w:val="bottom"/>
            <w:hideMark/>
          </w:tcPr>
          <w:p w14:paraId="3F4C8E6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lastRenderedPageBreak/>
              <w:t>0013</w:t>
            </w:r>
            <w:r w:rsidRPr="00F07F7C">
              <w:rPr>
                <w:rFonts w:ascii="Arial" w:eastAsia="Times New Roman" w:hAnsi="Arial" w:cs="Arial"/>
                <w:color w:val="333333"/>
                <w:sz w:val="12"/>
                <w:szCs w:val="12"/>
                <w:lang w:eastAsia="en-GB"/>
              </w:rPr>
              <w:lastRenderedPageBreak/>
              <w:t>4651</w:t>
            </w:r>
          </w:p>
        </w:tc>
        <w:tc>
          <w:tcPr>
            <w:tcW w:w="0" w:type="auto"/>
            <w:tcBorders>
              <w:top w:val="nil"/>
              <w:left w:val="nil"/>
              <w:bottom w:val="single" w:sz="4" w:space="0" w:color="DDDDDD"/>
              <w:right w:val="single" w:sz="4" w:space="0" w:color="DDDDDD"/>
            </w:tcBorders>
            <w:shd w:val="clear" w:color="FFFFFF" w:fill="FFFFFF"/>
            <w:noWrap/>
            <w:vAlign w:val="bottom"/>
            <w:hideMark/>
          </w:tcPr>
          <w:p w14:paraId="77005A49" w14:textId="77777777" w:rsidR="00BD154D" w:rsidRPr="00A60794" w:rsidRDefault="00BD154D" w:rsidP="00DF2591">
            <w:pPr>
              <w:spacing w:after="0" w:line="240" w:lineRule="auto"/>
              <w:rPr>
                <w:rFonts w:ascii="Arial" w:eastAsia="Times New Roman" w:hAnsi="Arial" w:cs="Arial"/>
                <w:color w:val="333333"/>
                <w:sz w:val="12"/>
                <w:szCs w:val="12"/>
                <w:lang w:val="es-ES" w:eastAsia="en-GB"/>
              </w:rPr>
            </w:pPr>
            <w:r w:rsidRPr="00A60794">
              <w:rPr>
                <w:rFonts w:ascii="Arial" w:eastAsia="Times New Roman" w:hAnsi="Arial" w:cs="Arial"/>
                <w:color w:val="333333"/>
                <w:sz w:val="12"/>
                <w:szCs w:val="12"/>
                <w:lang w:val="es-ES" w:eastAsia="en-GB"/>
              </w:rPr>
              <w:lastRenderedPageBreak/>
              <w:t>Andrea Bisello, Elena Colombo, Andrea Baricci, Claudio Rabissi, Laure Guetaz, Pawel Gazdzicki, Andrea Casalegno</w:t>
            </w:r>
          </w:p>
        </w:tc>
        <w:tc>
          <w:tcPr>
            <w:tcW w:w="0" w:type="auto"/>
            <w:tcBorders>
              <w:top w:val="nil"/>
              <w:left w:val="nil"/>
              <w:bottom w:val="single" w:sz="4" w:space="0" w:color="DDDDDD"/>
              <w:right w:val="single" w:sz="4" w:space="0" w:color="DDDDDD"/>
            </w:tcBorders>
            <w:shd w:val="clear" w:color="FFFFFF" w:fill="FFFFFF"/>
            <w:noWrap/>
            <w:vAlign w:val="bottom"/>
            <w:hideMark/>
          </w:tcPr>
          <w:p w14:paraId="6394A44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Journal of The Electrochemical Society</w:t>
            </w:r>
          </w:p>
        </w:tc>
        <w:tc>
          <w:tcPr>
            <w:tcW w:w="0" w:type="auto"/>
            <w:tcBorders>
              <w:top w:val="nil"/>
              <w:left w:val="nil"/>
              <w:bottom w:val="single" w:sz="4" w:space="0" w:color="DDDDDD"/>
              <w:right w:val="single" w:sz="4" w:space="0" w:color="DDDDDD"/>
            </w:tcBorders>
            <w:shd w:val="clear" w:color="FFFFFF" w:fill="FFFFFF"/>
            <w:noWrap/>
            <w:vAlign w:val="bottom"/>
            <w:hideMark/>
          </w:tcPr>
          <w:p w14:paraId="586FC22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168/5</w:t>
            </w:r>
          </w:p>
        </w:tc>
        <w:tc>
          <w:tcPr>
            <w:tcW w:w="0" w:type="auto"/>
            <w:tcBorders>
              <w:top w:val="nil"/>
              <w:left w:val="nil"/>
              <w:bottom w:val="single" w:sz="4" w:space="0" w:color="DDDDDD"/>
              <w:right w:val="single" w:sz="4" w:space="0" w:color="DDDDDD"/>
            </w:tcBorders>
            <w:shd w:val="clear" w:color="FFFFFF" w:fill="FFFFFF"/>
            <w:noWrap/>
            <w:vAlign w:val="bottom"/>
            <w:hideMark/>
          </w:tcPr>
          <w:p w14:paraId="527894D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xml:space="preserve">Electrochemical </w:t>
            </w:r>
            <w:r w:rsidRPr="00F07F7C">
              <w:rPr>
                <w:rFonts w:ascii="Arial" w:eastAsia="Times New Roman" w:hAnsi="Arial" w:cs="Arial"/>
                <w:color w:val="333333"/>
                <w:sz w:val="12"/>
                <w:szCs w:val="12"/>
                <w:lang w:eastAsia="en-GB"/>
              </w:rPr>
              <w:lastRenderedPageBreak/>
              <w:t>Society, Inc.</w:t>
            </w:r>
          </w:p>
        </w:tc>
        <w:tc>
          <w:tcPr>
            <w:tcW w:w="0" w:type="auto"/>
            <w:tcBorders>
              <w:top w:val="nil"/>
              <w:left w:val="nil"/>
              <w:bottom w:val="single" w:sz="4" w:space="0" w:color="DDDDDD"/>
              <w:right w:val="single" w:sz="4" w:space="0" w:color="DDDDDD"/>
            </w:tcBorders>
            <w:shd w:val="clear" w:color="FFFFFF" w:fill="FFFFFF"/>
            <w:noWrap/>
            <w:vAlign w:val="bottom"/>
            <w:hideMark/>
          </w:tcPr>
          <w:p w14:paraId="76F2857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lastRenderedPageBreak/>
              <w:t>United States</w:t>
            </w:r>
          </w:p>
        </w:tc>
        <w:tc>
          <w:tcPr>
            <w:tcW w:w="0" w:type="auto"/>
            <w:tcBorders>
              <w:top w:val="nil"/>
              <w:left w:val="nil"/>
              <w:bottom w:val="single" w:sz="4" w:space="0" w:color="DDDDDD"/>
              <w:right w:val="single" w:sz="4" w:space="0" w:color="DDDDDD"/>
            </w:tcBorders>
            <w:shd w:val="clear" w:color="FFFFFF" w:fill="FFFFFF"/>
            <w:noWrap/>
            <w:vAlign w:val="bottom"/>
            <w:hideMark/>
          </w:tcPr>
          <w:p w14:paraId="50F7417B"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3897F34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054501</w:t>
            </w:r>
          </w:p>
        </w:tc>
        <w:tc>
          <w:tcPr>
            <w:tcW w:w="0" w:type="auto"/>
            <w:tcBorders>
              <w:top w:val="nil"/>
              <w:left w:val="nil"/>
              <w:bottom w:val="single" w:sz="4" w:space="0" w:color="DDDDDD"/>
              <w:right w:val="single" w:sz="4" w:space="0" w:color="DDDDDD"/>
            </w:tcBorders>
            <w:shd w:val="clear" w:color="FFFFFF" w:fill="FFFFFF"/>
            <w:noWrap/>
            <w:vAlign w:val="bottom"/>
            <w:hideMark/>
          </w:tcPr>
          <w:p w14:paraId="385DFF8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0921CCF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70C10C8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http://hdl.handle.net/11311/1177724</w:t>
            </w:r>
          </w:p>
        </w:tc>
      </w:tr>
      <w:tr w:rsidR="00BD154D" w:rsidRPr="004535FA" w14:paraId="765FBDED"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5F1DF0E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ID-FAST</w:t>
            </w:r>
          </w:p>
        </w:tc>
        <w:tc>
          <w:tcPr>
            <w:tcW w:w="0" w:type="auto"/>
            <w:tcBorders>
              <w:top w:val="nil"/>
              <w:left w:val="nil"/>
              <w:bottom w:val="single" w:sz="4" w:space="0" w:color="DDDDDD"/>
              <w:right w:val="single" w:sz="4" w:space="0" w:color="DDDDDD"/>
            </w:tcBorders>
            <w:shd w:val="clear" w:color="FFFFFF" w:fill="FFFFFF"/>
            <w:noWrap/>
            <w:vAlign w:val="bottom"/>
            <w:hideMark/>
          </w:tcPr>
          <w:p w14:paraId="1AB04EA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78C50F2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Mitigating PEMFC Degradation During Start-Up: Locally Resolved Experimental Analysis and Transient Physical Modelling</w:t>
            </w:r>
          </w:p>
        </w:tc>
        <w:tc>
          <w:tcPr>
            <w:tcW w:w="0" w:type="auto"/>
            <w:tcBorders>
              <w:top w:val="nil"/>
              <w:left w:val="nil"/>
              <w:bottom w:val="single" w:sz="4" w:space="0" w:color="DDDDDD"/>
              <w:right w:val="single" w:sz="4" w:space="0" w:color="DDDDDD"/>
            </w:tcBorders>
            <w:shd w:val="clear" w:color="FFFFFF" w:fill="FFFFFF"/>
            <w:noWrap/>
            <w:vAlign w:val="bottom"/>
            <w:hideMark/>
          </w:tcPr>
          <w:p w14:paraId="3AE2A8B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10.1149/1945-7111/abf4eb</w:t>
            </w:r>
          </w:p>
        </w:tc>
        <w:tc>
          <w:tcPr>
            <w:tcW w:w="0" w:type="auto"/>
            <w:tcBorders>
              <w:top w:val="nil"/>
              <w:left w:val="nil"/>
              <w:bottom w:val="single" w:sz="4" w:space="0" w:color="DDDDDD"/>
              <w:right w:val="single" w:sz="4" w:space="0" w:color="DDDDDD"/>
            </w:tcBorders>
            <w:shd w:val="clear" w:color="FFFFFF" w:fill="FFFFFF"/>
            <w:noWrap/>
            <w:vAlign w:val="bottom"/>
            <w:hideMark/>
          </w:tcPr>
          <w:p w14:paraId="246EC5F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00134651</w:t>
            </w:r>
          </w:p>
        </w:tc>
        <w:tc>
          <w:tcPr>
            <w:tcW w:w="0" w:type="auto"/>
            <w:tcBorders>
              <w:top w:val="nil"/>
              <w:left w:val="nil"/>
              <w:bottom w:val="single" w:sz="4" w:space="0" w:color="DDDDDD"/>
              <w:right w:val="single" w:sz="4" w:space="0" w:color="DDDDDD"/>
            </w:tcBorders>
            <w:shd w:val="clear" w:color="FFFFFF" w:fill="FFFFFF"/>
            <w:noWrap/>
            <w:vAlign w:val="bottom"/>
            <w:hideMark/>
          </w:tcPr>
          <w:p w14:paraId="48ACDCD5" w14:textId="77777777" w:rsidR="00BD154D" w:rsidRPr="00A60794" w:rsidRDefault="00BD154D" w:rsidP="00DF2591">
            <w:pPr>
              <w:spacing w:after="0" w:line="240" w:lineRule="auto"/>
              <w:rPr>
                <w:rFonts w:ascii="Arial" w:eastAsia="Times New Roman" w:hAnsi="Arial" w:cs="Arial"/>
                <w:color w:val="333333"/>
                <w:sz w:val="12"/>
                <w:szCs w:val="12"/>
                <w:lang w:val="es-ES" w:eastAsia="en-GB"/>
              </w:rPr>
            </w:pPr>
            <w:r w:rsidRPr="00A60794">
              <w:rPr>
                <w:rFonts w:ascii="Arial" w:eastAsia="Times New Roman" w:hAnsi="Arial" w:cs="Arial"/>
                <w:color w:val="333333"/>
                <w:sz w:val="12"/>
                <w:szCs w:val="12"/>
                <w:lang w:val="es-ES" w:eastAsia="en-GB"/>
              </w:rPr>
              <w:t>Elena Colombo, Andrea Bisello, Andrea Casalegno, Andrea Baricci</w:t>
            </w:r>
          </w:p>
        </w:tc>
        <w:tc>
          <w:tcPr>
            <w:tcW w:w="0" w:type="auto"/>
            <w:tcBorders>
              <w:top w:val="nil"/>
              <w:left w:val="nil"/>
              <w:bottom w:val="single" w:sz="4" w:space="0" w:color="DDDDDD"/>
              <w:right w:val="single" w:sz="4" w:space="0" w:color="DDDDDD"/>
            </w:tcBorders>
            <w:shd w:val="clear" w:color="FFFFFF" w:fill="FFFFFF"/>
            <w:noWrap/>
            <w:vAlign w:val="bottom"/>
            <w:hideMark/>
          </w:tcPr>
          <w:p w14:paraId="2AA0C44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Journal of The Electrochemical Society</w:t>
            </w:r>
          </w:p>
        </w:tc>
        <w:tc>
          <w:tcPr>
            <w:tcW w:w="0" w:type="auto"/>
            <w:tcBorders>
              <w:top w:val="nil"/>
              <w:left w:val="nil"/>
              <w:bottom w:val="single" w:sz="4" w:space="0" w:color="DDDDDD"/>
              <w:right w:val="single" w:sz="4" w:space="0" w:color="DDDDDD"/>
            </w:tcBorders>
            <w:shd w:val="clear" w:color="FFFFFF" w:fill="FFFFFF"/>
            <w:noWrap/>
            <w:vAlign w:val="bottom"/>
            <w:hideMark/>
          </w:tcPr>
          <w:p w14:paraId="7495A22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168/5</w:t>
            </w:r>
          </w:p>
        </w:tc>
        <w:tc>
          <w:tcPr>
            <w:tcW w:w="0" w:type="auto"/>
            <w:tcBorders>
              <w:top w:val="nil"/>
              <w:left w:val="nil"/>
              <w:bottom w:val="single" w:sz="4" w:space="0" w:color="DDDDDD"/>
              <w:right w:val="single" w:sz="4" w:space="0" w:color="DDDDDD"/>
            </w:tcBorders>
            <w:shd w:val="clear" w:color="FFFFFF" w:fill="FFFFFF"/>
            <w:noWrap/>
            <w:vAlign w:val="bottom"/>
            <w:hideMark/>
          </w:tcPr>
          <w:p w14:paraId="2B7B1A1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Electrochemical Society, Inc.</w:t>
            </w:r>
          </w:p>
        </w:tc>
        <w:tc>
          <w:tcPr>
            <w:tcW w:w="0" w:type="auto"/>
            <w:tcBorders>
              <w:top w:val="nil"/>
              <w:left w:val="nil"/>
              <w:bottom w:val="single" w:sz="4" w:space="0" w:color="DDDDDD"/>
              <w:right w:val="single" w:sz="4" w:space="0" w:color="DDDDDD"/>
            </w:tcBorders>
            <w:shd w:val="clear" w:color="FFFFFF" w:fill="FFFFFF"/>
            <w:noWrap/>
            <w:vAlign w:val="bottom"/>
            <w:hideMark/>
          </w:tcPr>
          <w:p w14:paraId="2CA4054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United States</w:t>
            </w:r>
          </w:p>
        </w:tc>
        <w:tc>
          <w:tcPr>
            <w:tcW w:w="0" w:type="auto"/>
            <w:tcBorders>
              <w:top w:val="nil"/>
              <w:left w:val="nil"/>
              <w:bottom w:val="single" w:sz="4" w:space="0" w:color="DDDDDD"/>
              <w:right w:val="single" w:sz="4" w:space="0" w:color="DDDDDD"/>
            </w:tcBorders>
            <w:shd w:val="clear" w:color="FFFFFF" w:fill="FFFFFF"/>
            <w:noWrap/>
            <w:vAlign w:val="bottom"/>
            <w:hideMark/>
          </w:tcPr>
          <w:p w14:paraId="2B6B1504"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4611F1F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054508</w:t>
            </w:r>
          </w:p>
        </w:tc>
        <w:tc>
          <w:tcPr>
            <w:tcW w:w="0" w:type="auto"/>
            <w:tcBorders>
              <w:top w:val="nil"/>
              <w:left w:val="nil"/>
              <w:bottom w:val="single" w:sz="4" w:space="0" w:color="DDDDDD"/>
              <w:right w:val="single" w:sz="4" w:space="0" w:color="DDDDDD"/>
            </w:tcBorders>
            <w:shd w:val="clear" w:color="FFFFFF" w:fill="FFFFFF"/>
            <w:noWrap/>
            <w:vAlign w:val="bottom"/>
            <w:hideMark/>
          </w:tcPr>
          <w:p w14:paraId="397CCE2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03FD68D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2BABBC3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http://hdl.handle.net/11311/1177796</w:t>
            </w:r>
          </w:p>
        </w:tc>
      </w:tr>
      <w:tr w:rsidR="00BD154D" w:rsidRPr="004535FA" w14:paraId="2A713964"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52061F4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ID-FAST</w:t>
            </w:r>
          </w:p>
        </w:tc>
        <w:tc>
          <w:tcPr>
            <w:tcW w:w="0" w:type="auto"/>
            <w:tcBorders>
              <w:top w:val="nil"/>
              <w:left w:val="nil"/>
              <w:bottom w:val="single" w:sz="4" w:space="0" w:color="DDDDDD"/>
              <w:right w:val="single" w:sz="4" w:space="0" w:color="DDDDDD"/>
            </w:tcBorders>
            <w:shd w:val="clear" w:color="FFFFFF" w:fill="FFFFFF"/>
            <w:noWrap/>
            <w:vAlign w:val="bottom"/>
            <w:hideMark/>
          </w:tcPr>
          <w:p w14:paraId="4FEB2CD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0C239DC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The Challenges in Reliable Determination of Degradation Rates and Lifetime in Polymer Electrolyte Membrane Fuel Cells</w:t>
            </w:r>
          </w:p>
        </w:tc>
        <w:tc>
          <w:tcPr>
            <w:tcW w:w="0" w:type="auto"/>
            <w:tcBorders>
              <w:top w:val="nil"/>
              <w:left w:val="nil"/>
              <w:bottom w:val="single" w:sz="4" w:space="0" w:color="DDDDDD"/>
              <w:right w:val="single" w:sz="4" w:space="0" w:color="DDDDDD"/>
            </w:tcBorders>
            <w:shd w:val="clear" w:color="FFFFFF" w:fill="FFFFFF"/>
            <w:noWrap/>
            <w:vAlign w:val="bottom"/>
            <w:hideMark/>
          </w:tcPr>
          <w:p w14:paraId="4D68B03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10.1016/j.coelec.2021.100863</w:t>
            </w:r>
          </w:p>
        </w:tc>
        <w:tc>
          <w:tcPr>
            <w:tcW w:w="0" w:type="auto"/>
            <w:tcBorders>
              <w:top w:val="nil"/>
              <w:left w:val="nil"/>
              <w:bottom w:val="single" w:sz="4" w:space="0" w:color="DDDDDD"/>
              <w:right w:val="single" w:sz="4" w:space="0" w:color="DDDDDD"/>
            </w:tcBorders>
            <w:shd w:val="clear" w:color="FFFFFF" w:fill="FFFFFF"/>
            <w:noWrap/>
            <w:vAlign w:val="bottom"/>
            <w:hideMark/>
          </w:tcPr>
          <w:p w14:paraId="443BF38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24519103</w:t>
            </w:r>
          </w:p>
        </w:tc>
        <w:tc>
          <w:tcPr>
            <w:tcW w:w="0" w:type="auto"/>
            <w:tcBorders>
              <w:top w:val="nil"/>
              <w:left w:val="nil"/>
              <w:bottom w:val="single" w:sz="4" w:space="0" w:color="DDDDDD"/>
              <w:right w:val="single" w:sz="4" w:space="0" w:color="DDDDDD"/>
            </w:tcBorders>
            <w:shd w:val="clear" w:color="FFFFFF" w:fill="FFFFFF"/>
            <w:noWrap/>
            <w:vAlign w:val="bottom"/>
            <w:hideMark/>
          </w:tcPr>
          <w:p w14:paraId="4AFB91C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Qian Zhang, Corinna Harms, Jens Mitzel, Pawel Gazdzicki, K. Andreas Friedrich</w:t>
            </w:r>
          </w:p>
        </w:tc>
        <w:tc>
          <w:tcPr>
            <w:tcW w:w="0" w:type="auto"/>
            <w:tcBorders>
              <w:top w:val="nil"/>
              <w:left w:val="nil"/>
              <w:bottom w:val="single" w:sz="4" w:space="0" w:color="DDDDDD"/>
              <w:right w:val="single" w:sz="4" w:space="0" w:color="DDDDDD"/>
            </w:tcBorders>
            <w:shd w:val="clear" w:color="FFFFFF" w:fill="FFFFFF"/>
            <w:noWrap/>
            <w:vAlign w:val="bottom"/>
            <w:hideMark/>
          </w:tcPr>
          <w:p w14:paraId="3014A7E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Current Opinion in Electrochemistry</w:t>
            </w:r>
          </w:p>
        </w:tc>
        <w:tc>
          <w:tcPr>
            <w:tcW w:w="0" w:type="auto"/>
            <w:tcBorders>
              <w:top w:val="nil"/>
              <w:left w:val="nil"/>
              <w:bottom w:val="single" w:sz="4" w:space="0" w:color="DDDDDD"/>
              <w:right w:val="single" w:sz="4" w:space="0" w:color="DDDDDD"/>
            </w:tcBorders>
            <w:shd w:val="clear" w:color="FFFFFF" w:fill="FFFFFF"/>
            <w:noWrap/>
            <w:vAlign w:val="bottom"/>
            <w:hideMark/>
          </w:tcPr>
          <w:p w14:paraId="2379571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010F5DA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Elseiver</w:t>
            </w:r>
          </w:p>
        </w:tc>
        <w:tc>
          <w:tcPr>
            <w:tcW w:w="0" w:type="auto"/>
            <w:tcBorders>
              <w:top w:val="nil"/>
              <w:left w:val="nil"/>
              <w:bottom w:val="single" w:sz="4" w:space="0" w:color="DDDDDD"/>
              <w:right w:val="single" w:sz="4" w:space="0" w:color="DDDDDD"/>
            </w:tcBorders>
            <w:shd w:val="clear" w:color="FFFFFF" w:fill="FFFFFF"/>
            <w:noWrap/>
            <w:vAlign w:val="bottom"/>
            <w:hideMark/>
          </w:tcPr>
          <w:p w14:paraId="4588CE5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online</w:t>
            </w:r>
          </w:p>
        </w:tc>
        <w:tc>
          <w:tcPr>
            <w:tcW w:w="0" w:type="auto"/>
            <w:tcBorders>
              <w:top w:val="nil"/>
              <w:left w:val="nil"/>
              <w:bottom w:val="single" w:sz="4" w:space="0" w:color="DDDDDD"/>
              <w:right w:val="single" w:sz="4" w:space="0" w:color="DDDDDD"/>
            </w:tcBorders>
            <w:shd w:val="clear" w:color="FFFFFF" w:fill="FFFFFF"/>
            <w:noWrap/>
            <w:vAlign w:val="bottom"/>
            <w:hideMark/>
          </w:tcPr>
          <w:p w14:paraId="2C61F246"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44982B9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1CCE0B1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278D32A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6EDCDF5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https://elib.dlr.de/144829/</w:t>
            </w:r>
          </w:p>
        </w:tc>
      </w:tr>
      <w:tr w:rsidR="00BD154D" w:rsidRPr="004535FA" w14:paraId="309E64D6"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54B3861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LOWCOST-IC</w:t>
            </w:r>
          </w:p>
        </w:tc>
        <w:tc>
          <w:tcPr>
            <w:tcW w:w="0" w:type="auto"/>
            <w:tcBorders>
              <w:top w:val="nil"/>
              <w:left w:val="nil"/>
              <w:bottom w:val="single" w:sz="4" w:space="0" w:color="DDDDDD"/>
              <w:right w:val="single" w:sz="4" w:space="0" w:color="DDDDDD"/>
            </w:tcBorders>
            <w:shd w:val="clear" w:color="FFFFFF" w:fill="FFFFFF"/>
            <w:noWrap/>
            <w:vAlign w:val="bottom"/>
            <w:hideMark/>
          </w:tcPr>
          <w:p w14:paraId="062B4B1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45EC701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Fast and stable approximation of laminar and turbulent flows in channels by Darcy’s Law</w:t>
            </w:r>
          </w:p>
        </w:tc>
        <w:tc>
          <w:tcPr>
            <w:tcW w:w="0" w:type="auto"/>
            <w:tcBorders>
              <w:top w:val="nil"/>
              <w:left w:val="nil"/>
              <w:bottom w:val="single" w:sz="4" w:space="0" w:color="DDDDDD"/>
              <w:right w:val="single" w:sz="4" w:space="0" w:color="DDDDDD"/>
            </w:tcBorders>
            <w:shd w:val="clear" w:color="FFFFFF" w:fill="FFFFFF"/>
            <w:noWrap/>
            <w:vAlign w:val="bottom"/>
            <w:hideMark/>
          </w:tcPr>
          <w:p w14:paraId="1A943DA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10.1016/j.aej.2020.12.033</w:t>
            </w:r>
          </w:p>
        </w:tc>
        <w:tc>
          <w:tcPr>
            <w:tcW w:w="0" w:type="auto"/>
            <w:tcBorders>
              <w:top w:val="nil"/>
              <w:left w:val="nil"/>
              <w:bottom w:val="single" w:sz="4" w:space="0" w:color="DDDDDD"/>
              <w:right w:val="single" w:sz="4" w:space="0" w:color="DDDDDD"/>
            </w:tcBorders>
            <w:shd w:val="clear" w:color="FFFFFF" w:fill="FFFFFF"/>
            <w:noWrap/>
            <w:vAlign w:val="bottom"/>
            <w:hideMark/>
          </w:tcPr>
          <w:p w14:paraId="440E04B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1110-0168</w:t>
            </w:r>
          </w:p>
        </w:tc>
        <w:tc>
          <w:tcPr>
            <w:tcW w:w="0" w:type="auto"/>
            <w:tcBorders>
              <w:top w:val="nil"/>
              <w:left w:val="nil"/>
              <w:bottom w:val="single" w:sz="4" w:space="0" w:color="DDDDDD"/>
              <w:right w:val="single" w:sz="4" w:space="0" w:color="DDDDDD"/>
            </w:tcBorders>
            <w:shd w:val="clear" w:color="FFFFFF" w:fill="FFFFFF"/>
            <w:noWrap/>
            <w:vAlign w:val="bottom"/>
            <w:hideMark/>
          </w:tcPr>
          <w:p w14:paraId="68D79A2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Omid Babaie Rizvandi, Xing-Yuan Miao, Henrik Lund Frandsen</w:t>
            </w:r>
          </w:p>
        </w:tc>
        <w:tc>
          <w:tcPr>
            <w:tcW w:w="0" w:type="auto"/>
            <w:tcBorders>
              <w:top w:val="nil"/>
              <w:left w:val="nil"/>
              <w:bottom w:val="single" w:sz="4" w:space="0" w:color="DDDDDD"/>
              <w:right w:val="single" w:sz="4" w:space="0" w:color="DDDDDD"/>
            </w:tcBorders>
            <w:shd w:val="clear" w:color="FFFFFF" w:fill="FFFFFF"/>
            <w:noWrap/>
            <w:vAlign w:val="bottom"/>
            <w:hideMark/>
          </w:tcPr>
          <w:p w14:paraId="324284F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Alexandria Engineering Journal</w:t>
            </w:r>
          </w:p>
        </w:tc>
        <w:tc>
          <w:tcPr>
            <w:tcW w:w="0" w:type="auto"/>
            <w:tcBorders>
              <w:top w:val="nil"/>
              <w:left w:val="nil"/>
              <w:bottom w:val="single" w:sz="4" w:space="0" w:color="DDDDDD"/>
              <w:right w:val="single" w:sz="4" w:space="0" w:color="DDDDDD"/>
            </w:tcBorders>
            <w:shd w:val="clear" w:color="FFFFFF" w:fill="FFFFFF"/>
            <w:noWrap/>
            <w:vAlign w:val="bottom"/>
            <w:hideMark/>
          </w:tcPr>
          <w:p w14:paraId="3CF2EE2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Vol. 60</w:t>
            </w:r>
          </w:p>
        </w:tc>
        <w:tc>
          <w:tcPr>
            <w:tcW w:w="0" w:type="auto"/>
            <w:tcBorders>
              <w:top w:val="nil"/>
              <w:left w:val="nil"/>
              <w:bottom w:val="single" w:sz="4" w:space="0" w:color="DDDDDD"/>
              <w:right w:val="single" w:sz="4" w:space="0" w:color="DDDDDD"/>
            </w:tcBorders>
            <w:shd w:val="clear" w:color="FFFFFF" w:fill="FFFFFF"/>
            <w:noWrap/>
            <w:vAlign w:val="bottom"/>
            <w:hideMark/>
          </w:tcPr>
          <w:p w14:paraId="4EA7883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Alexandria University</w:t>
            </w:r>
          </w:p>
        </w:tc>
        <w:tc>
          <w:tcPr>
            <w:tcW w:w="0" w:type="auto"/>
            <w:tcBorders>
              <w:top w:val="nil"/>
              <w:left w:val="nil"/>
              <w:bottom w:val="single" w:sz="4" w:space="0" w:color="DDDDDD"/>
              <w:right w:val="single" w:sz="4" w:space="0" w:color="DDDDDD"/>
            </w:tcBorders>
            <w:shd w:val="clear" w:color="FFFFFF" w:fill="FFFFFF"/>
            <w:noWrap/>
            <w:vAlign w:val="bottom"/>
            <w:hideMark/>
          </w:tcPr>
          <w:p w14:paraId="0C21805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Egypt</w:t>
            </w:r>
          </w:p>
        </w:tc>
        <w:tc>
          <w:tcPr>
            <w:tcW w:w="0" w:type="auto"/>
            <w:tcBorders>
              <w:top w:val="nil"/>
              <w:left w:val="nil"/>
              <w:bottom w:val="single" w:sz="4" w:space="0" w:color="DDDDDD"/>
              <w:right w:val="single" w:sz="4" w:space="0" w:color="DDDDDD"/>
            </w:tcBorders>
            <w:shd w:val="clear" w:color="FFFFFF" w:fill="FFFFFF"/>
            <w:noWrap/>
            <w:vAlign w:val="bottom"/>
            <w:hideMark/>
          </w:tcPr>
          <w:p w14:paraId="7C458C0D"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131AD7F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2155-2165</w:t>
            </w:r>
          </w:p>
        </w:tc>
        <w:tc>
          <w:tcPr>
            <w:tcW w:w="0" w:type="auto"/>
            <w:tcBorders>
              <w:top w:val="nil"/>
              <w:left w:val="nil"/>
              <w:bottom w:val="single" w:sz="4" w:space="0" w:color="DDDDDD"/>
              <w:right w:val="single" w:sz="4" w:space="0" w:color="DDDDDD"/>
            </w:tcBorders>
            <w:shd w:val="clear" w:color="FFFFFF" w:fill="FFFFFF"/>
            <w:noWrap/>
            <w:vAlign w:val="bottom"/>
            <w:hideMark/>
          </w:tcPr>
          <w:p w14:paraId="07DCFC2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43C10AB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5FC556C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https://orbit.dtu.dk/en/publications/fast-and-stable-approximation-of-laminar-and-turbulent-flows-in-c</w:t>
            </w:r>
          </w:p>
        </w:tc>
      </w:tr>
      <w:tr w:rsidR="00BD154D" w:rsidRPr="004535FA" w14:paraId="2F02E6AB"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478F321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LOWCOST-IC</w:t>
            </w:r>
          </w:p>
        </w:tc>
        <w:tc>
          <w:tcPr>
            <w:tcW w:w="0" w:type="auto"/>
            <w:tcBorders>
              <w:top w:val="nil"/>
              <w:left w:val="nil"/>
              <w:bottom w:val="single" w:sz="4" w:space="0" w:color="DDDDDD"/>
              <w:right w:val="single" w:sz="4" w:space="0" w:color="DDDDDD"/>
            </w:tcBorders>
            <w:shd w:val="clear" w:color="FFFFFF" w:fill="FFFFFF"/>
            <w:noWrap/>
            <w:vAlign w:val="bottom"/>
            <w:hideMark/>
          </w:tcPr>
          <w:p w14:paraId="5B81A01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16E7058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High toughness well conducting contact layers for solid oxide cell stacks by reactive oxidative bonding</w:t>
            </w:r>
          </w:p>
        </w:tc>
        <w:tc>
          <w:tcPr>
            <w:tcW w:w="0" w:type="auto"/>
            <w:tcBorders>
              <w:top w:val="nil"/>
              <w:left w:val="nil"/>
              <w:bottom w:val="single" w:sz="4" w:space="0" w:color="DDDDDD"/>
              <w:right w:val="single" w:sz="4" w:space="0" w:color="DDDDDD"/>
            </w:tcBorders>
            <w:shd w:val="clear" w:color="FFFFFF" w:fill="FFFFFF"/>
            <w:noWrap/>
            <w:vAlign w:val="bottom"/>
            <w:hideMark/>
          </w:tcPr>
          <w:p w14:paraId="37CC7D0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10.1016/j.jeurceramsoc.2020.11.021</w:t>
            </w:r>
          </w:p>
        </w:tc>
        <w:tc>
          <w:tcPr>
            <w:tcW w:w="0" w:type="auto"/>
            <w:tcBorders>
              <w:top w:val="nil"/>
              <w:left w:val="nil"/>
              <w:bottom w:val="single" w:sz="4" w:space="0" w:color="DDDDDD"/>
              <w:right w:val="single" w:sz="4" w:space="0" w:color="DDDDDD"/>
            </w:tcBorders>
            <w:shd w:val="clear" w:color="FFFFFF" w:fill="FFFFFF"/>
            <w:noWrap/>
            <w:vAlign w:val="bottom"/>
            <w:hideMark/>
          </w:tcPr>
          <w:p w14:paraId="3AE4BBE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0955-2219</w:t>
            </w:r>
          </w:p>
        </w:tc>
        <w:tc>
          <w:tcPr>
            <w:tcW w:w="0" w:type="auto"/>
            <w:tcBorders>
              <w:top w:val="nil"/>
              <w:left w:val="nil"/>
              <w:bottom w:val="single" w:sz="4" w:space="0" w:color="DDDDDD"/>
              <w:right w:val="single" w:sz="4" w:space="0" w:color="DDDDDD"/>
            </w:tcBorders>
            <w:shd w:val="clear" w:color="FFFFFF" w:fill="FFFFFF"/>
            <w:noWrap/>
            <w:vAlign w:val="bottom"/>
            <w:hideMark/>
          </w:tcPr>
          <w:p w14:paraId="740A32C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Ilaria Ritucci, Belma Talic, Ragnar Kiebach, Henrik Lund Frandsen</w:t>
            </w:r>
          </w:p>
        </w:tc>
        <w:tc>
          <w:tcPr>
            <w:tcW w:w="0" w:type="auto"/>
            <w:tcBorders>
              <w:top w:val="nil"/>
              <w:left w:val="nil"/>
              <w:bottom w:val="single" w:sz="4" w:space="0" w:color="DDDDDD"/>
              <w:right w:val="single" w:sz="4" w:space="0" w:color="DDDDDD"/>
            </w:tcBorders>
            <w:shd w:val="clear" w:color="FFFFFF" w:fill="FFFFFF"/>
            <w:noWrap/>
            <w:vAlign w:val="bottom"/>
            <w:hideMark/>
          </w:tcPr>
          <w:p w14:paraId="464B31F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Journal of the European Ceramic Society</w:t>
            </w:r>
          </w:p>
        </w:tc>
        <w:tc>
          <w:tcPr>
            <w:tcW w:w="0" w:type="auto"/>
            <w:tcBorders>
              <w:top w:val="nil"/>
              <w:left w:val="nil"/>
              <w:bottom w:val="single" w:sz="4" w:space="0" w:color="DDDDDD"/>
              <w:right w:val="single" w:sz="4" w:space="0" w:color="DDDDDD"/>
            </w:tcBorders>
            <w:shd w:val="clear" w:color="FFFFFF" w:fill="FFFFFF"/>
            <w:noWrap/>
            <w:vAlign w:val="bottom"/>
            <w:hideMark/>
          </w:tcPr>
          <w:p w14:paraId="4DC9C98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Vol. 41</w:t>
            </w:r>
          </w:p>
        </w:tc>
        <w:tc>
          <w:tcPr>
            <w:tcW w:w="0" w:type="auto"/>
            <w:tcBorders>
              <w:top w:val="nil"/>
              <w:left w:val="nil"/>
              <w:bottom w:val="single" w:sz="4" w:space="0" w:color="DDDDDD"/>
              <w:right w:val="single" w:sz="4" w:space="0" w:color="DDDDDD"/>
            </w:tcBorders>
            <w:shd w:val="clear" w:color="FFFFFF" w:fill="FFFFFF"/>
            <w:noWrap/>
            <w:vAlign w:val="bottom"/>
            <w:hideMark/>
          </w:tcPr>
          <w:p w14:paraId="5145C56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Elsevier BV</w:t>
            </w:r>
          </w:p>
        </w:tc>
        <w:tc>
          <w:tcPr>
            <w:tcW w:w="0" w:type="auto"/>
            <w:tcBorders>
              <w:top w:val="nil"/>
              <w:left w:val="nil"/>
              <w:bottom w:val="single" w:sz="4" w:space="0" w:color="DDDDDD"/>
              <w:right w:val="single" w:sz="4" w:space="0" w:color="DDDDDD"/>
            </w:tcBorders>
            <w:shd w:val="clear" w:color="FFFFFF" w:fill="FFFFFF"/>
            <w:noWrap/>
            <w:vAlign w:val="bottom"/>
            <w:hideMark/>
          </w:tcPr>
          <w:p w14:paraId="7CB27CB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Netherlands</w:t>
            </w:r>
          </w:p>
        </w:tc>
        <w:tc>
          <w:tcPr>
            <w:tcW w:w="0" w:type="auto"/>
            <w:tcBorders>
              <w:top w:val="nil"/>
              <w:left w:val="nil"/>
              <w:bottom w:val="single" w:sz="4" w:space="0" w:color="DDDDDD"/>
              <w:right w:val="single" w:sz="4" w:space="0" w:color="DDDDDD"/>
            </w:tcBorders>
            <w:shd w:val="clear" w:color="FFFFFF" w:fill="FFFFFF"/>
            <w:noWrap/>
            <w:vAlign w:val="bottom"/>
            <w:hideMark/>
          </w:tcPr>
          <w:p w14:paraId="6668890C"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535E6D4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2699-2708</w:t>
            </w:r>
          </w:p>
        </w:tc>
        <w:tc>
          <w:tcPr>
            <w:tcW w:w="0" w:type="auto"/>
            <w:tcBorders>
              <w:top w:val="nil"/>
              <w:left w:val="nil"/>
              <w:bottom w:val="single" w:sz="4" w:space="0" w:color="DDDDDD"/>
              <w:right w:val="single" w:sz="4" w:space="0" w:color="DDDDDD"/>
            </w:tcBorders>
            <w:shd w:val="clear" w:color="FFFFFF" w:fill="FFFFFF"/>
            <w:noWrap/>
            <w:vAlign w:val="bottom"/>
            <w:hideMark/>
          </w:tcPr>
          <w:p w14:paraId="6893D19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09DBF3D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5626F14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https://orbit.dtu.dk/en/publications/high-toughness-well-conducting-contact-layers-for-solid-oxide-cel</w:t>
            </w:r>
          </w:p>
        </w:tc>
      </w:tr>
      <w:tr w:rsidR="00BD154D" w:rsidRPr="004535FA" w14:paraId="105CDC1C"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1D57F89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LOWCOST-IC</w:t>
            </w:r>
          </w:p>
        </w:tc>
        <w:tc>
          <w:tcPr>
            <w:tcW w:w="0" w:type="auto"/>
            <w:tcBorders>
              <w:top w:val="nil"/>
              <w:left w:val="nil"/>
              <w:bottom w:val="single" w:sz="4" w:space="0" w:color="DDDDDD"/>
              <w:right w:val="single" w:sz="4" w:space="0" w:color="DDDDDD"/>
            </w:tcBorders>
            <w:shd w:val="clear" w:color="FFFFFF" w:fill="FFFFFF"/>
            <w:noWrap/>
            <w:vAlign w:val="bottom"/>
            <w:hideMark/>
          </w:tcPr>
          <w:p w14:paraId="52E8F48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4DFA9F7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Modelling of local mechanical failures in solid oxide cell stacks</w:t>
            </w:r>
          </w:p>
        </w:tc>
        <w:tc>
          <w:tcPr>
            <w:tcW w:w="0" w:type="auto"/>
            <w:tcBorders>
              <w:top w:val="nil"/>
              <w:left w:val="nil"/>
              <w:bottom w:val="single" w:sz="4" w:space="0" w:color="DDDDDD"/>
              <w:right w:val="single" w:sz="4" w:space="0" w:color="DDDDDD"/>
            </w:tcBorders>
            <w:shd w:val="clear" w:color="FFFFFF" w:fill="FFFFFF"/>
            <w:noWrap/>
            <w:vAlign w:val="bottom"/>
            <w:hideMark/>
          </w:tcPr>
          <w:p w14:paraId="22C359D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10.1016/j.apenergy.2021.116901</w:t>
            </w:r>
          </w:p>
        </w:tc>
        <w:tc>
          <w:tcPr>
            <w:tcW w:w="0" w:type="auto"/>
            <w:tcBorders>
              <w:top w:val="nil"/>
              <w:left w:val="nil"/>
              <w:bottom w:val="single" w:sz="4" w:space="0" w:color="DDDDDD"/>
              <w:right w:val="single" w:sz="4" w:space="0" w:color="DDDDDD"/>
            </w:tcBorders>
            <w:shd w:val="clear" w:color="FFFFFF" w:fill="FFFFFF"/>
            <w:noWrap/>
            <w:vAlign w:val="bottom"/>
            <w:hideMark/>
          </w:tcPr>
          <w:p w14:paraId="3B5A51E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0306-2619</w:t>
            </w:r>
          </w:p>
        </w:tc>
        <w:tc>
          <w:tcPr>
            <w:tcW w:w="0" w:type="auto"/>
            <w:tcBorders>
              <w:top w:val="nil"/>
              <w:left w:val="nil"/>
              <w:bottom w:val="single" w:sz="4" w:space="0" w:color="DDDDDD"/>
              <w:right w:val="single" w:sz="4" w:space="0" w:color="DDDDDD"/>
            </w:tcBorders>
            <w:shd w:val="clear" w:color="FFFFFF" w:fill="FFFFFF"/>
            <w:noWrap/>
            <w:vAlign w:val="bottom"/>
            <w:hideMark/>
          </w:tcPr>
          <w:p w14:paraId="130467E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Xing-Yuan Miao, Omid Babaie Rizvandi, Maria Navasa, Henrik Lund Frandsen</w:t>
            </w:r>
          </w:p>
        </w:tc>
        <w:tc>
          <w:tcPr>
            <w:tcW w:w="0" w:type="auto"/>
            <w:tcBorders>
              <w:top w:val="nil"/>
              <w:left w:val="nil"/>
              <w:bottom w:val="single" w:sz="4" w:space="0" w:color="DDDDDD"/>
              <w:right w:val="single" w:sz="4" w:space="0" w:color="DDDDDD"/>
            </w:tcBorders>
            <w:shd w:val="clear" w:color="FFFFFF" w:fill="FFFFFF"/>
            <w:noWrap/>
            <w:vAlign w:val="bottom"/>
            <w:hideMark/>
          </w:tcPr>
          <w:p w14:paraId="2B13CF9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Applied Energy</w:t>
            </w:r>
          </w:p>
        </w:tc>
        <w:tc>
          <w:tcPr>
            <w:tcW w:w="0" w:type="auto"/>
            <w:tcBorders>
              <w:top w:val="nil"/>
              <w:left w:val="nil"/>
              <w:bottom w:val="single" w:sz="4" w:space="0" w:color="DDDDDD"/>
              <w:right w:val="single" w:sz="4" w:space="0" w:color="DDDDDD"/>
            </w:tcBorders>
            <w:shd w:val="clear" w:color="FFFFFF" w:fill="FFFFFF"/>
            <w:noWrap/>
            <w:vAlign w:val="bottom"/>
            <w:hideMark/>
          </w:tcPr>
          <w:p w14:paraId="3210455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Vol. 293</w:t>
            </w:r>
          </w:p>
        </w:tc>
        <w:tc>
          <w:tcPr>
            <w:tcW w:w="0" w:type="auto"/>
            <w:tcBorders>
              <w:top w:val="nil"/>
              <w:left w:val="nil"/>
              <w:bottom w:val="single" w:sz="4" w:space="0" w:color="DDDDDD"/>
              <w:right w:val="single" w:sz="4" w:space="0" w:color="DDDDDD"/>
            </w:tcBorders>
            <w:shd w:val="clear" w:color="FFFFFF" w:fill="FFFFFF"/>
            <w:noWrap/>
            <w:vAlign w:val="bottom"/>
            <w:hideMark/>
          </w:tcPr>
          <w:p w14:paraId="3541519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Pergamon Press Ltd.</w:t>
            </w:r>
          </w:p>
        </w:tc>
        <w:tc>
          <w:tcPr>
            <w:tcW w:w="0" w:type="auto"/>
            <w:tcBorders>
              <w:top w:val="nil"/>
              <w:left w:val="nil"/>
              <w:bottom w:val="single" w:sz="4" w:space="0" w:color="DDDDDD"/>
              <w:right w:val="single" w:sz="4" w:space="0" w:color="DDDDDD"/>
            </w:tcBorders>
            <w:shd w:val="clear" w:color="FFFFFF" w:fill="FFFFFF"/>
            <w:noWrap/>
            <w:vAlign w:val="bottom"/>
            <w:hideMark/>
          </w:tcPr>
          <w:p w14:paraId="25E38A5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United Kingdom</w:t>
            </w:r>
          </w:p>
        </w:tc>
        <w:tc>
          <w:tcPr>
            <w:tcW w:w="0" w:type="auto"/>
            <w:tcBorders>
              <w:top w:val="nil"/>
              <w:left w:val="nil"/>
              <w:bottom w:val="single" w:sz="4" w:space="0" w:color="DDDDDD"/>
              <w:right w:val="single" w:sz="4" w:space="0" w:color="DDDDDD"/>
            </w:tcBorders>
            <w:shd w:val="clear" w:color="FFFFFF" w:fill="FFFFFF"/>
            <w:noWrap/>
            <w:vAlign w:val="bottom"/>
            <w:hideMark/>
          </w:tcPr>
          <w:p w14:paraId="253ECA7A"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74EA7DD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116901</w:t>
            </w:r>
          </w:p>
        </w:tc>
        <w:tc>
          <w:tcPr>
            <w:tcW w:w="0" w:type="auto"/>
            <w:tcBorders>
              <w:top w:val="nil"/>
              <w:left w:val="nil"/>
              <w:bottom w:val="single" w:sz="4" w:space="0" w:color="DDDDDD"/>
              <w:right w:val="single" w:sz="4" w:space="0" w:color="DDDDDD"/>
            </w:tcBorders>
            <w:shd w:val="clear" w:color="FFFFFF" w:fill="FFFFFF"/>
            <w:noWrap/>
            <w:vAlign w:val="bottom"/>
            <w:hideMark/>
          </w:tcPr>
          <w:p w14:paraId="62EB756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7E04D76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1AC8471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https://orbit.dtu.dk/en/publications/modelling-of-local-mechanical-failures-in-solid-oxide-cell-stacks</w:t>
            </w:r>
          </w:p>
        </w:tc>
      </w:tr>
      <w:tr w:rsidR="00BD154D" w:rsidRPr="004535FA" w14:paraId="07BBE678"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5574D6F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LOWCOST-IC</w:t>
            </w:r>
          </w:p>
        </w:tc>
        <w:tc>
          <w:tcPr>
            <w:tcW w:w="0" w:type="auto"/>
            <w:tcBorders>
              <w:top w:val="nil"/>
              <w:left w:val="nil"/>
              <w:bottom w:val="single" w:sz="4" w:space="0" w:color="DDDDDD"/>
              <w:right w:val="single" w:sz="4" w:space="0" w:color="DDDDDD"/>
            </w:tcBorders>
            <w:shd w:val="clear" w:color="FFFFFF" w:fill="FFFFFF"/>
            <w:noWrap/>
            <w:vAlign w:val="bottom"/>
            <w:hideMark/>
          </w:tcPr>
          <w:p w14:paraId="7E67B5C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6BB6147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Self-healing properties of Ce/Co-coated stainless steel under simulated intermediate temperature solid oxide fuel cell conditions</w:t>
            </w:r>
          </w:p>
        </w:tc>
        <w:tc>
          <w:tcPr>
            <w:tcW w:w="0" w:type="auto"/>
            <w:tcBorders>
              <w:top w:val="nil"/>
              <w:left w:val="nil"/>
              <w:bottom w:val="single" w:sz="4" w:space="0" w:color="DDDDDD"/>
              <w:right w:val="single" w:sz="4" w:space="0" w:color="DDDDDD"/>
            </w:tcBorders>
            <w:shd w:val="clear" w:color="FFFFFF" w:fill="FFFFFF"/>
            <w:noWrap/>
            <w:vAlign w:val="bottom"/>
            <w:hideMark/>
          </w:tcPr>
          <w:p w14:paraId="433B423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10.1016/j.surfcoat.2021.127894</w:t>
            </w:r>
          </w:p>
        </w:tc>
        <w:tc>
          <w:tcPr>
            <w:tcW w:w="0" w:type="auto"/>
            <w:tcBorders>
              <w:top w:val="nil"/>
              <w:left w:val="nil"/>
              <w:bottom w:val="single" w:sz="4" w:space="0" w:color="DDDDDD"/>
              <w:right w:val="single" w:sz="4" w:space="0" w:color="DDDDDD"/>
            </w:tcBorders>
            <w:shd w:val="clear" w:color="FFFFFF" w:fill="FFFFFF"/>
            <w:noWrap/>
            <w:vAlign w:val="bottom"/>
            <w:hideMark/>
          </w:tcPr>
          <w:p w14:paraId="5368FC7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0257-8972</w:t>
            </w:r>
          </w:p>
        </w:tc>
        <w:tc>
          <w:tcPr>
            <w:tcW w:w="0" w:type="auto"/>
            <w:tcBorders>
              <w:top w:val="nil"/>
              <w:left w:val="nil"/>
              <w:bottom w:val="single" w:sz="4" w:space="0" w:color="DDDDDD"/>
              <w:right w:val="single" w:sz="4" w:space="0" w:color="DDDDDD"/>
            </w:tcBorders>
            <w:shd w:val="clear" w:color="FFFFFF" w:fill="FFFFFF"/>
            <w:noWrap/>
            <w:vAlign w:val="bottom"/>
            <w:hideMark/>
          </w:tcPr>
          <w:p w14:paraId="7DAB61E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Claudia Goebel, Vijayshankar Asokan, Sarah Khieu, Jan-Erik Svensson, Jan Froitzheim</w:t>
            </w:r>
          </w:p>
        </w:tc>
        <w:tc>
          <w:tcPr>
            <w:tcW w:w="0" w:type="auto"/>
            <w:tcBorders>
              <w:top w:val="nil"/>
              <w:left w:val="nil"/>
              <w:bottom w:val="single" w:sz="4" w:space="0" w:color="DDDDDD"/>
              <w:right w:val="single" w:sz="4" w:space="0" w:color="DDDDDD"/>
            </w:tcBorders>
            <w:shd w:val="clear" w:color="FFFFFF" w:fill="FFFFFF"/>
            <w:noWrap/>
            <w:vAlign w:val="bottom"/>
            <w:hideMark/>
          </w:tcPr>
          <w:p w14:paraId="32D8165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Surface and Coatings Technology</w:t>
            </w:r>
          </w:p>
        </w:tc>
        <w:tc>
          <w:tcPr>
            <w:tcW w:w="0" w:type="auto"/>
            <w:tcBorders>
              <w:top w:val="nil"/>
              <w:left w:val="nil"/>
              <w:bottom w:val="single" w:sz="4" w:space="0" w:color="DDDDDD"/>
              <w:right w:val="single" w:sz="4" w:space="0" w:color="DDDDDD"/>
            </w:tcBorders>
            <w:shd w:val="clear" w:color="FFFFFF" w:fill="FFFFFF"/>
            <w:noWrap/>
            <w:vAlign w:val="bottom"/>
            <w:hideMark/>
          </w:tcPr>
          <w:p w14:paraId="26DCDFD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Vol. 428</w:t>
            </w:r>
          </w:p>
        </w:tc>
        <w:tc>
          <w:tcPr>
            <w:tcW w:w="0" w:type="auto"/>
            <w:tcBorders>
              <w:top w:val="nil"/>
              <w:left w:val="nil"/>
              <w:bottom w:val="single" w:sz="4" w:space="0" w:color="DDDDDD"/>
              <w:right w:val="single" w:sz="4" w:space="0" w:color="DDDDDD"/>
            </w:tcBorders>
            <w:shd w:val="clear" w:color="FFFFFF" w:fill="FFFFFF"/>
            <w:noWrap/>
            <w:vAlign w:val="bottom"/>
            <w:hideMark/>
          </w:tcPr>
          <w:p w14:paraId="028420B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Elsevier BV</w:t>
            </w:r>
          </w:p>
        </w:tc>
        <w:tc>
          <w:tcPr>
            <w:tcW w:w="0" w:type="auto"/>
            <w:tcBorders>
              <w:top w:val="nil"/>
              <w:left w:val="nil"/>
              <w:bottom w:val="single" w:sz="4" w:space="0" w:color="DDDDDD"/>
              <w:right w:val="single" w:sz="4" w:space="0" w:color="DDDDDD"/>
            </w:tcBorders>
            <w:shd w:val="clear" w:color="FFFFFF" w:fill="FFFFFF"/>
            <w:noWrap/>
            <w:vAlign w:val="bottom"/>
            <w:hideMark/>
          </w:tcPr>
          <w:p w14:paraId="21E7A54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Netherlands</w:t>
            </w:r>
          </w:p>
        </w:tc>
        <w:tc>
          <w:tcPr>
            <w:tcW w:w="0" w:type="auto"/>
            <w:tcBorders>
              <w:top w:val="nil"/>
              <w:left w:val="nil"/>
              <w:bottom w:val="single" w:sz="4" w:space="0" w:color="DDDDDD"/>
              <w:right w:val="single" w:sz="4" w:space="0" w:color="DDDDDD"/>
            </w:tcBorders>
            <w:shd w:val="clear" w:color="FFFFFF" w:fill="FFFFFF"/>
            <w:noWrap/>
            <w:vAlign w:val="bottom"/>
            <w:hideMark/>
          </w:tcPr>
          <w:p w14:paraId="4EBC99B8"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3461FB2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127894</w:t>
            </w:r>
          </w:p>
        </w:tc>
        <w:tc>
          <w:tcPr>
            <w:tcW w:w="0" w:type="auto"/>
            <w:tcBorders>
              <w:top w:val="nil"/>
              <w:left w:val="nil"/>
              <w:bottom w:val="single" w:sz="4" w:space="0" w:color="DDDDDD"/>
              <w:right w:val="single" w:sz="4" w:space="0" w:color="DDDDDD"/>
            </w:tcBorders>
            <w:shd w:val="clear" w:color="FFFFFF" w:fill="FFFFFF"/>
            <w:noWrap/>
            <w:vAlign w:val="bottom"/>
            <w:hideMark/>
          </w:tcPr>
          <w:p w14:paraId="2DED538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04A915C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65B5BA6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https://research.chalmers.se/en/publication/527227</w:t>
            </w:r>
          </w:p>
        </w:tc>
      </w:tr>
      <w:tr w:rsidR="00BD154D" w:rsidRPr="004535FA" w14:paraId="17AF00A5"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4E854B2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MAMA-MEA</w:t>
            </w:r>
          </w:p>
        </w:tc>
        <w:tc>
          <w:tcPr>
            <w:tcW w:w="0" w:type="auto"/>
            <w:tcBorders>
              <w:top w:val="nil"/>
              <w:left w:val="nil"/>
              <w:bottom w:val="single" w:sz="4" w:space="0" w:color="DDDDDD"/>
              <w:right w:val="single" w:sz="4" w:space="0" w:color="DDDDDD"/>
            </w:tcBorders>
            <w:shd w:val="clear" w:color="FFFFFF" w:fill="FFFFFF"/>
            <w:noWrap/>
            <w:vAlign w:val="bottom"/>
            <w:hideMark/>
          </w:tcPr>
          <w:p w14:paraId="6AA114E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40AB8D7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An experimental approach to evaluate drying kinetics and foam formation in inks for inkjet printing of fuel-cell layers</w:t>
            </w:r>
          </w:p>
        </w:tc>
        <w:tc>
          <w:tcPr>
            <w:tcW w:w="0" w:type="auto"/>
            <w:tcBorders>
              <w:top w:val="nil"/>
              <w:left w:val="nil"/>
              <w:bottom w:val="single" w:sz="4" w:space="0" w:color="DDDDDD"/>
              <w:right w:val="single" w:sz="4" w:space="0" w:color="DDDDDD"/>
            </w:tcBorders>
            <w:shd w:val="clear" w:color="FFFFFF" w:fill="FFFFFF"/>
            <w:noWrap/>
            <w:vAlign w:val="bottom"/>
            <w:hideMark/>
          </w:tcPr>
          <w:p w14:paraId="105E631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100B91C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0894-1777</w:t>
            </w:r>
          </w:p>
        </w:tc>
        <w:tc>
          <w:tcPr>
            <w:tcW w:w="0" w:type="auto"/>
            <w:tcBorders>
              <w:top w:val="nil"/>
              <w:left w:val="nil"/>
              <w:bottom w:val="single" w:sz="4" w:space="0" w:color="DDDDDD"/>
              <w:right w:val="single" w:sz="4" w:space="0" w:color="DDDDDD"/>
            </w:tcBorders>
            <w:shd w:val="clear" w:color="FFFFFF" w:fill="FFFFFF"/>
            <w:noWrap/>
            <w:vAlign w:val="bottom"/>
            <w:hideMark/>
          </w:tcPr>
          <w:p w14:paraId="26E3D915" w14:textId="77777777" w:rsidR="00BD154D" w:rsidRPr="00974B49" w:rsidRDefault="00BD154D" w:rsidP="00DF2591">
            <w:pPr>
              <w:spacing w:after="0" w:line="240" w:lineRule="auto"/>
              <w:rPr>
                <w:rFonts w:ascii="Arial" w:eastAsia="Times New Roman" w:hAnsi="Arial" w:cs="Arial"/>
                <w:color w:val="333333"/>
                <w:sz w:val="12"/>
                <w:szCs w:val="12"/>
                <w:lang w:val="it-IT" w:eastAsia="en-GB"/>
              </w:rPr>
            </w:pPr>
            <w:r w:rsidRPr="00974B49">
              <w:rPr>
                <w:rFonts w:ascii="Arial" w:eastAsia="Times New Roman" w:hAnsi="Arial" w:cs="Arial"/>
                <w:color w:val="333333"/>
                <w:sz w:val="12"/>
                <w:szCs w:val="12"/>
                <w:lang w:val="it-IT" w:eastAsia="en-GB"/>
              </w:rPr>
              <w:t>P.E. Santangelo, M. Romagnoli, M. Puglia</w:t>
            </w:r>
          </w:p>
        </w:tc>
        <w:tc>
          <w:tcPr>
            <w:tcW w:w="0" w:type="auto"/>
            <w:tcBorders>
              <w:top w:val="nil"/>
              <w:left w:val="nil"/>
              <w:bottom w:val="single" w:sz="4" w:space="0" w:color="DDDDDD"/>
              <w:right w:val="single" w:sz="4" w:space="0" w:color="DDDDDD"/>
            </w:tcBorders>
            <w:shd w:val="clear" w:color="FFFFFF" w:fill="FFFFFF"/>
            <w:noWrap/>
            <w:vAlign w:val="bottom"/>
            <w:hideMark/>
          </w:tcPr>
          <w:p w14:paraId="0E0BBC0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Experimental Thermal and Fluid Science</w:t>
            </w:r>
          </w:p>
        </w:tc>
        <w:tc>
          <w:tcPr>
            <w:tcW w:w="0" w:type="auto"/>
            <w:tcBorders>
              <w:top w:val="nil"/>
              <w:left w:val="nil"/>
              <w:bottom w:val="single" w:sz="4" w:space="0" w:color="DDDDDD"/>
              <w:right w:val="single" w:sz="4" w:space="0" w:color="DDDDDD"/>
            </w:tcBorders>
            <w:shd w:val="clear" w:color="FFFFFF" w:fill="FFFFFF"/>
            <w:noWrap/>
            <w:vAlign w:val="bottom"/>
            <w:hideMark/>
          </w:tcPr>
          <w:p w14:paraId="7339BB6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08D81EB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Elsevier BV</w:t>
            </w:r>
          </w:p>
        </w:tc>
        <w:tc>
          <w:tcPr>
            <w:tcW w:w="0" w:type="auto"/>
            <w:tcBorders>
              <w:top w:val="nil"/>
              <w:left w:val="nil"/>
              <w:bottom w:val="single" w:sz="4" w:space="0" w:color="DDDDDD"/>
              <w:right w:val="single" w:sz="4" w:space="0" w:color="DDDDDD"/>
            </w:tcBorders>
            <w:shd w:val="clear" w:color="FFFFFF" w:fill="FFFFFF"/>
            <w:noWrap/>
            <w:vAlign w:val="bottom"/>
            <w:hideMark/>
          </w:tcPr>
          <w:p w14:paraId="661FFFE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Netherlands</w:t>
            </w:r>
          </w:p>
        </w:tc>
        <w:tc>
          <w:tcPr>
            <w:tcW w:w="0" w:type="auto"/>
            <w:tcBorders>
              <w:top w:val="nil"/>
              <w:left w:val="nil"/>
              <w:bottom w:val="single" w:sz="4" w:space="0" w:color="DDDDDD"/>
              <w:right w:val="single" w:sz="4" w:space="0" w:color="DDDDDD"/>
            </w:tcBorders>
            <w:shd w:val="clear" w:color="FFFFFF" w:fill="FFFFFF"/>
            <w:noWrap/>
            <w:vAlign w:val="bottom"/>
            <w:hideMark/>
          </w:tcPr>
          <w:p w14:paraId="74A9AA3E"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2BF4FE7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70D3E5E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0C27259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54D8AE9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r>
      <w:tr w:rsidR="00BD154D" w:rsidRPr="004535FA" w14:paraId="23D42017"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2FB8845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lastRenderedPageBreak/>
              <w:t>MAMA-MEA</w:t>
            </w:r>
          </w:p>
        </w:tc>
        <w:tc>
          <w:tcPr>
            <w:tcW w:w="0" w:type="auto"/>
            <w:tcBorders>
              <w:top w:val="nil"/>
              <w:left w:val="nil"/>
              <w:bottom w:val="single" w:sz="4" w:space="0" w:color="DDDDDD"/>
              <w:right w:val="single" w:sz="4" w:space="0" w:color="DDDDDD"/>
            </w:tcBorders>
            <w:shd w:val="clear" w:color="FFFFFF" w:fill="FFFFFF"/>
            <w:noWrap/>
            <w:vAlign w:val="bottom"/>
            <w:hideMark/>
          </w:tcPr>
          <w:p w14:paraId="54BA0BF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006A076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Smart catalyst deposition by 3D printing for Polymer Electrolyte Membrane Fuel Cell manufacturing</w:t>
            </w:r>
          </w:p>
        </w:tc>
        <w:tc>
          <w:tcPr>
            <w:tcW w:w="0" w:type="auto"/>
            <w:tcBorders>
              <w:top w:val="nil"/>
              <w:left w:val="nil"/>
              <w:bottom w:val="single" w:sz="4" w:space="0" w:color="DDDDDD"/>
              <w:right w:val="single" w:sz="4" w:space="0" w:color="DDDDDD"/>
            </w:tcBorders>
            <w:shd w:val="clear" w:color="FFFFFF" w:fill="FFFFFF"/>
            <w:noWrap/>
            <w:vAlign w:val="bottom"/>
            <w:hideMark/>
          </w:tcPr>
          <w:p w14:paraId="7EABD4B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10.1016/j.renene.2020.08.064</w:t>
            </w:r>
          </w:p>
        </w:tc>
        <w:tc>
          <w:tcPr>
            <w:tcW w:w="0" w:type="auto"/>
            <w:tcBorders>
              <w:top w:val="nil"/>
              <w:left w:val="nil"/>
              <w:bottom w:val="single" w:sz="4" w:space="0" w:color="DDDDDD"/>
              <w:right w:val="single" w:sz="4" w:space="0" w:color="DDDDDD"/>
            </w:tcBorders>
            <w:shd w:val="clear" w:color="FFFFFF" w:fill="FFFFFF"/>
            <w:noWrap/>
            <w:vAlign w:val="bottom"/>
            <w:hideMark/>
          </w:tcPr>
          <w:p w14:paraId="210D1EF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09601481</w:t>
            </w:r>
          </w:p>
        </w:tc>
        <w:tc>
          <w:tcPr>
            <w:tcW w:w="0" w:type="auto"/>
            <w:tcBorders>
              <w:top w:val="nil"/>
              <w:left w:val="nil"/>
              <w:bottom w:val="single" w:sz="4" w:space="0" w:color="DDDDDD"/>
              <w:right w:val="single" w:sz="4" w:space="0" w:color="DDDDDD"/>
            </w:tcBorders>
            <w:shd w:val="clear" w:color="FFFFFF" w:fill="FFFFFF"/>
            <w:noWrap/>
            <w:vAlign w:val="bottom"/>
            <w:hideMark/>
          </w:tcPr>
          <w:p w14:paraId="0F69DCE6" w14:textId="77777777" w:rsidR="00BD154D" w:rsidRPr="00A60794" w:rsidRDefault="00BD154D" w:rsidP="00DF2591">
            <w:pPr>
              <w:spacing w:after="0" w:line="240" w:lineRule="auto"/>
              <w:rPr>
                <w:rFonts w:ascii="Arial" w:eastAsia="Times New Roman" w:hAnsi="Arial" w:cs="Arial"/>
                <w:color w:val="333333"/>
                <w:sz w:val="12"/>
                <w:szCs w:val="12"/>
                <w:lang w:val="es-ES" w:eastAsia="en-GB"/>
              </w:rPr>
            </w:pPr>
            <w:r w:rsidRPr="00A60794">
              <w:rPr>
                <w:rFonts w:ascii="Arial" w:eastAsia="Times New Roman" w:hAnsi="Arial" w:cs="Arial"/>
                <w:color w:val="333333"/>
                <w:sz w:val="12"/>
                <w:szCs w:val="12"/>
                <w:lang w:val="es-ES" w:eastAsia="en-GB"/>
              </w:rPr>
              <w:t>Maria Cannio, Stefania Righi, Paolo E. Santangelo, Marcello Romagnoli, Rolando Pedicini, Alessandra Carbone, Irene Gatto</w:t>
            </w:r>
          </w:p>
        </w:tc>
        <w:tc>
          <w:tcPr>
            <w:tcW w:w="0" w:type="auto"/>
            <w:tcBorders>
              <w:top w:val="nil"/>
              <w:left w:val="nil"/>
              <w:bottom w:val="single" w:sz="4" w:space="0" w:color="DDDDDD"/>
              <w:right w:val="single" w:sz="4" w:space="0" w:color="DDDDDD"/>
            </w:tcBorders>
            <w:shd w:val="clear" w:color="FFFFFF" w:fill="FFFFFF"/>
            <w:noWrap/>
            <w:vAlign w:val="bottom"/>
            <w:hideMark/>
          </w:tcPr>
          <w:p w14:paraId="6B4C1DF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Renewable Energy</w:t>
            </w:r>
          </w:p>
        </w:tc>
        <w:tc>
          <w:tcPr>
            <w:tcW w:w="0" w:type="auto"/>
            <w:tcBorders>
              <w:top w:val="nil"/>
              <w:left w:val="nil"/>
              <w:bottom w:val="single" w:sz="4" w:space="0" w:color="DDDDDD"/>
              <w:right w:val="single" w:sz="4" w:space="0" w:color="DDDDDD"/>
            </w:tcBorders>
            <w:shd w:val="clear" w:color="FFFFFF" w:fill="FFFFFF"/>
            <w:noWrap/>
            <w:vAlign w:val="bottom"/>
            <w:hideMark/>
          </w:tcPr>
          <w:p w14:paraId="6227B38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163</w:t>
            </w:r>
          </w:p>
        </w:tc>
        <w:tc>
          <w:tcPr>
            <w:tcW w:w="0" w:type="auto"/>
            <w:tcBorders>
              <w:top w:val="nil"/>
              <w:left w:val="nil"/>
              <w:bottom w:val="single" w:sz="4" w:space="0" w:color="DDDDDD"/>
              <w:right w:val="single" w:sz="4" w:space="0" w:color="DDDDDD"/>
            </w:tcBorders>
            <w:shd w:val="clear" w:color="FFFFFF" w:fill="FFFFFF"/>
            <w:noWrap/>
            <w:vAlign w:val="bottom"/>
            <w:hideMark/>
          </w:tcPr>
          <w:p w14:paraId="2820021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Pergamon Press Ltd.</w:t>
            </w:r>
          </w:p>
        </w:tc>
        <w:tc>
          <w:tcPr>
            <w:tcW w:w="0" w:type="auto"/>
            <w:tcBorders>
              <w:top w:val="nil"/>
              <w:left w:val="nil"/>
              <w:bottom w:val="single" w:sz="4" w:space="0" w:color="DDDDDD"/>
              <w:right w:val="single" w:sz="4" w:space="0" w:color="DDDDDD"/>
            </w:tcBorders>
            <w:shd w:val="clear" w:color="FFFFFF" w:fill="FFFFFF"/>
            <w:noWrap/>
            <w:vAlign w:val="bottom"/>
            <w:hideMark/>
          </w:tcPr>
          <w:p w14:paraId="6EFBF17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United Kingdom</w:t>
            </w:r>
          </w:p>
        </w:tc>
        <w:tc>
          <w:tcPr>
            <w:tcW w:w="0" w:type="auto"/>
            <w:tcBorders>
              <w:top w:val="nil"/>
              <w:left w:val="nil"/>
              <w:bottom w:val="single" w:sz="4" w:space="0" w:color="DDDDDD"/>
              <w:right w:val="single" w:sz="4" w:space="0" w:color="DDDDDD"/>
            </w:tcBorders>
            <w:shd w:val="clear" w:color="FFFFFF" w:fill="FFFFFF"/>
            <w:noWrap/>
            <w:vAlign w:val="bottom"/>
            <w:hideMark/>
          </w:tcPr>
          <w:p w14:paraId="526BFB6F"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1399C5F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414-422</w:t>
            </w:r>
          </w:p>
        </w:tc>
        <w:tc>
          <w:tcPr>
            <w:tcW w:w="0" w:type="auto"/>
            <w:tcBorders>
              <w:top w:val="nil"/>
              <w:left w:val="nil"/>
              <w:bottom w:val="single" w:sz="4" w:space="0" w:color="DDDDDD"/>
              <w:right w:val="single" w:sz="4" w:space="0" w:color="DDDDDD"/>
            </w:tcBorders>
            <w:shd w:val="clear" w:color="FFFFFF" w:fill="FFFFFF"/>
            <w:noWrap/>
            <w:vAlign w:val="bottom"/>
            <w:hideMark/>
          </w:tcPr>
          <w:p w14:paraId="0D4D4DA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69A807B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6E3C8C0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r>
      <w:tr w:rsidR="00BD154D" w:rsidRPr="004535FA" w14:paraId="4B43C993"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1BDFD37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NEWELY</w:t>
            </w:r>
          </w:p>
        </w:tc>
        <w:tc>
          <w:tcPr>
            <w:tcW w:w="0" w:type="auto"/>
            <w:tcBorders>
              <w:top w:val="nil"/>
              <w:left w:val="nil"/>
              <w:bottom w:val="single" w:sz="4" w:space="0" w:color="DDDDDD"/>
              <w:right w:val="single" w:sz="4" w:space="0" w:color="DDDDDD"/>
            </w:tcBorders>
            <w:shd w:val="clear" w:color="FFFFFF" w:fill="FFFFFF"/>
            <w:noWrap/>
            <w:vAlign w:val="bottom"/>
            <w:hideMark/>
          </w:tcPr>
          <w:p w14:paraId="74C0768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168F6A3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From polybenzimidazoles to polybenzimidazoliums and polybenzimidazolides</w:t>
            </w:r>
          </w:p>
        </w:tc>
        <w:tc>
          <w:tcPr>
            <w:tcW w:w="0" w:type="auto"/>
            <w:tcBorders>
              <w:top w:val="nil"/>
              <w:left w:val="nil"/>
              <w:bottom w:val="single" w:sz="4" w:space="0" w:color="DDDDDD"/>
              <w:right w:val="single" w:sz="4" w:space="0" w:color="DDDDDD"/>
            </w:tcBorders>
            <w:shd w:val="clear" w:color="FFFFFF" w:fill="FFFFFF"/>
            <w:noWrap/>
            <w:vAlign w:val="bottom"/>
            <w:hideMark/>
          </w:tcPr>
          <w:p w14:paraId="16EA85B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10.1039/d0ta01788d</w:t>
            </w:r>
          </w:p>
        </w:tc>
        <w:tc>
          <w:tcPr>
            <w:tcW w:w="0" w:type="auto"/>
            <w:tcBorders>
              <w:top w:val="nil"/>
              <w:left w:val="nil"/>
              <w:bottom w:val="single" w:sz="4" w:space="0" w:color="DDDDDD"/>
              <w:right w:val="single" w:sz="4" w:space="0" w:color="DDDDDD"/>
            </w:tcBorders>
            <w:shd w:val="clear" w:color="FFFFFF" w:fill="FFFFFF"/>
            <w:noWrap/>
            <w:vAlign w:val="bottom"/>
            <w:hideMark/>
          </w:tcPr>
          <w:p w14:paraId="3E19819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20507488</w:t>
            </w:r>
          </w:p>
        </w:tc>
        <w:tc>
          <w:tcPr>
            <w:tcW w:w="0" w:type="auto"/>
            <w:tcBorders>
              <w:top w:val="nil"/>
              <w:left w:val="nil"/>
              <w:bottom w:val="single" w:sz="4" w:space="0" w:color="DDDDDD"/>
              <w:right w:val="single" w:sz="4" w:space="0" w:color="DDDDDD"/>
            </w:tcBorders>
            <w:shd w:val="clear" w:color="FFFFFF" w:fill="FFFFFF"/>
            <w:noWrap/>
            <w:vAlign w:val="bottom"/>
            <w:hideMark/>
          </w:tcPr>
          <w:p w14:paraId="738E820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David Aili, Jingshuai Yang, Katja Jankova, Dirk Henkensmeier, Qingfeng Li</w:t>
            </w:r>
          </w:p>
        </w:tc>
        <w:tc>
          <w:tcPr>
            <w:tcW w:w="0" w:type="auto"/>
            <w:tcBorders>
              <w:top w:val="nil"/>
              <w:left w:val="nil"/>
              <w:bottom w:val="single" w:sz="4" w:space="0" w:color="DDDDDD"/>
              <w:right w:val="single" w:sz="4" w:space="0" w:color="DDDDDD"/>
            </w:tcBorders>
            <w:shd w:val="clear" w:color="FFFFFF" w:fill="FFFFFF"/>
            <w:noWrap/>
            <w:vAlign w:val="bottom"/>
            <w:hideMark/>
          </w:tcPr>
          <w:p w14:paraId="3D20565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Journal of Materials Chemistry A</w:t>
            </w:r>
          </w:p>
        </w:tc>
        <w:tc>
          <w:tcPr>
            <w:tcW w:w="0" w:type="auto"/>
            <w:tcBorders>
              <w:top w:val="nil"/>
              <w:left w:val="nil"/>
              <w:bottom w:val="single" w:sz="4" w:space="0" w:color="DDDDDD"/>
              <w:right w:val="single" w:sz="4" w:space="0" w:color="DDDDDD"/>
            </w:tcBorders>
            <w:shd w:val="clear" w:color="FFFFFF" w:fill="FFFFFF"/>
            <w:noWrap/>
            <w:vAlign w:val="bottom"/>
            <w:hideMark/>
          </w:tcPr>
          <w:p w14:paraId="1C9DEA4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8/26</w:t>
            </w:r>
          </w:p>
        </w:tc>
        <w:tc>
          <w:tcPr>
            <w:tcW w:w="0" w:type="auto"/>
            <w:tcBorders>
              <w:top w:val="nil"/>
              <w:left w:val="nil"/>
              <w:bottom w:val="single" w:sz="4" w:space="0" w:color="DDDDDD"/>
              <w:right w:val="single" w:sz="4" w:space="0" w:color="DDDDDD"/>
            </w:tcBorders>
            <w:shd w:val="clear" w:color="FFFFFF" w:fill="FFFFFF"/>
            <w:noWrap/>
            <w:vAlign w:val="bottom"/>
            <w:hideMark/>
          </w:tcPr>
          <w:p w14:paraId="7130897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Royal Society of Chemistry</w:t>
            </w:r>
          </w:p>
        </w:tc>
        <w:tc>
          <w:tcPr>
            <w:tcW w:w="0" w:type="auto"/>
            <w:tcBorders>
              <w:top w:val="nil"/>
              <w:left w:val="nil"/>
              <w:bottom w:val="single" w:sz="4" w:space="0" w:color="DDDDDD"/>
              <w:right w:val="single" w:sz="4" w:space="0" w:color="DDDDDD"/>
            </w:tcBorders>
            <w:shd w:val="clear" w:color="FFFFFF" w:fill="FFFFFF"/>
            <w:noWrap/>
            <w:vAlign w:val="bottom"/>
            <w:hideMark/>
          </w:tcPr>
          <w:p w14:paraId="6E17845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United Kingdom</w:t>
            </w:r>
          </w:p>
        </w:tc>
        <w:tc>
          <w:tcPr>
            <w:tcW w:w="0" w:type="auto"/>
            <w:tcBorders>
              <w:top w:val="nil"/>
              <w:left w:val="nil"/>
              <w:bottom w:val="single" w:sz="4" w:space="0" w:color="DDDDDD"/>
              <w:right w:val="single" w:sz="4" w:space="0" w:color="DDDDDD"/>
            </w:tcBorders>
            <w:shd w:val="clear" w:color="FFFFFF" w:fill="FFFFFF"/>
            <w:noWrap/>
            <w:vAlign w:val="bottom"/>
            <w:hideMark/>
          </w:tcPr>
          <w:p w14:paraId="173D9252"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2020</w:t>
            </w:r>
          </w:p>
        </w:tc>
        <w:tc>
          <w:tcPr>
            <w:tcW w:w="0" w:type="auto"/>
            <w:tcBorders>
              <w:top w:val="nil"/>
              <w:left w:val="nil"/>
              <w:bottom w:val="single" w:sz="4" w:space="0" w:color="DDDDDD"/>
              <w:right w:val="single" w:sz="4" w:space="0" w:color="DDDDDD"/>
            </w:tcBorders>
            <w:shd w:val="clear" w:color="FFFFFF" w:fill="FFFFFF"/>
            <w:noWrap/>
            <w:vAlign w:val="bottom"/>
            <w:hideMark/>
          </w:tcPr>
          <w:p w14:paraId="3022FFA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12854-12886</w:t>
            </w:r>
          </w:p>
        </w:tc>
        <w:tc>
          <w:tcPr>
            <w:tcW w:w="0" w:type="auto"/>
            <w:tcBorders>
              <w:top w:val="nil"/>
              <w:left w:val="nil"/>
              <w:bottom w:val="single" w:sz="4" w:space="0" w:color="DDDDDD"/>
              <w:right w:val="single" w:sz="4" w:space="0" w:color="DDDDDD"/>
            </w:tcBorders>
            <w:shd w:val="clear" w:color="FFFFFF" w:fill="FFFFFF"/>
            <w:noWrap/>
            <w:vAlign w:val="bottom"/>
            <w:hideMark/>
          </w:tcPr>
          <w:p w14:paraId="49B55A9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4D60446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Yes</w:t>
            </w:r>
          </w:p>
        </w:tc>
        <w:tc>
          <w:tcPr>
            <w:tcW w:w="0" w:type="auto"/>
            <w:tcBorders>
              <w:top w:val="nil"/>
              <w:left w:val="nil"/>
              <w:bottom w:val="single" w:sz="4" w:space="0" w:color="DDDDDD"/>
              <w:right w:val="single" w:sz="4" w:space="0" w:color="DDDDDD"/>
            </w:tcBorders>
            <w:shd w:val="clear" w:color="FFFFFF" w:fill="FFFFFF"/>
            <w:noWrap/>
            <w:vAlign w:val="bottom"/>
            <w:hideMark/>
          </w:tcPr>
          <w:p w14:paraId="012D8B4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https://zenodo.org/record/5031357</w:t>
            </w:r>
          </w:p>
        </w:tc>
      </w:tr>
      <w:tr w:rsidR="00BD154D" w:rsidRPr="004535FA" w14:paraId="0049204A"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0298F68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NewSOC</w:t>
            </w:r>
          </w:p>
        </w:tc>
        <w:tc>
          <w:tcPr>
            <w:tcW w:w="0" w:type="auto"/>
            <w:tcBorders>
              <w:top w:val="nil"/>
              <w:left w:val="nil"/>
              <w:bottom w:val="single" w:sz="4" w:space="0" w:color="DDDDDD"/>
              <w:right w:val="single" w:sz="4" w:space="0" w:color="DDDDDD"/>
            </w:tcBorders>
            <w:shd w:val="clear" w:color="FFFFFF" w:fill="FFFFFF"/>
            <w:noWrap/>
            <w:vAlign w:val="bottom"/>
            <w:hideMark/>
          </w:tcPr>
          <w:p w14:paraId="4135799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3B86A80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3D printing the next generation of enhanced solid oxide fuel and electrolysis cells</w:t>
            </w:r>
          </w:p>
        </w:tc>
        <w:tc>
          <w:tcPr>
            <w:tcW w:w="0" w:type="auto"/>
            <w:tcBorders>
              <w:top w:val="nil"/>
              <w:left w:val="nil"/>
              <w:bottom w:val="single" w:sz="4" w:space="0" w:color="DDDDDD"/>
              <w:right w:val="single" w:sz="4" w:space="0" w:color="DDDDDD"/>
            </w:tcBorders>
            <w:shd w:val="clear" w:color="FFFFFF" w:fill="FFFFFF"/>
            <w:noWrap/>
            <w:vAlign w:val="bottom"/>
            <w:hideMark/>
          </w:tcPr>
          <w:p w14:paraId="37E9871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10.1039/d0ta02803g</w:t>
            </w:r>
          </w:p>
        </w:tc>
        <w:tc>
          <w:tcPr>
            <w:tcW w:w="0" w:type="auto"/>
            <w:tcBorders>
              <w:top w:val="nil"/>
              <w:left w:val="nil"/>
              <w:bottom w:val="single" w:sz="4" w:space="0" w:color="DDDDDD"/>
              <w:right w:val="single" w:sz="4" w:space="0" w:color="DDDDDD"/>
            </w:tcBorders>
            <w:shd w:val="clear" w:color="FFFFFF" w:fill="FFFFFF"/>
            <w:noWrap/>
            <w:vAlign w:val="bottom"/>
            <w:hideMark/>
          </w:tcPr>
          <w:p w14:paraId="14F02FB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20507488</w:t>
            </w:r>
          </w:p>
        </w:tc>
        <w:tc>
          <w:tcPr>
            <w:tcW w:w="0" w:type="auto"/>
            <w:tcBorders>
              <w:top w:val="nil"/>
              <w:left w:val="nil"/>
              <w:bottom w:val="single" w:sz="4" w:space="0" w:color="DDDDDD"/>
              <w:right w:val="single" w:sz="4" w:space="0" w:color="DDDDDD"/>
            </w:tcBorders>
            <w:shd w:val="clear" w:color="FFFFFF" w:fill="FFFFFF"/>
            <w:noWrap/>
            <w:vAlign w:val="bottom"/>
            <w:hideMark/>
          </w:tcPr>
          <w:p w14:paraId="5D630EFD" w14:textId="77777777" w:rsidR="00BD154D" w:rsidRPr="00974B49" w:rsidRDefault="00BD154D" w:rsidP="00DF2591">
            <w:pPr>
              <w:spacing w:after="0" w:line="240" w:lineRule="auto"/>
              <w:rPr>
                <w:rFonts w:ascii="Arial" w:eastAsia="Times New Roman" w:hAnsi="Arial" w:cs="Arial"/>
                <w:color w:val="333333"/>
                <w:sz w:val="12"/>
                <w:szCs w:val="12"/>
                <w:lang w:val="it-IT" w:eastAsia="en-GB"/>
              </w:rPr>
            </w:pPr>
            <w:r w:rsidRPr="00974B49">
              <w:rPr>
                <w:rFonts w:ascii="Arial" w:eastAsia="Times New Roman" w:hAnsi="Arial" w:cs="Arial"/>
                <w:color w:val="333333"/>
                <w:sz w:val="12"/>
                <w:szCs w:val="12"/>
                <w:lang w:val="it-IT" w:eastAsia="en-GB"/>
              </w:rPr>
              <w:t>Arianna Pesce, Aitor Hornés, Marc Núñez, Alex Morata, Marc Torrell, Albert Tarancón</w:t>
            </w:r>
          </w:p>
        </w:tc>
        <w:tc>
          <w:tcPr>
            <w:tcW w:w="0" w:type="auto"/>
            <w:tcBorders>
              <w:top w:val="nil"/>
              <w:left w:val="nil"/>
              <w:bottom w:val="single" w:sz="4" w:space="0" w:color="DDDDDD"/>
              <w:right w:val="single" w:sz="4" w:space="0" w:color="DDDDDD"/>
            </w:tcBorders>
            <w:shd w:val="clear" w:color="FFFFFF" w:fill="FFFFFF"/>
            <w:noWrap/>
            <w:vAlign w:val="bottom"/>
            <w:hideMark/>
          </w:tcPr>
          <w:p w14:paraId="3C42F0C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Journal of Materials Chemistry A</w:t>
            </w:r>
          </w:p>
        </w:tc>
        <w:tc>
          <w:tcPr>
            <w:tcW w:w="0" w:type="auto"/>
            <w:tcBorders>
              <w:top w:val="nil"/>
              <w:left w:val="nil"/>
              <w:bottom w:val="single" w:sz="4" w:space="0" w:color="DDDDDD"/>
              <w:right w:val="single" w:sz="4" w:space="0" w:color="DDDDDD"/>
            </w:tcBorders>
            <w:shd w:val="clear" w:color="FFFFFF" w:fill="FFFFFF"/>
            <w:noWrap/>
            <w:vAlign w:val="bottom"/>
            <w:hideMark/>
          </w:tcPr>
          <w:p w14:paraId="6F1AE4B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8/33</w:t>
            </w:r>
          </w:p>
        </w:tc>
        <w:tc>
          <w:tcPr>
            <w:tcW w:w="0" w:type="auto"/>
            <w:tcBorders>
              <w:top w:val="nil"/>
              <w:left w:val="nil"/>
              <w:bottom w:val="single" w:sz="4" w:space="0" w:color="DDDDDD"/>
              <w:right w:val="single" w:sz="4" w:space="0" w:color="DDDDDD"/>
            </w:tcBorders>
            <w:shd w:val="clear" w:color="FFFFFF" w:fill="FFFFFF"/>
            <w:noWrap/>
            <w:vAlign w:val="bottom"/>
            <w:hideMark/>
          </w:tcPr>
          <w:p w14:paraId="75C5410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Royal Society of Chemistry</w:t>
            </w:r>
          </w:p>
        </w:tc>
        <w:tc>
          <w:tcPr>
            <w:tcW w:w="0" w:type="auto"/>
            <w:tcBorders>
              <w:top w:val="nil"/>
              <w:left w:val="nil"/>
              <w:bottom w:val="single" w:sz="4" w:space="0" w:color="DDDDDD"/>
              <w:right w:val="single" w:sz="4" w:space="0" w:color="DDDDDD"/>
            </w:tcBorders>
            <w:shd w:val="clear" w:color="FFFFFF" w:fill="FFFFFF"/>
            <w:noWrap/>
            <w:vAlign w:val="bottom"/>
            <w:hideMark/>
          </w:tcPr>
          <w:p w14:paraId="2B5DAA9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United Kingdom</w:t>
            </w:r>
          </w:p>
        </w:tc>
        <w:tc>
          <w:tcPr>
            <w:tcW w:w="0" w:type="auto"/>
            <w:tcBorders>
              <w:top w:val="nil"/>
              <w:left w:val="nil"/>
              <w:bottom w:val="single" w:sz="4" w:space="0" w:color="DDDDDD"/>
              <w:right w:val="single" w:sz="4" w:space="0" w:color="DDDDDD"/>
            </w:tcBorders>
            <w:shd w:val="clear" w:color="FFFFFF" w:fill="FFFFFF"/>
            <w:noWrap/>
            <w:vAlign w:val="bottom"/>
            <w:hideMark/>
          </w:tcPr>
          <w:p w14:paraId="43669ACE"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2020</w:t>
            </w:r>
          </w:p>
        </w:tc>
        <w:tc>
          <w:tcPr>
            <w:tcW w:w="0" w:type="auto"/>
            <w:tcBorders>
              <w:top w:val="nil"/>
              <w:left w:val="nil"/>
              <w:bottom w:val="single" w:sz="4" w:space="0" w:color="DDDDDD"/>
              <w:right w:val="single" w:sz="4" w:space="0" w:color="DDDDDD"/>
            </w:tcBorders>
            <w:shd w:val="clear" w:color="FFFFFF" w:fill="FFFFFF"/>
            <w:noWrap/>
            <w:vAlign w:val="bottom"/>
            <w:hideMark/>
          </w:tcPr>
          <w:p w14:paraId="524DA7E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16926-16932</w:t>
            </w:r>
          </w:p>
        </w:tc>
        <w:tc>
          <w:tcPr>
            <w:tcW w:w="0" w:type="auto"/>
            <w:tcBorders>
              <w:top w:val="nil"/>
              <w:left w:val="nil"/>
              <w:bottom w:val="single" w:sz="4" w:space="0" w:color="DDDDDD"/>
              <w:right w:val="single" w:sz="4" w:space="0" w:color="DDDDDD"/>
            </w:tcBorders>
            <w:shd w:val="clear" w:color="FFFFFF" w:fill="FFFFFF"/>
            <w:noWrap/>
            <w:vAlign w:val="bottom"/>
            <w:hideMark/>
          </w:tcPr>
          <w:p w14:paraId="082F254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13B6F9C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6D98217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r>
      <w:tr w:rsidR="00BD154D" w:rsidRPr="004535FA" w14:paraId="7B161D5A"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106857C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NewSOC</w:t>
            </w:r>
          </w:p>
        </w:tc>
        <w:tc>
          <w:tcPr>
            <w:tcW w:w="0" w:type="auto"/>
            <w:tcBorders>
              <w:top w:val="nil"/>
              <w:left w:val="nil"/>
              <w:bottom w:val="single" w:sz="4" w:space="0" w:color="DDDDDD"/>
              <w:right w:val="single" w:sz="4" w:space="0" w:color="DDDDDD"/>
            </w:tcBorders>
            <w:shd w:val="clear" w:color="FFFFFF" w:fill="FFFFFF"/>
            <w:noWrap/>
            <w:vAlign w:val="bottom"/>
            <w:hideMark/>
          </w:tcPr>
          <w:p w14:paraId="0DFC3D2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20C3749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An Elementary Kinetic Model for the LSCF and LSCF-CGO Electrodes of Solid Oxide Cells: Impact of Operating Conditions and Degradation on the Electrode Response</w:t>
            </w:r>
          </w:p>
        </w:tc>
        <w:tc>
          <w:tcPr>
            <w:tcW w:w="0" w:type="auto"/>
            <w:tcBorders>
              <w:top w:val="nil"/>
              <w:left w:val="nil"/>
              <w:bottom w:val="single" w:sz="4" w:space="0" w:color="DDDDDD"/>
              <w:right w:val="single" w:sz="4" w:space="0" w:color="DDDDDD"/>
            </w:tcBorders>
            <w:shd w:val="clear" w:color="FFFFFF" w:fill="FFFFFF"/>
            <w:noWrap/>
            <w:vAlign w:val="bottom"/>
            <w:hideMark/>
          </w:tcPr>
          <w:p w14:paraId="055CAC5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10.1149/1945-7111/abf40a</w:t>
            </w:r>
          </w:p>
        </w:tc>
        <w:tc>
          <w:tcPr>
            <w:tcW w:w="0" w:type="auto"/>
            <w:tcBorders>
              <w:top w:val="nil"/>
              <w:left w:val="nil"/>
              <w:bottom w:val="single" w:sz="4" w:space="0" w:color="DDDDDD"/>
              <w:right w:val="single" w:sz="4" w:space="0" w:color="DDDDDD"/>
            </w:tcBorders>
            <w:shd w:val="clear" w:color="FFFFFF" w:fill="FFFFFF"/>
            <w:noWrap/>
            <w:vAlign w:val="bottom"/>
            <w:hideMark/>
          </w:tcPr>
          <w:p w14:paraId="4F4B54D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00134651</w:t>
            </w:r>
          </w:p>
        </w:tc>
        <w:tc>
          <w:tcPr>
            <w:tcW w:w="0" w:type="auto"/>
            <w:tcBorders>
              <w:top w:val="nil"/>
              <w:left w:val="nil"/>
              <w:bottom w:val="single" w:sz="4" w:space="0" w:color="DDDDDD"/>
              <w:right w:val="single" w:sz="4" w:space="0" w:color="DDDDDD"/>
            </w:tcBorders>
            <w:shd w:val="clear" w:color="FFFFFF" w:fill="FFFFFF"/>
            <w:noWrap/>
            <w:vAlign w:val="bottom"/>
            <w:hideMark/>
          </w:tcPr>
          <w:p w14:paraId="1802F63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 Effori, J. Laurencin, E. Da Rosa Silva, M. Hubert, T. David, M. Petitjean, G. Geneste, L. Dessemond, E. Siebert</w:t>
            </w:r>
          </w:p>
        </w:tc>
        <w:tc>
          <w:tcPr>
            <w:tcW w:w="0" w:type="auto"/>
            <w:tcBorders>
              <w:top w:val="nil"/>
              <w:left w:val="nil"/>
              <w:bottom w:val="single" w:sz="4" w:space="0" w:color="DDDDDD"/>
              <w:right w:val="single" w:sz="4" w:space="0" w:color="DDDDDD"/>
            </w:tcBorders>
            <w:shd w:val="clear" w:color="FFFFFF" w:fill="FFFFFF"/>
            <w:noWrap/>
            <w:vAlign w:val="bottom"/>
            <w:hideMark/>
          </w:tcPr>
          <w:p w14:paraId="44ACF06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Journal of The Electrochemical Society</w:t>
            </w:r>
          </w:p>
        </w:tc>
        <w:tc>
          <w:tcPr>
            <w:tcW w:w="0" w:type="auto"/>
            <w:tcBorders>
              <w:top w:val="nil"/>
              <w:left w:val="nil"/>
              <w:bottom w:val="single" w:sz="4" w:space="0" w:color="DDDDDD"/>
              <w:right w:val="single" w:sz="4" w:space="0" w:color="DDDDDD"/>
            </w:tcBorders>
            <w:shd w:val="clear" w:color="FFFFFF" w:fill="FFFFFF"/>
            <w:noWrap/>
            <w:vAlign w:val="bottom"/>
            <w:hideMark/>
          </w:tcPr>
          <w:p w14:paraId="398F776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168/4</w:t>
            </w:r>
          </w:p>
        </w:tc>
        <w:tc>
          <w:tcPr>
            <w:tcW w:w="0" w:type="auto"/>
            <w:tcBorders>
              <w:top w:val="nil"/>
              <w:left w:val="nil"/>
              <w:bottom w:val="single" w:sz="4" w:space="0" w:color="DDDDDD"/>
              <w:right w:val="single" w:sz="4" w:space="0" w:color="DDDDDD"/>
            </w:tcBorders>
            <w:shd w:val="clear" w:color="FFFFFF" w:fill="FFFFFF"/>
            <w:noWrap/>
            <w:vAlign w:val="bottom"/>
            <w:hideMark/>
          </w:tcPr>
          <w:p w14:paraId="4FE3CDE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Electrochemical Society, Inc.</w:t>
            </w:r>
          </w:p>
        </w:tc>
        <w:tc>
          <w:tcPr>
            <w:tcW w:w="0" w:type="auto"/>
            <w:tcBorders>
              <w:top w:val="nil"/>
              <w:left w:val="nil"/>
              <w:bottom w:val="single" w:sz="4" w:space="0" w:color="DDDDDD"/>
              <w:right w:val="single" w:sz="4" w:space="0" w:color="DDDDDD"/>
            </w:tcBorders>
            <w:shd w:val="clear" w:color="FFFFFF" w:fill="FFFFFF"/>
            <w:noWrap/>
            <w:vAlign w:val="bottom"/>
            <w:hideMark/>
          </w:tcPr>
          <w:p w14:paraId="715E246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United States</w:t>
            </w:r>
          </w:p>
        </w:tc>
        <w:tc>
          <w:tcPr>
            <w:tcW w:w="0" w:type="auto"/>
            <w:tcBorders>
              <w:top w:val="nil"/>
              <w:left w:val="nil"/>
              <w:bottom w:val="single" w:sz="4" w:space="0" w:color="DDDDDD"/>
              <w:right w:val="single" w:sz="4" w:space="0" w:color="DDDDDD"/>
            </w:tcBorders>
            <w:shd w:val="clear" w:color="FFFFFF" w:fill="FFFFFF"/>
            <w:noWrap/>
            <w:vAlign w:val="bottom"/>
            <w:hideMark/>
          </w:tcPr>
          <w:p w14:paraId="43A854D2"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2BCAD36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044520</w:t>
            </w:r>
          </w:p>
        </w:tc>
        <w:tc>
          <w:tcPr>
            <w:tcW w:w="0" w:type="auto"/>
            <w:tcBorders>
              <w:top w:val="nil"/>
              <w:left w:val="nil"/>
              <w:bottom w:val="single" w:sz="4" w:space="0" w:color="DDDDDD"/>
              <w:right w:val="single" w:sz="4" w:space="0" w:color="DDDDDD"/>
            </w:tcBorders>
            <w:shd w:val="clear" w:color="FFFFFF" w:fill="FFFFFF"/>
            <w:noWrap/>
            <w:vAlign w:val="bottom"/>
            <w:hideMark/>
          </w:tcPr>
          <w:p w14:paraId="1F1E065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Yes</w:t>
            </w:r>
          </w:p>
        </w:tc>
        <w:tc>
          <w:tcPr>
            <w:tcW w:w="0" w:type="auto"/>
            <w:tcBorders>
              <w:top w:val="nil"/>
              <w:left w:val="nil"/>
              <w:bottom w:val="single" w:sz="4" w:space="0" w:color="DDDDDD"/>
              <w:right w:val="single" w:sz="4" w:space="0" w:color="DDDDDD"/>
            </w:tcBorders>
            <w:shd w:val="clear" w:color="FFFFFF" w:fill="FFFFFF"/>
            <w:noWrap/>
            <w:vAlign w:val="bottom"/>
            <w:hideMark/>
          </w:tcPr>
          <w:p w14:paraId="5DE525B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Yes</w:t>
            </w:r>
          </w:p>
        </w:tc>
        <w:tc>
          <w:tcPr>
            <w:tcW w:w="0" w:type="auto"/>
            <w:tcBorders>
              <w:top w:val="nil"/>
              <w:left w:val="nil"/>
              <w:bottom w:val="single" w:sz="4" w:space="0" w:color="DDDDDD"/>
              <w:right w:val="single" w:sz="4" w:space="0" w:color="DDDDDD"/>
            </w:tcBorders>
            <w:shd w:val="clear" w:color="FFFFFF" w:fill="FFFFFF"/>
            <w:noWrap/>
            <w:vAlign w:val="bottom"/>
            <w:hideMark/>
          </w:tcPr>
          <w:p w14:paraId="3AE4EAF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https://hal.archives-ouvertes.fr/hal-03205084</w:t>
            </w:r>
          </w:p>
        </w:tc>
      </w:tr>
      <w:tr w:rsidR="00BD154D" w:rsidRPr="004535FA" w14:paraId="722C0AAD"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1A7104E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NewSOC</w:t>
            </w:r>
          </w:p>
        </w:tc>
        <w:tc>
          <w:tcPr>
            <w:tcW w:w="0" w:type="auto"/>
            <w:tcBorders>
              <w:top w:val="nil"/>
              <w:left w:val="nil"/>
              <w:bottom w:val="single" w:sz="4" w:space="0" w:color="DDDDDD"/>
              <w:right w:val="single" w:sz="4" w:space="0" w:color="DDDDDD"/>
            </w:tcBorders>
            <w:shd w:val="clear" w:color="FFFFFF" w:fill="FFFFFF"/>
            <w:noWrap/>
            <w:vAlign w:val="bottom"/>
            <w:hideMark/>
          </w:tcPr>
          <w:p w14:paraId="7CD6BC0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54F95B9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Effect of the PH2O/PCO2 and PH2 on the intrinsic electro-catalytic interactions and the CO production pathway on Ni/GDC during solid oxide H2O/CO2 co-electrolysis</w:t>
            </w:r>
          </w:p>
        </w:tc>
        <w:tc>
          <w:tcPr>
            <w:tcW w:w="0" w:type="auto"/>
            <w:tcBorders>
              <w:top w:val="nil"/>
              <w:left w:val="nil"/>
              <w:bottom w:val="single" w:sz="4" w:space="0" w:color="DDDDDD"/>
              <w:right w:val="single" w:sz="4" w:space="0" w:color="DDDDDD"/>
            </w:tcBorders>
            <w:shd w:val="clear" w:color="FFFFFF" w:fill="FFFFFF"/>
            <w:noWrap/>
            <w:vAlign w:val="bottom"/>
            <w:hideMark/>
          </w:tcPr>
          <w:p w14:paraId="7D3CCA6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10.1016/j.jcat.2021.09.024</w:t>
            </w:r>
          </w:p>
        </w:tc>
        <w:tc>
          <w:tcPr>
            <w:tcW w:w="0" w:type="auto"/>
            <w:tcBorders>
              <w:top w:val="nil"/>
              <w:left w:val="nil"/>
              <w:bottom w:val="single" w:sz="4" w:space="0" w:color="DDDDDD"/>
              <w:right w:val="single" w:sz="4" w:space="0" w:color="DDDDDD"/>
            </w:tcBorders>
            <w:shd w:val="clear" w:color="FFFFFF" w:fill="FFFFFF"/>
            <w:noWrap/>
            <w:vAlign w:val="bottom"/>
            <w:hideMark/>
          </w:tcPr>
          <w:p w14:paraId="202D19D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00219517</w:t>
            </w:r>
          </w:p>
        </w:tc>
        <w:tc>
          <w:tcPr>
            <w:tcW w:w="0" w:type="auto"/>
            <w:tcBorders>
              <w:top w:val="nil"/>
              <w:left w:val="nil"/>
              <w:bottom w:val="single" w:sz="4" w:space="0" w:color="DDDDDD"/>
              <w:right w:val="single" w:sz="4" w:space="0" w:color="DDDDDD"/>
            </w:tcBorders>
            <w:shd w:val="clear" w:color="FFFFFF" w:fill="FFFFFF"/>
            <w:noWrap/>
            <w:vAlign w:val="bottom"/>
            <w:hideMark/>
          </w:tcPr>
          <w:p w14:paraId="7D446FD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 Ioannidou, M. Chavani, S.G. Neophytides, D.K. Niakolas</w:t>
            </w:r>
          </w:p>
        </w:tc>
        <w:tc>
          <w:tcPr>
            <w:tcW w:w="0" w:type="auto"/>
            <w:tcBorders>
              <w:top w:val="nil"/>
              <w:left w:val="nil"/>
              <w:bottom w:val="single" w:sz="4" w:space="0" w:color="DDDDDD"/>
              <w:right w:val="single" w:sz="4" w:space="0" w:color="DDDDDD"/>
            </w:tcBorders>
            <w:shd w:val="clear" w:color="FFFFFF" w:fill="FFFFFF"/>
            <w:noWrap/>
            <w:vAlign w:val="bottom"/>
            <w:hideMark/>
          </w:tcPr>
          <w:p w14:paraId="45829FA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Journal of Catalysis</w:t>
            </w:r>
          </w:p>
        </w:tc>
        <w:tc>
          <w:tcPr>
            <w:tcW w:w="0" w:type="auto"/>
            <w:tcBorders>
              <w:top w:val="nil"/>
              <w:left w:val="nil"/>
              <w:bottom w:val="single" w:sz="4" w:space="0" w:color="DDDDDD"/>
              <w:right w:val="single" w:sz="4" w:space="0" w:color="DDDDDD"/>
            </w:tcBorders>
            <w:shd w:val="clear" w:color="FFFFFF" w:fill="FFFFFF"/>
            <w:noWrap/>
            <w:vAlign w:val="bottom"/>
            <w:hideMark/>
          </w:tcPr>
          <w:p w14:paraId="3F33DE4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404</w:t>
            </w:r>
          </w:p>
        </w:tc>
        <w:tc>
          <w:tcPr>
            <w:tcW w:w="0" w:type="auto"/>
            <w:tcBorders>
              <w:top w:val="nil"/>
              <w:left w:val="nil"/>
              <w:bottom w:val="single" w:sz="4" w:space="0" w:color="DDDDDD"/>
              <w:right w:val="single" w:sz="4" w:space="0" w:color="DDDDDD"/>
            </w:tcBorders>
            <w:shd w:val="clear" w:color="FFFFFF" w:fill="FFFFFF"/>
            <w:noWrap/>
            <w:vAlign w:val="bottom"/>
            <w:hideMark/>
          </w:tcPr>
          <w:p w14:paraId="43E21E8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Academic Press</w:t>
            </w:r>
          </w:p>
        </w:tc>
        <w:tc>
          <w:tcPr>
            <w:tcW w:w="0" w:type="auto"/>
            <w:tcBorders>
              <w:top w:val="nil"/>
              <w:left w:val="nil"/>
              <w:bottom w:val="single" w:sz="4" w:space="0" w:color="DDDDDD"/>
              <w:right w:val="single" w:sz="4" w:space="0" w:color="DDDDDD"/>
            </w:tcBorders>
            <w:shd w:val="clear" w:color="FFFFFF" w:fill="FFFFFF"/>
            <w:noWrap/>
            <w:vAlign w:val="bottom"/>
            <w:hideMark/>
          </w:tcPr>
          <w:p w14:paraId="54B9323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United States</w:t>
            </w:r>
          </w:p>
        </w:tc>
        <w:tc>
          <w:tcPr>
            <w:tcW w:w="0" w:type="auto"/>
            <w:tcBorders>
              <w:top w:val="nil"/>
              <w:left w:val="nil"/>
              <w:bottom w:val="single" w:sz="4" w:space="0" w:color="DDDDDD"/>
              <w:right w:val="single" w:sz="4" w:space="0" w:color="DDDDDD"/>
            </w:tcBorders>
            <w:shd w:val="clear" w:color="FFFFFF" w:fill="FFFFFF"/>
            <w:noWrap/>
            <w:vAlign w:val="bottom"/>
            <w:hideMark/>
          </w:tcPr>
          <w:p w14:paraId="5FC89C1B"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2E19AB2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174-186</w:t>
            </w:r>
          </w:p>
        </w:tc>
        <w:tc>
          <w:tcPr>
            <w:tcW w:w="0" w:type="auto"/>
            <w:tcBorders>
              <w:top w:val="nil"/>
              <w:left w:val="nil"/>
              <w:bottom w:val="single" w:sz="4" w:space="0" w:color="DDDDDD"/>
              <w:right w:val="single" w:sz="4" w:space="0" w:color="DDDDDD"/>
            </w:tcBorders>
            <w:shd w:val="clear" w:color="FFFFFF" w:fill="FFFFFF"/>
            <w:noWrap/>
            <w:vAlign w:val="bottom"/>
            <w:hideMark/>
          </w:tcPr>
          <w:p w14:paraId="29C6B30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46CE190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6BA348C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http://hdl.handle.net/10889/15309</w:t>
            </w:r>
          </w:p>
        </w:tc>
      </w:tr>
      <w:tr w:rsidR="00BD154D" w:rsidRPr="004535FA" w14:paraId="6952B03B"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1EA28FF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NewSOC</w:t>
            </w:r>
          </w:p>
        </w:tc>
        <w:tc>
          <w:tcPr>
            <w:tcW w:w="0" w:type="auto"/>
            <w:tcBorders>
              <w:top w:val="nil"/>
              <w:left w:val="nil"/>
              <w:bottom w:val="single" w:sz="4" w:space="0" w:color="DDDDDD"/>
              <w:right w:val="single" w:sz="4" w:space="0" w:color="DDDDDD"/>
            </w:tcBorders>
            <w:shd w:val="clear" w:color="FFFFFF" w:fill="FFFFFF"/>
            <w:noWrap/>
            <w:vAlign w:val="bottom"/>
            <w:hideMark/>
          </w:tcPr>
          <w:p w14:paraId="5D7935E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0E164DA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Electrical characterization of glass-ceramic sealant-metallic interconnect joined samples under solid oxide electrolysis cell conditions; influence on the microstructure and composition at the different polarized interfaces</w:t>
            </w:r>
          </w:p>
        </w:tc>
        <w:tc>
          <w:tcPr>
            <w:tcW w:w="0" w:type="auto"/>
            <w:tcBorders>
              <w:top w:val="nil"/>
              <w:left w:val="nil"/>
              <w:bottom w:val="single" w:sz="4" w:space="0" w:color="DDDDDD"/>
              <w:right w:val="single" w:sz="4" w:space="0" w:color="DDDDDD"/>
            </w:tcBorders>
            <w:shd w:val="clear" w:color="FFFFFF" w:fill="FFFFFF"/>
            <w:noWrap/>
            <w:vAlign w:val="bottom"/>
            <w:hideMark/>
          </w:tcPr>
          <w:p w14:paraId="08AD5B2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10.1016/j.ceramint.2020.11.176</w:t>
            </w:r>
          </w:p>
        </w:tc>
        <w:tc>
          <w:tcPr>
            <w:tcW w:w="0" w:type="auto"/>
            <w:tcBorders>
              <w:top w:val="nil"/>
              <w:left w:val="nil"/>
              <w:bottom w:val="single" w:sz="4" w:space="0" w:color="DDDDDD"/>
              <w:right w:val="single" w:sz="4" w:space="0" w:color="DDDDDD"/>
            </w:tcBorders>
            <w:shd w:val="clear" w:color="FFFFFF" w:fill="FFFFFF"/>
            <w:noWrap/>
            <w:vAlign w:val="bottom"/>
            <w:hideMark/>
          </w:tcPr>
          <w:p w14:paraId="7D8FBBF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02728842</w:t>
            </w:r>
          </w:p>
        </w:tc>
        <w:tc>
          <w:tcPr>
            <w:tcW w:w="0" w:type="auto"/>
            <w:tcBorders>
              <w:top w:val="nil"/>
              <w:left w:val="nil"/>
              <w:bottom w:val="single" w:sz="4" w:space="0" w:color="DDDDDD"/>
              <w:right w:val="single" w:sz="4" w:space="0" w:color="DDDDDD"/>
            </w:tcBorders>
            <w:shd w:val="clear" w:color="FFFFFF" w:fill="FFFFFF"/>
            <w:noWrap/>
            <w:vAlign w:val="bottom"/>
            <w:hideMark/>
          </w:tcPr>
          <w:p w14:paraId="0E29EA4A" w14:textId="77777777" w:rsidR="00BD154D" w:rsidRPr="00A60794" w:rsidRDefault="00BD154D" w:rsidP="00DF2591">
            <w:pPr>
              <w:spacing w:after="0" w:line="240" w:lineRule="auto"/>
              <w:rPr>
                <w:rFonts w:ascii="Arial" w:eastAsia="Times New Roman" w:hAnsi="Arial" w:cs="Arial"/>
                <w:color w:val="333333"/>
                <w:sz w:val="12"/>
                <w:szCs w:val="12"/>
                <w:lang w:val="es-ES" w:eastAsia="en-GB"/>
              </w:rPr>
            </w:pPr>
            <w:r w:rsidRPr="00A60794">
              <w:rPr>
                <w:rFonts w:ascii="Arial" w:eastAsia="Times New Roman" w:hAnsi="Arial" w:cs="Arial"/>
                <w:color w:val="333333"/>
                <w:sz w:val="12"/>
                <w:szCs w:val="12"/>
                <w:lang w:val="es-ES" w:eastAsia="en-GB"/>
              </w:rPr>
              <w:t>Hassan Javed, Kai Herbrig, Antonio Gianfranco Sabato, Domenico Ferrero, Massimo Santarelli, Christian Walter, Federico Smeacetto</w:t>
            </w:r>
          </w:p>
        </w:tc>
        <w:tc>
          <w:tcPr>
            <w:tcW w:w="0" w:type="auto"/>
            <w:tcBorders>
              <w:top w:val="nil"/>
              <w:left w:val="nil"/>
              <w:bottom w:val="single" w:sz="4" w:space="0" w:color="DDDDDD"/>
              <w:right w:val="single" w:sz="4" w:space="0" w:color="DDDDDD"/>
            </w:tcBorders>
            <w:shd w:val="clear" w:color="FFFFFF" w:fill="FFFFFF"/>
            <w:noWrap/>
            <w:vAlign w:val="bottom"/>
            <w:hideMark/>
          </w:tcPr>
          <w:p w14:paraId="790DD55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Ceramics International</w:t>
            </w:r>
          </w:p>
        </w:tc>
        <w:tc>
          <w:tcPr>
            <w:tcW w:w="0" w:type="auto"/>
            <w:tcBorders>
              <w:top w:val="nil"/>
              <w:left w:val="nil"/>
              <w:bottom w:val="single" w:sz="4" w:space="0" w:color="DDDDDD"/>
              <w:right w:val="single" w:sz="4" w:space="0" w:color="DDDDDD"/>
            </w:tcBorders>
            <w:shd w:val="clear" w:color="FFFFFF" w:fill="FFFFFF"/>
            <w:noWrap/>
            <w:vAlign w:val="bottom"/>
            <w:hideMark/>
          </w:tcPr>
          <w:p w14:paraId="22BEA79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47/6</w:t>
            </w:r>
          </w:p>
        </w:tc>
        <w:tc>
          <w:tcPr>
            <w:tcW w:w="0" w:type="auto"/>
            <w:tcBorders>
              <w:top w:val="nil"/>
              <w:left w:val="nil"/>
              <w:bottom w:val="single" w:sz="4" w:space="0" w:color="DDDDDD"/>
              <w:right w:val="single" w:sz="4" w:space="0" w:color="DDDDDD"/>
            </w:tcBorders>
            <w:shd w:val="clear" w:color="FFFFFF" w:fill="FFFFFF"/>
            <w:noWrap/>
            <w:vAlign w:val="bottom"/>
            <w:hideMark/>
          </w:tcPr>
          <w:p w14:paraId="072F902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Pergamon Press Ltd.</w:t>
            </w:r>
          </w:p>
        </w:tc>
        <w:tc>
          <w:tcPr>
            <w:tcW w:w="0" w:type="auto"/>
            <w:tcBorders>
              <w:top w:val="nil"/>
              <w:left w:val="nil"/>
              <w:bottom w:val="single" w:sz="4" w:space="0" w:color="DDDDDD"/>
              <w:right w:val="single" w:sz="4" w:space="0" w:color="DDDDDD"/>
            </w:tcBorders>
            <w:shd w:val="clear" w:color="FFFFFF" w:fill="FFFFFF"/>
            <w:noWrap/>
            <w:vAlign w:val="bottom"/>
            <w:hideMark/>
          </w:tcPr>
          <w:p w14:paraId="46B9717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United Kingdom</w:t>
            </w:r>
          </w:p>
        </w:tc>
        <w:tc>
          <w:tcPr>
            <w:tcW w:w="0" w:type="auto"/>
            <w:tcBorders>
              <w:top w:val="nil"/>
              <w:left w:val="nil"/>
              <w:bottom w:val="single" w:sz="4" w:space="0" w:color="DDDDDD"/>
              <w:right w:val="single" w:sz="4" w:space="0" w:color="DDDDDD"/>
            </w:tcBorders>
            <w:shd w:val="clear" w:color="FFFFFF" w:fill="FFFFFF"/>
            <w:noWrap/>
            <w:vAlign w:val="bottom"/>
            <w:hideMark/>
          </w:tcPr>
          <w:p w14:paraId="5342F1DE"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4A45B35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8184-8190</w:t>
            </w:r>
          </w:p>
        </w:tc>
        <w:tc>
          <w:tcPr>
            <w:tcW w:w="0" w:type="auto"/>
            <w:tcBorders>
              <w:top w:val="nil"/>
              <w:left w:val="nil"/>
              <w:bottom w:val="single" w:sz="4" w:space="0" w:color="DDDDDD"/>
              <w:right w:val="single" w:sz="4" w:space="0" w:color="DDDDDD"/>
            </w:tcBorders>
            <w:shd w:val="clear" w:color="FFFFFF" w:fill="FFFFFF"/>
            <w:noWrap/>
            <w:vAlign w:val="bottom"/>
            <w:hideMark/>
          </w:tcPr>
          <w:p w14:paraId="6EFE7E8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Yes</w:t>
            </w:r>
          </w:p>
        </w:tc>
        <w:tc>
          <w:tcPr>
            <w:tcW w:w="0" w:type="auto"/>
            <w:tcBorders>
              <w:top w:val="nil"/>
              <w:left w:val="nil"/>
              <w:bottom w:val="single" w:sz="4" w:space="0" w:color="DDDDDD"/>
              <w:right w:val="single" w:sz="4" w:space="0" w:color="DDDDDD"/>
            </w:tcBorders>
            <w:shd w:val="clear" w:color="FFFFFF" w:fill="FFFFFF"/>
            <w:noWrap/>
            <w:vAlign w:val="bottom"/>
            <w:hideMark/>
          </w:tcPr>
          <w:p w14:paraId="3447E98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45D7227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r>
      <w:tr w:rsidR="00BD154D" w:rsidRPr="004535FA" w14:paraId="798D7F7C"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243FC8B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NewSOC</w:t>
            </w:r>
          </w:p>
        </w:tc>
        <w:tc>
          <w:tcPr>
            <w:tcW w:w="0" w:type="auto"/>
            <w:tcBorders>
              <w:top w:val="nil"/>
              <w:left w:val="nil"/>
              <w:bottom w:val="single" w:sz="4" w:space="0" w:color="DDDDDD"/>
              <w:right w:val="single" w:sz="4" w:space="0" w:color="DDDDDD"/>
            </w:tcBorders>
            <w:shd w:val="clear" w:color="FFFFFF" w:fill="FFFFFF"/>
            <w:noWrap/>
            <w:vAlign w:val="bottom"/>
            <w:hideMark/>
          </w:tcPr>
          <w:p w14:paraId="3E02C81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0BC26D5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Electrode kinetics of porous Ni-3YSZ cermet operated in fuel cell and electrolysis modes for solid oxide cell application</w:t>
            </w:r>
          </w:p>
        </w:tc>
        <w:tc>
          <w:tcPr>
            <w:tcW w:w="0" w:type="auto"/>
            <w:tcBorders>
              <w:top w:val="nil"/>
              <w:left w:val="nil"/>
              <w:bottom w:val="single" w:sz="4" w:space="0" w:color="DDDDDD"/>
              <w:right w:val="single" w:sz="4" w:space="0" w:color="DDDDDD"/>
            </w:tcBorders>
            <w:shd w:val="clear" w:color="FFFFFF" w:fill="FFFFFF"/>
            <w:noWrap/>
            <w:vAlign w:val="bottom"/>
            <w:hideMark/>
          </w:tcPr>
          <w:p w14:paraId="3CE8DC9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10.1016/j.electacta.2021.138765</w:t>
            </w:r>
          </w:p>
        </w:tc>
        <w:tc>
          <w:tcPr>
            <w:tcW w:w="0" w:type="auto"/>
            <w:tcBorders>
              <w:top w:val="nil"/>
              <w:left w:val="nil"/>
              <w:bottom w:val="single" w:sz="4" w:space="0" w:color="DDDDDD"/>
              <w:right w:val="single" w:sz="4" w:space="0" w:color="DDDDDD"/>
            </w:tcBorders>
            <w:shd w:val="clear" w:color="FFFFFF" w:fill="FFFFFF"/>
            <w:noWrap/>
            <w:vAlign w:val="bottom"/>
            <w:hideMark/>
          </w:tcPr>
          <w:p w14:paraId="4C64A6F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00134686</w:t>
            </w:r>
          </w:p>
        </w:tc>
        <w:tc>
          <w:tcPr>
            <w:tcW w:w="0" w:type="auto"/>
            <w:tcBorders>
              <w:top w:val="nil"/>
              <w:left w:val="nil"/>
              <w:bottom w:val="single" w:sz="4" w:space="0" w:color="DDDDDD"/>
              <w:right w:val="single" w:sz="4" w:space="0" w:color="DDDDDD"/>
            </w:tcBorders>
            <w:shd w:val="clear" w:color="FFFFFF" w:fill="FFFFFF"/>
            <w:noWrap/>
            <w:vAlign w:val="bottom"/>
            <w:hideMark/>
          </w:tcPr>
          <w:p w14:paraId="4C652399" w14:textId="77777777" w:rsidR="00BD154D" w:rsidRPr="00A60794" w:rsidRDefault="00BD154D" w:rsidP="00DF2591">
            <w:pPr>
              <w:spacing w:after="0" w:line="240" w:lineRule="auto"/>
              <w:rPr>
                <w:rFonts w:ascii="Arial" w:eastAsia="Times New Roman" w:hAnsi="Arial" w:cs="Arial"/>
                <w:color w:val="333333"/>
                <w:sz w:val="12"/>
                <w:szCs w:val="12"/>
                <w:lang w:val="es-ES" w:eastAsia="en-GB"/>
              </w:rPr>
            </w:pPr>
            <w:r w:rsidRPr="00A60794">
              <w:rPr>
                <w:rFonts w:ascii="Arial" w:eastAsia="Times New Roman" w:hAnsi="Arial" w:cs="Arial"/>
                <w:color w:val="333333"/>
                <w:sz w:val="12"/>
                <w:szCs w:val="12"/>
                <w:lang w:val="es-ES" w:eastAsia="en-GB"/>
              </w:rPr>
              <w:t>Federico Monaco, Elisa Effori, Maxime Hubert, Elisabeth Siebert, Gregory Geneste, Bertrand Morel, Elisabeth Djurado, Dario Montinaro, Jérôme Laurencin</w:t>
            </w:r>
          </w:p>
        </w:tc>
        <w:tc>
          <w:tcPr>
            <w:tcW w:w="0" w:type="auto"/>
            <w:tcBorders>
              <w:top w:val="nil"/>
              <w:left w:val="nil"/>
              <w:bottom w:val="single" w:sz="4" w:space="0" w:color="DDDDDD"/>
              <w:right w:val="single" w:sz="4" w:space="0" w:color="DDDDDD"/>
            </w:tcBorders>
            <w:shd w:val="clear" w:color="FFFFFF" w:fill="FFFFFF"/>
            <w:noWrap/>
            <w:vAlign w:val="bottom"/>
            <w:hideMark/>
          </w:tcPr>
          <w:p w14:paraId="5F13795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Electrochimica Acta</w:t>
            </w:r>
          </w:p>
        </w:tc>
        <w:tc>
          <w:tcPr>
            <w:tcW w:w="0" w:type="auto"/>
            <w:tcBorders>
              <w:top w:val="nil"/>
              <w:left w:val="nil"/>
              <w:bottom w:val="single" w:sz="4" w:space="0" w:color="DDDDDD"/>
              <w:right w:val="single" w:sz="4" w:space="0" w:color="DDDDDD"/>
            </w:tcBorders>
            <w:shd w:val="clear" w:color="FFFFFF" w:fill="FFFFFF"/>
            <w:noWrap/>
            <w:vAlign w:val="bottom"/>
            <w:hideMark/>
          </w:tcPr>
          <w:p w14:paraId="09224FB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389</w:t>
            </w:r>
          </w:p>
        </w:tc>
        <w:tc>
          <w:tcPr>
            <w:tcW w:w="0" w:type="auto"/>
            <w:tcBorders>
              <w:top w:val="nil"/>
              <w:left w:val="nil"/>
              <w:bottom w:val="single" w:sz="4" w:space="0" w:color="DDDDDD"/>
              <w:right w:val="single" w:sz="4" w:space="0" w:color="DDDDDD"/>
            </w:tcBorders>
            <w:shd w:val="clear" w:color="FFFFFF" w:fill="FFFFFF"/>
            <w:noWrap/>
            <w:vAlign w:val="bottom"/>
            <w:hideMark/>
          </w:tcPr>
          <w:p w14:paraId="04586B1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Pergamon Press Ltd.</w:t>
            </w:r>
          </w:p>
        </w:tc>
        <w:tc>
          <w:tcPr>
            <w:tcW w:w="0" w:type="auto"/>
            <w:tcBorders>
              <w:top w:val="nil"/>
              <w:left w:val="nil"/>
              <w:bottom w:val="single" w:sz="4" w:space="0" w:color="DDDDDD"/>
              <w:right w:val="single" w:sz="4" w:space="0" w:color="DDDDDD"/>
            </w:tcBorders>
            <w:shd w:val="clear" w:color="FFFFFF" w:fill="FFFFFF"/>
            <w:noWrap/>
            <w:vAlign w:val="bottom"/>
            <w:hideMark/>
          </w:tcPr>
          <w:p w14:paraId="4F11C5E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United Kingdom</w:t>
            </w:r>
          </w:p>
        </w:tc>
        <w:tc>
          <w:tcPr>
            <w:tcW w:w="0" w:type="auto"/>
            <w:tcBorders>
              <w:top w:val="nil"/>
              <w:left w:val="nil"/>
              <w:bottom w:val="single" w:sz="4" w:space="0" w:color="DDDDDD"/>
              <w:right w:val="single" w:sz="4" w:space="0" w:color="DDDDDD"/>
            </w:tcBorders>
            <w:shd w:val="clear" w:color="FFFFFF" w:fill="FFFFFF"/>
            <w:noWrap/>
            <w:vAlign w:val="bottom"/>
            <w:hideMark/>
          </w:tcPr>
          <w:p w14:paraId="77E2C3C6"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517D895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138765</w:t>
            </w:r>
          </w:p>
        </w:tc>
        <w:tc>
          <w:tcPr>
            <w:tcW w:w="0" w:type="auto"/>
            <w:tcBorders>
              <w:top w:val="nil"/>
              <w:left w:val="nil"/>
              <w:bottom w:val="single" w:sz="4" w:space="0" w:color="DDDDDD"/>
              <w:right w:val="single" w:sz="4" w:space="0" w:color="DDDDDD"/>
            </w:tcBorders>
            <w:shd w:val="clear" w:color="FFFFFF" w:fill="FFFFFF"/>
            <w:noWrap/>
            <w:vAlign w:val="bottom"/>
            <w:hideMark/>
          </w:tcPr>
          <w:p w14:paraId="580B167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Yes</w:t>
            </w:r>
          </w:p>
        </w:tc>
        <w:tc>
          <w:tcPr>
            <w:tcW w:w="0" w:type="auto"/>
            <w:tcBorders>
              <w:top w:val="nil"/>
              <w:left w:val="nil"/>
              <w:bottom w:val="single" w:sz="4" w:space="0" w:color="DDDDDD"/>
              <w:right w:val="single" w:sz="4" w:space="0" w:color="DDDDDD"/>
            </w:tcBorders>
            <w:shd w:val="clear" w:color="FFFFFF" w:fill="FFFFFF"/>
            <w:noWrap/>
            <w:vAlign w:val="bottom"/>
            <w:hideMark/>
          </w:tcPr>
          <w:p w14:paraId="3C68B13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Yes</w:t>
            </w:r>
          </w:p>
        </w:tc>
        <w:tc>
          <w:tcPr>
            <w:tcW w:w="0" w:type="auto"/>
            <w:tcBorders>
              <w:top w:val="nil"/>
              <w:left w:val="nil"/>
              <w:bottom w:val="single" w:sz="4" w:space="0" w:color="DDDDDD"/>
              <w:right w:val="single" w:sz="4" w:space="0" w:color="DDDDDD"/>
            </w:tcBorders>
            <w:shd w:val="clear" w:color="FFFFFF" w:fill="FFFFFF"/>
            <w:noWrap/>
            <w:vAlign w:val="bottom"/>
            <w:hideMark/>
          </w:tcPr>
          <w:p w14:paraId="17642FE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https://hal.archives-ouvertes.fr/hal-03267352</w:t>
            </w:r>
          </w:p>
        </w:tc>
      </w:tr>
      <w:tr w:rsidR="00BD154D" w:rsidRPr="004535FA" w14:paraId="049D4D51"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4460B37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PECSYS</w:t>
            </w:r>
          </w:p>
        </w:tc>
        <w:tc>
          <w:tcPr>
            <w:tcW w:w="0" w:type="auto"/>
            <w:tcBorders>
              <w:top w:val="nil"/>
              <w:left w:val="nil"/>
              <w:bottom w:val="single" w:sz="4" w:space="0" w:color="DDDDDD"/>
              <w:right w:val="single" w:sz="4" w:space="0" w:color="DDDDDD"/>
            </w:tcBorders>
            <w:shd w:val="clear" w:color="FFFFFF" w:fill="FFFFFF"/>
            <w:noWrap/>
            <w:vAlign w:val="bottom"/>
            <w:hideMark/>
          </w:tcPr>
          <w:p w14:paraId="4CD1494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w:t>
            </w:r>
            <w:r w:rsidRPr="00F07F7C">
              <w:rPr>
                <w:rFonts w:ascii="Arial" w:eastAsia="Times New Roman" w:hAnsi="Arial" w:cs="Arial"/>
                <w:color w:val="333333"/>
                <w:sz w:val="12"/>
                <w:szCs w:val="12"/>
                <w:lang w:eastAsia="en-GB"/>
              </w:rPr>
              <w:lastRenderedPageBreak/>
              <w: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13F4DDF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lastRenderedPageBreak/>
              <w:t>Host, Suppressor, and Promoter—The Roles of Ni and Fe on Oxygen Evolution Reaction Activity and Stability of NiFe Alloy Thin Films in Alkaline Media</w:t>
            </w:r>
          </w:p>
        </w:tc>
        <w:tc>
          <w:tcPr>
            <w:tcW w:w="0" w:type="auto"/>
            <w:tcBorders>
              <w:top w:val="nil"/>
              <w:left w:val="nil"/>
              <w:bottom w:val="single" w:sz="4" w:space="0" w:color="DDDDDD"/>
              <w:right w:val="single" w:sz="4" w:space="0" w:color="DDDDDD"/>
            </w:tcBorders>
            <w:shd w:val="clear" w:color="FFFFFF" w:fill="FFFFFF"/>
            <w:noWrap/>
            <w:vAlign w:val="bottom"/>
            <w:hideMark/>
          </w:tcPr>
          <w:p w14:paraId="33F531C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10.1021/acscatal.1c01190</w:t>
            </w:r>
          </w:p>
        </w:tc>
        <w:tc>
          <w:tcPr>
            <w:tcW w:w="0" w:type="auto"/>
            <w:tcBorders>
              <w:top w:val="nil"/>
              <w:left w:val="nil"/>
              <w:bottom w:val="single" w:sz="4" w:space="0" w:color="DDDDDD"/>
              <w:right w:val="single" w:sz="4" w:space="0" w:color="DDDDDD"/>
            </w:tcBorders>
            <w:shd w:val="clear" w:color="FFFFFF" w:fill="FFFFFF"/>
            <w:noWrap/>
            <w:vAlign w:val="bottom"/>
            <w:hideMark/>
          </w:tcPr>
          <w:p w14:paraId="6082F38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21555435</w:t>
            </w:r>
          </w:p>
        </w:tc>
        <w:tc>
          <w:tcPr>
            <w:tcW w:w="0" w:type="auto"/>
            <w:tcBorders>
              <w:top w:val="nil"/>
              <w:left w:val="nil"/>
              <w:bottom w:val="single" w:sz="4" w:space="0" w:color="DDDDDD"/>
              <w:right w:val="single" w:sz="4" w:space="0" w:color="DDDDDD"/>
            </w:tcBorders>
            <w:shd w:val="clear" w:color="FFFFFF" w:fill="FFFFFF"/>
            <w:noWrap/>
            <w:vAlign w:val="bottom"/>
            <w:hideMark/>
          </w:tcPr>
          <w:p w14:paraId="1AC5A59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Fuxi Bao, Erno Kemppainen, Iris Dorbandt, Fanxing Xi, Radu Bors, Natalia Maticiuc, Robert Wenisch, Rory Bagacki, Christian Schary, Ursula Michalczik, Peter Bogdanoff, Iver Lauermann, Roel van de Krol, Rutger Schlatmann, Sonya Calnan</w:t>
            </w:r>
          </w:p>
        </w:tc>
        <w:tc>
          <w:tcPr>
            <w:tcW w:w="0" w:type="auto"/>
            <w:tcBorders>
              <w:top w:val="nil"/>
              <w:left w:val="nil"/>
              <w:bottom w:val="single" w:sz="4" w:space="0" w:color="DDDDDD"/>
              <w:right w:val="single" w:sz="4" w:space="0" w:color="DDDDDD"/>
            </w:tcBorders>
            <w:shd w:val="clear" w:color="FFFFFF" w:fill="FFFFFF"/>
            <w:noWrap/>
            <w:vAlign w:val="bottom"/>
            <w:hideMark/>
          </w:tcPr>
          <w:p w14:paraId="2B6F3F8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ACS Catalysis</w:t>
            </w:r>
          </w:p>
        </w:tc>
        <w:tc>
          <w:tcPr>
            <w:tcW w:w="0" w:type="auto"/>
            <w:tcBorders>
              <w:top w:val="nil"/>
              <w:left w:val="nil"/>
              <w:bottom w:val="single" w:sz="4" w:space="0" w:color="DDDDDD"/>
              <w:right w:val="single" w:sz="4" w:space="0" w:color="DDDDDD"/>
            </w:tcBorders>
            <w:shd w:val="clear" w:color="FFFFFF" w:fill="FFFFFF"/>
            <w:noWrap/>
            <w:vAlign w:val="bottom"/>
            <w:hideMark/>
          </w:tcPr>
          <w:p w14:paraId="65E48FB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11/16</w:t>
            </w:r>
          </w:p>
        </w:tc>
        <w:tc>
          <w:tcPr>
            <w:tcW w:w="0" w:type="auto"/>
            <w:tcBorders>
              <w:top w:val="nil"/>
              <w:left w:val="nil"/>
              <w:bottom w:val="single" w:sz="4" w:space="0" w:color="DDDDDD"/>
              <w:right w:val="single" w:sz="4" w:space="0" w:color="DDDDDD"/>
            </w:tcBorders>
            <w:shd w:val="clear" w:color="FFFFFF" w:fill="FFFFFF"/>
            <w:noWrap/>
            <w:vAlign w:val="bottom"/>
            <w:hideMark/>
          </w:tcPr>
          <w:p w14:paraId="0C6ADE8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American Chemical Society</w:t>
            </w:r>
          </w:p>
        </w:tc>
        <w:tc>
          <w:tcPr>
            <w:tcW w:w="0" w:type="auto"/>
            <w:tcBorders>
              <w:top w:val="nil"/>
              <w:left w:val="nil"/>
              <w:bottom w:val="single" w:sz="4" w:space="0" w:color="DDDDDD"/>
              <w:right w:val="single" w:sz="4" w:space="0" w:color="DDDDDD"/>
            </w:tcBorders>
            <w:shd w:val="clear" w:color="FFFFFF" w:fill="FFFFFF"/>
            <w:noWrap/>
            <w:vAlign w:val="bottom"/>
            <w:hideMark/>
          </w:tcPr>
          <w:p w14:paraId="7AE8134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United States</w:t>
            </w:r>
          </w:p>
        </w:tc>
        <w:tc>
          <w:tcPr>
            <w:tcW w:w="0" w:type="auto"/>
            <w:tcBorders>
              <w:top w:val="nil"/>
              <w:left w:val="nil"/>
              <w:bottom w:val="single" w:sz="4" w:space="0" w:color="DDDDDD"/>
              <w:right w:val="single" w:sz="4" w:space="0" w:color="DDDDDD"/>
            </w:tcBorders>
            <w:shd w:val="clear" w:color="FFFFFF" w:fill="FFFFFF"/>
            <w:noWrap/>
            <w:vAlign w:val="bottom"/>
            <w:hideMark/>
          </w:tcPr>
          <w:p w14:paraId="3439292C"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0FED397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10537-10552</w:t>
            </w:r>
          </w:p>
        </w:tc>
        <w:tc>
          <w:tcPr>
            <w:tcW w:w="0" w:type="auto"/>
            <w:tcBorders>
              <w:top w:val="nil"/>
              <w:left w:val="nil"/>
              <w:bottom w:val="single" w:sz="4" w:space="0" w:color="DDDDDD"/>
              <w:right w:val="single" w:sz="4" w:space="0" w:color="DDDDDD"/>
            </w:tcBorders>
            <w:shd w:val="clear" w:color="FFFFFF" w:fill="FFFFFF"/>
            <w:noWrap/>
            <w:vAlign w:val="bottom"/>
            <w:hideMark/>
          </w:tcPr>
          <w:p w14:paraId="1AC1E10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1AE25A6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Yes</w:t>
            </w:r>
          </w:p>
        </w:tc>
        <w:tc>
          <w:tcPr>
            <w:tcW w:w="0" w:type="auto"/>
            <w:tcBorders>
              <w:top w:val="nil"/>
              <w:left w:val="nil"/>
              <w:bottom w:val="single" w:sz="4" w:space="0" w:color="DDDDDD"/>
              <w:right w:val="single" w:sz="4" w:space="0" w:color="DDDDDD"/>
            </w:tcBorders>
            <w:shd w:val="clear" w:color="FFFFFF" w:fill="FFFFFF"/>
            <w:noWrap/>
            <w:vAlign w:val="bottom"/>
            <w:hideMark/>
          </w:tcPr>
          <w:p w14:paraId="78B2F63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https://pubs.acs.org/doi/10.1021/acscatal.1c01190</w:t>
            </w:r>
          </w:p>
        </w:tc>
      </w:tr>
      <w:tr w:rsidR="00BD154D" w:rsidRPr="004535FA" w14:paraId="24658061"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21ABD71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PEGASUS</w:t>
            </w:r>
          </w:p>
        </w:tc>
        <w:tc>
          <w:tcPr>
            <w:tcW w:w="0" w:type="auto"/>
            <w:tcBorders>
              <w:top w:val="nil"/>
              <w:left w:val="nil"/>
              <w:bottom w:val="single" w:sz="4" w:space="0" w:color="DDDDDD"/>
              <w:right w:val="single" w:sz="4" w:space="0" w:color="DDDDDD"/>
            </w:tcBorders>
            <w:shd w:val="clear" w:color="FFFFFF" w:fill="FFFFFF"/>
            <w:noWrap/>
            <w:vAlign w:val="bottom"/>
            <w:hideMark/>
          </w:tcPr>
          <w:p w14:paraId="5867962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18F909C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Fe doped porous triazine as efficient electrocatalysts for the oxygen reduction reaction in acid electrolyte</w:t>
            </w:r>
          </w:p>
        </w:tc>
        <w:tc>
          <w:tcPr>
            <w:tcW w:w="0" w:type="auto"/>
            <w:tcBorders>
              <w:top w:val="nil"/>
              <w:left w:val="nil"/>
              <w:bottom w:val="single" w:sz="4" w:space="0" w:color="DDDDDD"/>
              <w:right w:val="single" w:sz="4" w:space="0" w:color="DDDDDD"/>
            </w:tcBorders>
            <w:shd w:val="clear" w:color="FFFFFF" w:fill="FFFFFF"/>
            <w:noWrap/>
            <w:vAlign w:val="bottom"/>
            <w:hideMark/>
          </w:tcPr>
          <w:p w14:paraId="24F7D69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10.1016/j.apcatb.2019.118507</w:t>
            </w:r>
          </w:p>
        </w:tc>
        <w:tc>
          <w:tcPr>
            <w:tcW w:w="0" w:type="auto"/>
            <w:tcBorders>
              <w:top w:val="nil"/>
              <w:left w:val="nil"/>
              <w:bottom w:val="single" w:sz="4" w:space="0" w:color="DDDDDD"/>
              <w:right w:val="single" w:sz="4" w:space="0" w:color="DDDDDD"/>
            </w:tcBorders>
            <w:shd w:val="clear" w:color="FFFFFF" w:fill="FFFFFF"/>
            <w:noWrap/>
            <w:vAlign w:val="bottom"/>
            <w:hideMark/>
          </w:tcPr>
          <w:p w14:paraId="52EFBEB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09263373</w:t>
            </w:r>
          </w:p>
        </w:tc>
        <w:tc>
          <w:tcPr>
            <w:tcW w:w="0" w:type="auto"/>
            <w:tcBorders>
              <w:top w:val="nil"/>
              <w:left w:val="nil"/>
              <w:bottom w:val="single" w:sz="4" w:space="0" w:color="DDDDDD"/>
              <w:right w:val="single" w:sz="4" w:space="0" w:color="DDDDDD"/>
            </w:tcBorders>
            <w:shd w:val="clear" w:color="FFFFFF" w:fill="FFFFFF"/>
            <w:noWrap/>
            <w:vAlign w:val="bottom"/>
            <w:hideMark/>
          </w:tcPr>
          <w:p w14:paraId="527428E1" w14:textId="77777777" w:rsidR="00BD154D" w:rsidRPr="00A60794" w:rsidRDefault="00BD154D" w:rsidP="00DF2591">
            <w:pPr>
              <w:spacing w:after="0" w:line="240" w:lineRule="auto"/>
              <w:rPr>
                <w:rFonts w:ascii="Arial" w:eastAsia="Times New Roman" w:hAnsi="Arial" w:cs="Arial"/>
                <w:color w:val="333333"/>
                <w:sz w:val="12"/>
                <w:szCs w:val="12"/>
                <w:lang w:val="es-ES" w:eastAsia="en-GB"/>
              </w:rPr>
            </w:pPr>
            <w:r w:rsidRPr="00A60794">
              <w:rPr>
                <w:rFonts w:ascii="Arial" w:eastAsia="Times New Roman" w:hAnsi="Arial" w:cs="Arial"/>
                <w:color w:val="333333"/>
                <w:sz w:val="12"/>
                <w:szCs w:val="12"/>
                <w:lang w:val="es-ES" w:eastAsia="en-GB"/>
              </w:rPr>
              <w:t>Álvaro García, María Retuerto, Carlota Dominguez, Laura Pascual, Pilar Ferrer, Diego Gianolio, Aida Serrano, Pia Aßmann, Daniel G. Sanchez, Miguel A. Peña, Sergio Rojas</w:t>
            </w:r>
          </w:p>
        </w:tc>
        <w:tc>
          <w:tcPr>
            <w:tcW w:w="0" w:type="auto"/>
            <w:tcBorders>
              <w:top w:val="nil"/>
              <w:left w:val="nil"/>
              <w:bottom w:val="single" w:sz="4" w:space="0" w:color="DDDDDD"/>
              <w:right w:val="single" w:sz="4" w:space="0" w:color="DDDDDD"/>
            </w:tcBorders>
            <w:shd w:val="clear" w:color="FFFFFF" w:fill="FFFFFF"/>
            <w:noWrap/>
            <w:vAlign w:val="bottom"/>
            <w:hideMark/>
          </w:tcPr>
          <w:p w14:paraId="4D5114A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Applied Catalysis B: Environmental</w:t>
            </w:r>
          </w:p>
        </w:tc>
        <w:tc>
          <w:tcPr>
            <w:tcW w:w="0" w:type="auto"/>
            <w:tcBorders>
              <w:top w:val="nil"/>
              <w:left w:val="nil"/>
              <w:bottom w:val="single" w:sz="4" w:space="0" w:color="DDDDDD"/>
              <w:right w:val="single" w:sz="4" w:space="0" w:color="DDDDDD"/>
            </w:tcBorders>
            <w:shd w:val="clear" w:color="FFFFFF" w:fill="FFFFFF"/>
            <w:noWrap/>
            <w:vAlign w:val="bottom"/>
            <w:hideMark/>
          </w:tcPr>
          <w:p w14:paraId="3A915CF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264</w:t>
            </w:r>
          </w:p>
        </w:tc>
        <w:tc>
          <w:tcPr>
            <w:tcW w:w="0" w:type="auto"/>
            <w:tcBorders>
              <w:top w:val="nil"/>
              <w:left w:val="nil"/>
              <w:bottom w:val="single" w:sz="4" w:space="0" w:color="DDDDDD"/>
              <w:right w:val="single" w:sz="4" w:space="0" w:color="DDDDDD"/>
            </w:tcBorders>
            <w:shd w:val="clear" w:color="FFFFFF" w:fill="FFFFFF"/>
            <w:noWrap/>
            <w:vAlign w:val="bottom"/>
            <w:hideMark/>
          </w:tcPr>
          <w:p w14:paraId="75A8994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Elsevier BV</w:t>
            </w:r>
          </w:p>
        </w:tc>
        <w:tc>
          <w:tcPr>
            <w:tcW w:w="0" w:type="auto"/>
            <w:tcBorders>
              <w:top w:val="nil"/>
              <w:left w:val="nil"/>
              <w:bottom w:val="single" w:sz="4" w:space="0" w:color="DDDDDD"/>
              <w:right w:val="single" w:sz="4" w:space="0" w:color="DDDDDD"/>
            </w:tcBorders>
            <w:shd w:val="clear" w:color="FFFFFF" w:fill="FFFFFF"/>
            <w:noWrap/>
            <w:vAlign w:val="bottom"/>
            <w:hideMark/>
          </w:tcPr>
          <w:p w14:paraId="600DAE1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Netherlands</w:t>
            </w:r>
          </w:p>
        </w:tc>
        <w:tc>
          <w:tcPr>
            <w:tcW w:w="0" w:type="auto"/>
            <w:tcBorders>
              <w:top w:val="nil"/>
              <w:left w:val="nil"/>
              <w:bottom w:val="single" w:sz="4" w:space="0" w:color="DDDDDD"/>
              <w:right w:val="single" w:sz="4" w:space="0" w:color="DDDDDD"/>
            </w:tcBorders>
            <w:shd w:val="clear" w:color="FFFFFF" w:fill="FFFFFF"/>
            <w:noWrap/>
            <w:vAlign w:val="bottom"/>
            <w:hideMark/>
          </w:tcPr>
          <w:p w14:paraId="07DD3653"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2020</w:t>
            </w:r>
          </w:p>
        </w:tc>
        <w:tc>
          <w:tcPr>
            <w:tcW w:w="0" w:type="auto"/>
            <w:tcBorders>
              <w:top w:val="nil"/>
              <w:left w:val="nil"/>
              <w:bottom w:val="single" w:sz="4" w:space="0" w:color="DDDDDD"/>
              <w:right w:val="single" w:sz="4" w:space="0" w:color="DDDDDD"/>
            </w:tcBorders>
            <w:shd w:val="clear" w:color="FFFFFF" w:fill="FFFFFF"/>
            <w:noWrap/>
            <w:vAlign w:val="bottom"/>
            <w:hideMark/>
          </w:tcPr>
          <w:p w14:paraId="4C79D2F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118507</w:t>
            </w:r>
          </w:p>
        </w:tc>
        <w:tc>
          <w:tcPr>
            <w:tcW w:w="0" w:type="auto"/>
            <w:tcBorders>
              <w:top w:val="nil"/>
              <w:left w:val="nil"/>
              <w:bottom w:val="single" w:sz="4" w:space="0" w:color="DDDDDD"/>
              <w:right w:val="single" w:sz="4" w:space="0" w:color="DDDDDD"/>
            </w:tcBorders>
            <w:shd w:val="clear" w:color="FFFFFF" w:fill="FFFFFF"/>
            <w:noWrap/>
            <w:vAlign w:val="bottom"/>
            <w:hideMark/>
          </w:tcPr>
          <w:p w14:paraId="789E114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6309FE0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11632A9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https://digital.csic.es/handle/10261/211725?mode=full</w:t>
            </w:r>
          </w:p>
        </w:tc>
      </w:tr>
      <w:tr w:rsidR="00BD154D" w:rsidRPr="004535FA" w14:paraId="770C4BAD"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64FAD27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PEGASUS</w:t>
            </w:r>
          </w:p>
        </w:tc>
        <w:tc>
          <w:tcPr>
            <w:tcW w:w="0" w:type="auto"/>
            <w:tcBorders>
              <w:top w:val="nil"/>
              <w:left w:val="nil"/>
              <w:bottom w:val="single" w:sz="4" w:space="0" w:color="DDDDDD"/>
              <w:right w:val="single" w:sz="4" w:space="0" w:color="DDDDDD"/>
            </w:tcBorders>
            <w:shd w:val="clear" w:color="FFFFFF" w:fill="FFFFFF"/>
            <w:noWrap/>
            <w:vAlign w:val="bottom"/>
            <w:hideMark/>
          </w:tcPr>
          <w:p w14:paraId="056824A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0752C7D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Impact of the Cathode Layer Printing Process on the Performance of MEA Integrating PGM Free Catalyst</w:t>
            </w:r>
          </w:p>
        </w:tc>
        <w:tc>
          <w:tcPr>
            <w:tcW w:w="0" w:type="auto"/>
            <w:tcBorders>
              <w:top w:val="nil"/>
              <w:left w:val="nil"/>
              <w:bottom w:val="single" w:sz="4" w:space="0" w:color="DDDDDD"/>
              <w:right w:val="single" w:sz="4" w:space="0" w:color="DDDDDD"/>
            </w:tcBorders>
            <w:shd w:val="clear" w:color="FFFFFF" w:fill="FFFFFF"/>
            <w:noWrap/>
            <w:vAlign w:val="bottom"/>
            <w:hideMark/>
          </w:tcPr>
          <w:p w14:paraId="0DC9BDF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10.3390/catal11060669</w:t>
            </w:r>
          </w:p>
        </w:tc>
        <w:tc>
          <w:tcPr>
            <w:tcW w:w="0" w:type="auto"/>
            <w:tcBorders>
              <w:top w:val="nil"/>
              <w:left w:val="nil"/>
              <w:bottom w:val="single" w:sz="4" w:space="0" w:color="DDDDDD"/>
              <w:right w:val="single" w:sz="4" w:space="0" w:color="DDDDDD"/>
            </w:tcBorders>
            <w:shd w:val="clear" w:color="FFFFFF" w:fill="FFFFFF"/>
            <w:noWrap/>
            <w:vAlign w:val="bottom"/>
            <w:hideMark/>
          </w:tcPr>
          <w:p w14:paraId="0F89FA1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20734344</w:t>
            </w:r>
          </w:p>
        </w:tc>
        <w:tc>
          <w:tcPr>
            <w:tcW w:w="0" w:type="auto"/>
            <w:tcBorders>
              <w:top w:val="nil"/>
              <w:left w:val="nil"/>
              <w:bottom w:val="single" w:sz="4" w:space="0" w:color="DDDDDD"/>
              <w:right w:val="single" w:sz="4" w:space="0" w:color="DDDDDD"/>
            </w:tcBorders>
            <w:shd w:val="clear" w:color="FFFFFF" w:fill="FFFFFF"/>
            <w:noWrap/>
            <w:vAlign w:val="bottom"/>
            <w:hideMark/>
          </w:tcPr>
          <w:p w14:paraId="3B4CD94B" w14:textId="77777777" w:rsidR="00BD154D" w:rsidRPr="00F07F7C" w:rsidRDefault="00BD154D" w:rsidP="00DF2591">
            <w:pPr>
              <w:spacing w:after="0" w:line="240" w:lineRule="auto"/>
              <w:rPr>
                <w:rFonts w:ascii="Arial" w:eastAsia="Times New Roman" w:hAnsi="Arial" w:cs="Arial"/>
                <w:color w:val="333333"/>
                <w:sz w:val="12"/>
                <w:szCs w:val="12"/>
                <w:lang w:val="fr-BE" w:eastAsia="en-GB"/>
              </w:rPr>
            </w:pPr>
            <w:r w:rsidRPr="00F07F7C">
              <w:rPr>
                <w:rFonts w:ascii="Arial" w:eastAsia="Times New Roman" w:hAnsi="Arial" w:cs="Arial"/>
                <w:color w:val="333333"/>
                <w:sz w:val="12"/>
                <w:szCs w:val="12"/>
                <w:lang w:val="fr-BE" w:eastAsia="en-GB"/>
              </w:rPr>
              <w:t>Pierre Toudret, Jean-François Blachot, Marie Heitzmann, Pierre-André Jacques</w:t>
            </w:r>
          </w:p>
        </w:tc>
        <w:tc>
          <w:tcPr>
            <w:tcW w:w="0" w:type="auto"/>
            <w:tcBorders>
              <w:top w:val="nil"/>
              <w:left w:val="nil"/>
              <w:bottom w:val="single" w:sz="4" w:space="0" w:color="DDDDDD"/>
              <w:right w:val="single" w:sz="4" w:space="0" w:color="DDDDDD"/>
            </w:tcBorders>
            <w:shd w:val="clear" w:color="FFFFFF" w:fill="FFFFFF"/>
            <w:noWrap/>
            <w:vAlign w:val="bottom"/>
            <w:hideMark/>
          </w:tcPr>
          <w:p w14:paraId="0E38D2E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Catalysts</w:t>
            </w:r>
          </w:p>
        </w:tc>
        <w:tc>
          <w:tcPr>
            <w:tcW w:w="0" w:type="auto"/>
            <w:tcBorders>
              <w:top w:val="nil"/>
              <w:left w:val="nil"/>
              <w:bottom w:val="single" w:sz="4" w:space="0" w:color="DDDDDD"/>
              <w:right w:val="single" w:sz="4" w:space="0" w:color="DDDDDD"/>
            </w:tcBorders>
            <w:shd w:val="clear" w:color="FFFFFF" w:fill="FFFFFF"/>
            <w:noWrap/>
            <w:vAlign w:val="bottom"/>
            <w:hideMark/>
          </w:tcPr>
          <w:p w14:paraId="3500051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11/6</w:t>
            </w:r>
          </w:p>
        </w:tc>
        <w:tc>
          <w:tcPr>
            <w:tcW w:w="0" w:type="auto"/>
            <w:tcBorders>
              <w:top w:val="nil"/>
              <w:left w:val="nil"/>
              <w:bottom w:val="single" w:sz="4" w:space="0" w:color="DDDDDD"/>
              <w:right w:val="single" w:sz="4" w:space="0" w:color="DDDDDD"/>
            </w:tcBorders>
            <w:shd w:val="clear" w:color="FFFFFF" w:fill="FFFFFF"/>
            <w:noWrap/>
            <w:vAlign w:val="bottom"/>
            <w:hideMark/>
          </w:tcPr>
          <w:p w14:paraId="5CD12CE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Multidisciplinary Digital Publishing Institute (MDPI)</w:t>
            </w:r>
          </w:p>
        </w:tc>
        <w:tc>
          <w:tcPr>
            <w:tcW w:w="0" w:type="auto"/>
            <w:tcBorders>
              <w:top w:val="nil"/>
              <w:left w:val="nil"/>
              <w:bottom w:val="single" w:sz="4" w:space="0" w:color="DDDDDD"/>
              <w:right w:val="single" w:sz="4" w:space="0" w:color="DDDDDD"/>
            </w:tcBorders>
            <w:shd w:val="clear" w:color="FFFFFF" w:fill="FFFFFF"/>
            <w:noWrap/>
            <w:vAlign w:val="bottom"/>
            <w:hideMark/>
          </w:tcPr>
          <w:p w14:paraId="5FB3C3E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Switzerland</w:t>
            </w:r>
          </w:p>
        </w:tc>
        <w:tc>
          <w:tcPr>
            <w:tcW w:w="0" w:type="auto"/>
            <w:tcBorders>
              <w:top w:val="nil"/>
              <w:left w:val="nil"/>
              <w:bottom w:val="single" w:sz="4" w:space="0" w:color="DDDDDD"/>
              <w:right w:val="single" w:sz="4" w:space="0" w:color="DDDDDD"/>
            </w:tcBorders>
            <w:shd w:val="clear" w:color="FFFFFF" w:fill="FFFFFF"/>
            <w:noWrap/>
            <w:vAlign w:val="bottom"/>
            <w:hideMark/>
          </w:tcPr>
          <w:p w14:paraId="0E6F3AAE"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5C2ADCC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669</w:t>
            </w:r>
          </w:p>
        </w:tc>
        <w:tc>
          <w:tcPr>
            <w:tcW w:w="0" w:type="auto"/>
            <w:tcBorders>
              <w:top w:val="nil"/>
              <w:left w:val="nil"/>
              <w:bottom w:val="single" w:sz="4" w:space="0" w:color="DDDDDD"/>
              <w:right w:val="single" w:sz="4" w:space="0" w:color="DDDDDD"/>
            </w:tcBorders>
            <w:shd w:val="clear" w:color="FFFFFF" w:fill="FFFFFF"/>
            <w:noWrap/>
            <w:vAlign w:val="bottom"/>
            <w:hideMark/>
          </w:tcPr>
          <w:p w14:paraId="7365C27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21E35F0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2AC2323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r>
      <w:tr w:rsidR="00BD154D" w:rsidRPr="004535FA" w14:paraId="277AE667"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2DC02FC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PRETZEL</w:t>
            </w:r>
          </w:p>
        </w:tc>
        <w:tc>
          <w:tcPr>
            <w:tcW w:w="0" w:type="auto"/>
            <w:tcBorders>
              <w:top w:val="nil"/>
              <w:left w:val="nil"/>
              <w:bottom w:val="single" w:sz="4" w:space="0" w:color="DDDDDD"/>
              <w:right w:val="single" w:sz="4" w:space="0" w:color="DDDDDD"/>
            </w:tcBorders>
            <w:shd w:val="clear" w:color="FFFFFF" w:fill="FFFFFF"/>
            <w:noWrap/>
            <w:vAlign w:val="bottom"/>
            <w:hideMark/>
          </w:tcPr>
          <w:p w14:paraId="40F67A0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4AB34A7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Electrochemical Evaluation of Niobium Corrosion Resistance in Simulated Anodic PEM Electrolyzer Environment</w:t>
            </w:r>
          </w:p>
        </w:tc>
        <w:tc>
          <w:tcPr>
            <w:tcW w:w="0" w:type="auto"/>
            <w:tcBorders>
              <w:top w:val="nil"/>
              <w:left w:val="nil"/>
              <w:bottom w:val="single" w:sz="4" w:space="0" w:color="DDDDDD"/>
              <w:right w:val="single" w:sz="4" w:space="0" w:color="DDDDDD"/>
            </w:tcBorders>
            <w:shd w:val="clear" w:color="FFFFFF" w:fill="FFFFFF"/>
            <w:noWrap/>
            <w:vAlign w:val="bottom"/>
            <w:hideMark/>
          </w:tcPr>
          <w:p w14:paraId="5B3D53E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10.20964/2020.11.47</w:t>
            </w:r>
          </w:p>
        </w:tc>
        <w:tc>
          <w:tcPr>
            <w:tcW w:w="0" w:type="auto"/>
            <w:tcBorders>
              <w:top w:val="nil"/>
              <w:left w:val="nil"/>
              <w:bottom w:val="single" w:sz="4" w:space="0" w:color="DDDDDD"/>
              <w:right w:val="single" w:sz="4" w:space="0" w:color="DDDDDD"/>
            </w:tcBorders>
            <w:shd w:val="clear" w:color="FFFFFF" w:fill="FFFFFF"/>
            <w:noWrap/>
            <w:vAlign w:val="bottom"/>
            <w:hideMark/>
          </w:tcPr>
          <w:p w14:paraId="5AC7E0F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14523981</w:t>
            </w:r>
          </w:p>
        </w:tc>
        <w:tc>
          <w:tcPr>
            <w:tcW w:w="0" w:type="auto"/>
            <w:tcBorders>
              <w:top w:val="nil"/>
              <w:left w:val="nil"/>
              <w:bottom w:val="single" w:sz="4" w:space="0" w:color="DDDDDD"/>
              <w:right w:val="single" w:sz="4" w:space="0" w:color="DDDDDD"/>
            </w:tcBorders>
            <w:shd w:val="clear" w:color="FFFFFF" w:fill="FFFFFF"/>
            <w:noWrap/>
            <w:vAlign w:val="bottom"/>
            <w:hideMark/>
          </w:tcPr>
          <w:p w14:paraId="410E31B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Andrea Kellenberger</w:t>
            </w:r>
          </w:p>
        </w:tc>
        <w:tc>
          <w:tcPr>
            <w:tcW w:w="0" w:type="auto"/>
            <w:tcBorders>
              <w:top w:val="nil"/>
              <w:left w:val="nil"/>
              <w:bottom w:val="single" w:sz="4" w:space="0" w:color="DDDDDD"/>
              <w:right w:val="single" w:sz="4" w:space="0" w:color="DDDDDD"/>
            </w:tcBorders>
            <w:shd w:val="clear" w:color="FFFFFF" w:fill="FFFFFF"/>
            <w:noWrap/>
            <w:vAlign w:val="bottom"/>
            <w:hideMark/>
          </w:tcPr>
          <w:p w14:paraId="5896B02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International Journal of Electrochemical Science</w:t>
            </w:r>
          </w:p>
        </w:tc>
        <w:tc>
          <w:tcPr>
            <w:tcW w:w="0" w:type="auto"/>
            <w:tcBorders>
              <w:top w:val="nil"/>
              <w:left w:val="nil"/>
              <w:bottom w:val="single" w:sz="4" w:space="0" w:color="DDDDDD"/>
              <w:right w:val="single" w:sz="4" w:space="0" w:color="DDDDDD"/>
            </w:tcBorders>
            <w:shd w:val="clear" w:color="FFFFFF" w:fill="FFFFFF"/>
            <w:noWrap/>
            <w:vAlign w:val="bottom"/>
            <w:hideMark/>
          </w:tcPr>
          <w:p w14:paraId="27F053C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15</w:t>
            </w:r>
          </w:p>
        </w:tc>
        <w:tc>
          <w:tcPr>
            <w:tcW w:w="0" w:type="auto"/>
            <w:tcBorders>
              <w:top w:val="nil"/>
              <w:left w:val="nil"/>
              <w:bottom w:val="single" w:sz="4" w:space="0" w:color="DDDDDD"/>
              <w:right w:val="single" w:sz="4" w:space="0" w:color="DDDDDD"/>
            </w:tcBorders>
            <w:shd w:val="clear" w:color="FFFFFF" w:fill="FFFFFF"/>
            <w:noWrap/>
            <w:vAlign w:val="bottom"/>
            <w:hideMark/>
          </w:tcPr>
          <w:p w14:paraId="49CAFF6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Electrochemical Science Group, University of Belgrade</w:t>
            </w:r>
          </w:p>
        </w:tc>
        <w:tc>
          <w:tcPr>
            <w:tcW w:w="0" w:type="auto"/>
            <w:tcBorders>
              <w:top w:val="nil"/>
              <w:left w:val="nil"/>
              <w:bottom w:val="single" w:sz="4" w:space="0" w:color="DDDDDD"/>
              <w:right w:val="single" w:sz="4" w:space="0" w:color="DDDDDD"/>
            </w:tcBorders>
            <w:shd w:val="clear" w:color="FFFFFF" w:fill="FFFFFF"/>
            <w:noWrap/>
            <w:vAlign w:val="bottom"/>
            <w:hideMark/>
          </w:tcPr>
          <w:p w14:paraId="0BB5649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Serbia</w:t>
            </w:r>
          </w:p>
        </w:tc>
        <w:tc>
          <w:tcPr>
            <w:tcW w:w="0" w:type="auto"/>
            <w:tcBorders>
              <w:top w:val="nil"/>
              <w:left w:val="nil"/>
              <w:bottom w:val="single" w:sz="4" w:space="0" w:color="DDDDDD"/>
              <w:right w:val="single" w:sz="4" w:space="0" w:color="DDDDDD"/>
            </w:tcBorders>
            <w:shd w:val="clear" w:color="FFFFFF" w:fill="FFFFFF"/>
            <w:noWrap/>
            <w:vAlign w:val="bottom"/>
            <w:hideMark/>
          </w:tcPr>
          <w:p w14:paraId="48E0E1F3"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2020</w:t>
            </w:r>
          </w:p>
        </w:tc>
        <w:tc>
          <w:tcPr>
            <w:tcW w:w="0" w:type="auto"/>
            <w:tcBorders>
              <w:top w:val="nil"/>
              <w:left w:val="nil"/>
              <w:bottom w:val="single" w:sz="4" w:space="0" w:color="DDDDDD"/>
              <w:right w:val="single" w:sz="4" w:space="0" w:color="DDDDDD"/>
            </w:tcBorders>
            <w:shd w:val="clear" w:color="FFFFFF" w:fill="FFFFFF"/>
            <w:noWrap/>
            <w:vAlign w:val="bottom"/>
            <w:hideMark/>
          </w:tcPr>
          <w:p w14:paraId="7649131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10664-10673</w:t>
            </w:r>
          </w:p>
        </w:tc>
        <w:tc>
          <w:tcPr>
            <w:tcW w:w="0" w:type="auto"/>
            <w:tcBorders>
              <w:top w:val="nil"/>
              <w:left w:val="nil"/>
              <w:bottom w:val="single" w:sz="4" w:space="0" w:color="DDDDDD"/>
              <w:right w:val="single" w:sz="4" w:space="0" w:color="DDDDDD"/>
            </w:tcBorders>
            <w:shd w:val="clear" w:color="FFFFFF" w:fill="FFFFFF"/>
            <w:noWrap/>
            <w:vAlign w:val="bottom"/>
            <w:hideMark/>
          </w:tcPr>
          <w:p w14:paraId="6C6E8E8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685ED95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Yes</w:t>
            </w:r>
          </w:p>
        </w:tc>
        <w:tc>
          <w:tcPr>
            <w:tcW w:w="0" w:type="auto"/>
            <w:tcBorders>
              <w:top w:val="nil"/>
              <w:left w:val="nil"/>
              <w:bottom w:val="single" w:sz="4" w:space="0" w:color="DDDDDD"/>
              <w:right w:val="single" w:sz="4" w:space="0" w:color="DDDDDD"/>
            </w:tcBorders>
            <w:shd w:val="clear" w:color="FFFFFF" w:fill="FFFFFF"/>
            <w:noWrap/>
            <w:vAlign w:val="bottom"/>
            <w:hideMark/>
          </w:tcPr>
          <w:p w14:paraId="19C4A1A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r>
      <w:tr w:rsidR="00BD154D" w:rsidRPr="004535FA" w14:paraId="526B03F6"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30E5C99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PRETZEL</w:t>
            </w:r>
          </w:p>
        </w:tc>
        <w:tc>
          <w:tcPr>
            <w:tcW w:w="0" w:type="auto"/>
            <w:tcBorders>
              <w:top w:val="nil"/>
              <w:left w:val="nil"/>
              <w:bottom w:val="single" w:sz="4" w:space="0" w:color="DDDDDD"/>
              <w:right w:val="single" w:sz="4" w:space="0" w:color="DDDDDD"/>
            </w:tcBorders>
            <w:shd w:val="clear" w:color="FFFFFF" w:fill="FFFFFF"/>
            <w:noWrap/>
            <w:vAlign w:val="bottom"/>
            <w:hideMark/>
          </w:tcPr>
          <w:p w14:paraId="7A74A82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6865019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Porous Transport Layers for Proton Exchange Membrane Electrolysis Under Extreme Conditions of Current Density, Temperature, and Pressure</w:t>
            </w:r>
          </w:p>
        </w:tc>
        <w:tc>
          <w:tcPr>
            <w:tcW w:w="0" w:type="auto"/>
            <w:tcBorders>
              <w:top w:val="nil"/>
              <w:left w:val="nil"/>
              <w:bottom w:val="single" w:sz="4" w:space="0" w:color="DDDDDD"/>
              <w:right w:val="single" w:sz="4" w:space="0" w:color="DDDDDD"/>
            </w:tcBorders>
            <w:shd w:val="clear" w:color="FFFFFF" w:fill="FFFFFF"/>
            <w:noWrap/>
            <w:vAlign w:val="bottom"/>
            <w:hideMark/>
          </w:tcPr>
          <w:p w14:paraId="05FAFB1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10.1002/aenm.202100630</w:t>
            </w:r>
          </w:p>
        </w:tc>
        <w:tc>
          <w:tcPr>
            <w:tcW w:w="0" w:type="auto"/>
            <w:tcBorders>
              <w:top w:val="nil"/>
              <w:left w:val="nil"/>
              <w:bottom w:val="single" w:sz="4" w:space="0" w:color="DDDDDD"/>
              <w:right w:val="single" w:sz="4" w:space="0" w:color="DDDDDD"/>
            </w:tcBorders>
            <w:shd w:val="clear" w:color="FFFFFF" w:fill="FFFFFF"/>
            <w:noWrap/>
            <w:vAlign w:val="bottom"/>
            <w:hideMark/>
          </w:tcPr>
          <w:p w14:paraId="087E5C4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16146832</w:t>
            </w:r>
          </w:p>
        </w:tc>
        <w:tc>
          <w:tcPr>
            <w:tcW w:w="0" w:type="auto"/>
            <w:tcBorders>
              <w:top w:val="nil"/>
              <w:left w:val="nil"/>
              <w:bottom w:val="single" w:sz="4" w:space="0" w:color="DDDDDD"/>
              <w:right w:val="single" w:sz="4" w:space="0" w:color="DDDDDD"/>
            </w:tcBorders>
            <w:shd w:val="clear" w:color="FFFFFF" w:fill="FFFFFF"/>
            <w:noWrap/>
            <w:vAlign w:val="bottom"/>
            <w:hideMark/>
          </w:tcPr>
          <w:p w14:paraId="72A78E0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Svenja Stiber, Harald Balzer, Astrid Wierhake, Florian Josef Wirkert, Jeffrey Roth, Ulrich Rost, Michael Brodmann, Jason Keonhag Lee, Aimy Bazylak, Wendelin Waiblinger, Aldo Sau Gago, Kaspar Andreas Friedrich</w:t>
            </w:r>
          </w:p>
        </w:tc>
        <w:tc>
          <w:tcPr>
            <w:tcW w:w="0" w:type="auto"/>
            <w:tcBorders>
              <w:top w:val="nil"/>
              <w:left w:val="nil"/>
              <w:bottom w:val="single" w:sz="4" w:space="0" w:color="DDDDDD"/>
              <w:right w:val="single" w:sz="4" w:space="0" w:color="DDDDDD"/>
            </w:tcBorders>
            <w:shd w:val="clear" w:color="FFFFFF" w:fill="FFFFFF"/>
            <w:noWrap/>
            <w:vAlign w:val="bottom"/>
            <w:hideMark/>
          </w:tcPr>
          <w:p w14:paraId="210061C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Advanced Energy Materials</w:t>
            </w:r>
          </w:p>
        </w:tc>
        <w:tc>
          <w:tcPr>
            <w:tcW w:w="0" w:type="auto"/>
            <w:tcBorders>
              <w:top w:val="nil"/>
              <w:left w:val="nil"/>
              <w:bottom w:val="single" w:sz="4" w:space="0" w:color="DDDDDD"/>
              <w:right w:val="single" w:sz="4" w:space="0" w:color="DDDDDD"/>
            </w:tcBorders>
            <w:shd w:val="clear" w:color="FFFFFF" w:fill="FFFFFF"/>
            <w:noWrap/>
            <w:vAlign w:val="bottom"/>
            <w:hideMark/>
          </w:tcPr>
          <w:p w14:paraId="26B41B3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11/33</w:t>
            </w:r>
          </w:p>
        </w:tc>
        <w:tc>
          <w:tcPr>
            <w:tcW w:w="0" w:type="auto"/>
            <w:tcBorders>
              <w:top w:val="nil"/>
              <w:left w:val="nil"/>
              <w:bottom w:val="single" w:sz="4" w:space="0" w:color="DDDDDD"/>
              <w:right w:val="single" w:sz="4" w:space="0" w:color="DDDDDD"/>
            </w:tcBorders>
            <w:shd w:val="clear" w:color="FFFFFF" w:fill="FFFFFF"/>
            <w:noWrap/>
            <w:vAlign w:val="bottom"/>
            <w:hideMark/>
          </w:tcPr>
          <w:p w14:paraId="6683B8A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Wiley-VCH Verlag</w:t>
            </w:r>
          </w:p>
        </w:tc>
        <w:tc>
          <w:tcPr>
            <w:tcW w:w="0" w:type="auto"/>
            <w:tcBorders>
              <w:top w:val="nil"/>
              <w:left w:val="nil"/>
              <w:bottom w:val="single" w:sz="4" w:space="0" w:color="DDDDDD"/>
              <w:right w:val="single" w:sz="4" w:space="0" w:color="DDDDDD"/>
            </w:tcBorders>
            <w:shd w:val="clear" w:color="FFFFFF" w:fill="FFFFFF"/>
            <w:noWrap/>
            <w:vAlign w:val="bottom"/>
            <w:hideMark/>
          </w:tcPr>
          <w:p w14:paraId="664F018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Germany</w:t>
            </w:r>
          </w:p>
        </w:tc>
        <w:tc>
          <w:tcPr>
            <w:tcW w:w="0" w:type="auto"/>
            <w:tcBorders>
              <w:top w:val="nil"/>
              <w:left w:val="nil"/>
              <w:bottom w:val="single" w:sz="4" w:space="0" w:color="DDDDDD"/>
              <w:right w:val="single" w:sz="4" w:space="0" w:color="DDDDDD"/>
            </w:tcBorders>
            <w:shd w:val="clear" w:color="FFFFFF" w:fill="FFFFFF"/>
            <w:noWrap/>
            <w:vAlign w:val="bottom"/>
            <w:hideMark/>
          </w:tcPr>
          <w:p w14:paraId="7FFAA0B5"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4CF44BF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2100630</w:t>
            </w:r>
          </w:p>
        </w:tc>
        <w:tc>
          <w:tcPr>
            <w:tcW w:w="0" w:type="auto"/>
            <w:tcBorders>
              <w:top w:val="nil"/>
              <w:left w:val="nil"/>
              <w:bottom w:val="single" w:sz="4" w:space="0" w:color="DDDDDD"/>
              <w:right w:val="single" w:sz="4" w:space="0" w:color="DDDDDD"/>
            </w:tcBorders>
            <w:shd w:val="clear" w:color="FFFFFF" w:fill="FFFFFF"/>
            <w:noWrap/>
            <w:vAlign w:val="bottom"/>
            <w:hideMark/>
          </w:tcPr>
          <w:p w14:paraId="5312570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Yes</w:t>
            </w:r>
          </w:p>
        </w:tc>
        <w:tc>
          <w:tcPr>
            <w:tcW w:w="0" w:type="auto"/>
            <w:tcBorders>
              <w:top w:val="nil"/>
              <w:left w:val="nil"/>
              <w:bottom w:val="single" w:sz="4" w:space="0" w:color="DDDDDD"/>
              <w:right w:val="single" w:sz="4" w:space="0" w:color="DDDDDD"/>
            </w:tcBorders>
            <w:shd w:val="clear" w:color="FFFFFF" w:fill="FFFFFF"/>
            <w:noWrap/>
            <w:vAlign w:val="bottom"/>
            <w:hideMark/>
          </w:tcPr>
          <w:p w14:paraId="01A2B39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Yes</w:t>
            </w:r>
          </w:p>
        </w:tc>
        <w:tc>
          <w:tcPr>
            <w:tcW w:w="0" w:type="auto"/>
            <w:tcBorders>
              <w:top w:val="nil"/>
              <w:left w:val="nil"/>
              <w:bottom w:val="single" w:sz="4" w:space="0" w:color="DDDDDD"/>
              <w:right w:val="single" w:sz="4" w:space="0" w:color="DDDDDD"/>
            </w:tcBorders>
            <w:shd w:val="clear" w:color="FFFFFF" w:fill="FFFFFF"/>
            <w:noWrap/>
            <w:vAlign w:val="bottom"/>
            <w:hideMark/>
          </w:tcPr>
          <w:p w14:paraId="59D16DB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r>
      <w:tr w:rsidR="00BD154D" w:rsidRPr="004535FA" w14:paraId="15E09222"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6E83CAA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REFLEX</w:t>
            </w:r>
          </w:p>
        </w:tc>
        <w:tc>
          <w:tcPr>
            <w:tcW w:w="0" w:type="auto"/>
            <w:tcBorders>
              <w:top w:val="nil"/>
              <w:left w:val="nil"/>
              <w:bottom w:val="single" w:sz="4" w:space="0" w:color="DDDDDD"/>
              <w:right w:val="single" w:sz="4" w:space="0" w:color="DDDDDD"/>
            </w:tcBorders>
            <w:shd w:val="clear" w:color="FFFFFF" w:fill="FFFFFF"/>
            <w:noWrap/>
            <w:vAlign w:val="bottom"/>
            <w:hideMark/>
          </w:tcPr>
          <w:p w14:paraId="51037F0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0E2C24B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Development of an efficient rSOC based renewable energy storage system</w:t>
            </w:r>
          </w:p>
        </w:tc>
        <w:tc>
          <w:tcPr>
            <w:tcW w:w="0" w:type="auto"/>
            <w:tcBorders>
              <w:top w:val="nil"/>
              <w:left w:val="nil"/>
              <w:bottom w:val="single" w:sz="4" w:space="0" w:color="DDDDDD"/>
              <w:right w:val="single" w:sz="4" w:space="0" w:color="DDDDDD"/>
            </w:tcBorders>
            <w:shd w:val="clear" w:color="FFFFFF" w:fill="FFFFFF"/>
            <w:noWrap/>
            <w:vAlign w:val="bottom"/>
            <w:hideMark/>
          </w:tcPr>
          <w:p w14:paraId="4E88D0F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10.1149/10301.0337ecst</w:t>
            </w:r>
          </w:p>
        </w:tc>
        <w:tc>
          <w:tcPr>
            <w:tcW w:w="0" w:type="auto"/>
            <w:tcBorders>
              <w:top w:val="nil"/>
              <w:left w:val="nil"/>
              <w:bottom w:val="single" w:sz="4" w:space="0" w:color="DDDDDD"/>
              <w:right w:val="single" w:sz="4" w:space="0" w:color="DDDDDD"/>
            </w:tcBorders>
            <w:shd w:val="clear" w:color="FFFFFF" w:fill="FFFFFF"/>
            <w:noWrap/>
            <w:vAlign w:val="bottom"/>
            <w:hideMark/>
          </w:tcPr>
          <w:p w14:paraId="71C5DA8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19385862</w:t>
            </w:r>
          </w:p>
        </w:tc>
        <w:tc>
          <w:tcPr>
            <w:tcW w:w="0" w:type="auto"/>
            <w:tcBorders>
              <w:top w:val="nil"/>
              <w:left w:val="nil"/>
              <w:bottom w:val="single" w:sz="4" w:space="0" w:color="DDDDDD"/>
              <w:right w:val="single" w:sz="4" w:space="0" w:color="DDDDDD"/>
            </w:tcBorders>
            <w:shd w:val="clear" w:color="FFFFFF" w:fill="FFFFFF"/>
            <w:noWrap/>
            <w:vAlign w:val="bottom"/>
            <w:hideMark/>
          </w:tcPr>
          <w:p w14:paraId="4E5CCFA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 Julie Mougin, Geraud Cubizolles, Anne Hauch, Jari Pennanen, Joaquin Alvarez, Sergii Pylypko, Marc Potron, Bastien Marquillier, Stephane Hody, Gianna Cesareo, Sabina Fiorot, Guillermo Perez</w:t>
            </w:r>
          </w:p>
        </w:tc>
        <w:tc>
          <w:tcPr>
            <w:tcW w:w="0" w:type="auto"/>
            <w:tcBorders>
              <w:top w:val="nil"/>
              <w:left w:val="nil"/>
              <w:bottom w:val="single" w:sz="4" w:space="0" w:color="DDDDDD"/>
              <w:right w:val="single" w:sz="4" w:space="0" w:color="DDDDDD"/>
            </w:tcBorders>
            <w:shd w:val="clear" w:color="FFFFFF" w:fill="FFFFFF"/>
            <w:noWrap/>
            <w:vAlign w:val="bottom"/>
            <w:hideMark/>
          </w:tcPr>
          <w:p w14:paraId="5997CB8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ECS Transactions</w:t>
            </w:r>
          </w:p>
        </w:tc>
        <w:tc>
          <w:tcPr>
            <w:tcW w:w="0" w:type="auto"/>
            <w:tcBorders>
              <w:top w:val="nil"/>
              <w:left w:val="nil"/>
              <w:bottom w:val="single" w:sz="4" w:space="0" w:color="DDDDDD"/>
              <w:right w:val="single" w:sz="4" w:space="0" w:color="DDDDDD"/>
            </w:tcBorders>
            <w:shd w:val="clear" w:color="FFFFFF" w:fill="FFFFFF"/>
            <w:noWrap/>
            <w:vAlign w:val="bottom"/>
            <w:hideMark/>
          </w:tcPr>
          <w:p w14:paraId="2F67F64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103 (1), 2021</w:t>
            </w:r>
          </w:p>
        </w:tc>
        <w:tc>
          <w:tcPr>
            <w:tcW w:w="0" w:type="auto"/>
            <w:tcBorders>
              <w:top w:val="nil"/>
              <w:left w:val="nil"/>
              <w:bottom w:val="single" w:sz="4" w:space="0" w:color="DDDDDD"/>
              <w:right w:val="single" w:sz="4" w:space="0" w:color="DDDDDD"/>
            </w:tcBorders>
            <w:shd w:val="clear" w:color="FFFFFF" w:fill="FFFFFF"/>
            <w:noWrap/>
            <w:vAlign w:val="bottom"/>
            <w:hideMark/>
          </w:tcPr>
          <w:p w14:paraId="425FBB6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Electrochemical Society, Inc.</w:t>
            </w:r>
          </w:p>
        </w:tc>
        <w:tc>
          <w:tcPr>
            <w:tcW w:w="0" w:type="auto"/>
            <w:tcBorders>
              <w:top w:val="nil"/>
              <w:left w:val="nil"/>
              <w:bottom w:val="single" w:sz="4" w:space="0" w:color="DDDDDD"/>
              <w:right w:val="single" w:sz="4" w:space="0" w:color="DDDDDD"/>
            </w:tcBorders>
            <w:shd w:val="clear" w:color="FFFFFF" w:fill="FFFFFF"/>
            <w:noWrap/>
            <w:vAlign w:val="bottom"/>
            <w:hideMark/>
          </w:tcPr>
          <w:p w14:paraId="6DA59F2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United States</w:t>
            </w:r>
          </w:p>
        </w:tc>
        <w:tc>
          <w:tcPr>
            <w:tcW w:w="0" w:type="auto"/>
            <w:tcBorders>
              <w:top w:val="nil"/>
              <w:left w:val="nil"/>
              <w:bottom w:val="single" w:sz="4" w:space="0" w:color="DDDDDD"/>
              <w:right w:val="single" w:sz="4" w:space="0" w:color="DDDDDD"/>
            </w:tcBorders>
            <w:shd w:val="clear" w:color="FFFFFF" w:fill="FFFFFF"/>
            <w:noWrap/>
            <w:vAlign w:val="bottom"/>
            <w:hideMark/>
          </w:tcPr>
          <w:p w14:paraId="05D6BC16"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19FA5EA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337-350</w:t>
            </w:r>
          </w:p>
        </w:tc>
        <w:tc>
          <w:tcPr>
            <w:tcW w:w="0" w:type="auto"/>
            <w:tcBorders>
              <w:top w:val="nil"/>
              <w:left w:val="nil"/>
              <w:bottom w:val="single" w:sz="4" w:space="0" w:color="DDDDDD"/>
              <w:right w:val="single" w:sz="4" w:space="0" w:color="DDDDDD"/>
            </w:tcBorders>
            <w:shd w:val="clear" w:color="FFFFFF" w:fill="FFFFFF"/>
            <w:noWrap/>
            <w:vAlign w:val="bottom"/>
            <w:hideMark/>
          </w:tcPr>
          <w:p w14:paraId="350DEB2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72034A1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033EA8D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r>
      <w:tr w:rsidR="00BD154D" w:rsidRPr="004535FA" w14:paraId="2E18D12A"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6352DB2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REFLEX</w:t>
            </w:r>
          </w:p>
        </w:tc>
        <w:tc>
          <w:tcPr>
            <w:tcW w:w="0" w:type="auto"/>
            <w:tcBorders>
              <w:top w:val="nil"/>
              <w:left w:val="nil"/>
              <w:bottom w:val="single" w:sz="4" w:space="0" w:color="DDDDDD"/>
              <w:right w:val="single" w:sz="4" w:space="0" w:color="DDDDDD"/>
            </w:tcBorders>
            <w:shd w:val="clear" w:color="FFFFFF" w:fill="FFFFFF"/>
            <w:noWrap/>
            <w:vAlign w:val="bottom"/>
            <w:hideMark/>
          </w:tcPr>
          <w:p w14:paraId="7CAE258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3FE1CAD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Load Cycling Tests of Reversible Solid Oxide Cells – Effects of Current Density, Steam Content and Utilization</w:t>
            </w:r>
          </w:p>
        </w:tc>
        <w:tc>
          <w:tcPr>
            <w:tcW w:w="0" w:type="auto"/>
            <w:tcBorders>
              <w:top w:val="nil"/>
              <w:left w:val="nil"/>
              <w:bottom w:val="single" w:sz="4" w:space="0" w:color="DDDDDD"/>
              <w:right w:val="single" w:sz="4" w:space="0" w:color="DDDDDD"/>
            </w:tcBorders>
            <w:shd w:val="clear" w:color="FFFFFF" w:fill="FFFFFF"/>
            <w:noWrap/>
            <w:vAlign w:val="bottom"/>
            <w:hideMark/>
          </w:tcPr>
          <w:p w14:paraId="543043A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10.1149/10301.0437ecst</w:t>
            </w:r>
          </w:p>
        </w:tc>
        <w:tc>
          <w:tcPr>
            <w:tcW w:w="0" w:type="auto"/>
            <w:tcBorders>
              <w:top w:val="nil"/>
              <w:left w:val="nil"/>
              <w:bottom w:val="single" w:sz="4" w:space="0" w:color="DDDDDD"/>
              <w:right w:val="single" w:sz="4" w:space="0" w:color="DDDDDD"/>
            </w:tcBorders>
            <w:shd w:val="clear" w:color="FFFFFF" w:fill="FFFFFF"/>
            <w:noWrap/>
            <w:vAlign w:val="bottom"/>
            <w:hideMark/>
          </w:tcPr>
          <w:p w14:paraId="5A9FF61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19385862</w:t>
            </w:r>
          </w:p>
        </w:tc>
        <w:tc>
          <w:tcPr>
            <w:tcW w:w="0" w:type="auto"/>
            <w:tcBorders>
              <w:top w:val="nil"/>
              <w:left w:val="nil"/>
              <w:bottom w:val="single" w:sz="4" w:space="0" w:color="DDDDDD"/>
              <w:right w:val="single" w:sz="4" w:space="0" w:color="DDDDDD"/>
            </w:tcBorders>
            <w:shd w:val="clear" w:color="FFFFFF" w:fill="FFFFFF"/>
            <w:noWrap/>
            <w:vAlign w:val="bottom"/>
            <w:hideMark/>
          </w:tcPr>
          <w:p w14:paraId="45B0D8C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Anne Hauch, S. Pylypko, Geraud Cubizolles and J. Mougin</w:t>
            </w:r>
          </w:p>
        </w:tc>
        <w:tc>
          <w:tcPr>
            <w:tcW w:w="0" w:type="auto"/>
            <w:tcBorders>
              <w:top w:val="nil"/>
              <w:left w:val="nil"/>
              <w:bottom w:val="single" w:sz="4" w:space="0" w:color="DDDDDD"/>
              <w:right w:val="single" w:sz="4" w:space="0" w:color="DDDDDD"/>
            </w:tcBorders>
            <w:shd w:val="clear" w:color="FFFFFF" w:fill="FFFFFF"/>
            <w:noWrap/>
            <w:vAlign w:val="bottom"/>
            <w:hideMark/>
          </w:tcPr>
          <w:p w14:paraId="2C7A016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ECS Transations</w:t>
            </w:r>
          </w:p>
        </w:tc>
        <w:tc>
          <w:tcPr>
            <w:tcW w:w="0" w:type="auto"/>
            <w:tcBorders>
              <w:top w:val="nil"/>
              <w:left w:val="nil"/>
              <w:bottom w:val="single" w:sz="4" w:space="0" w:color="DDDDDD"/>
              <w:right w:val="single" w:sz="4" w:space="0" w:color="DDDDDD"/>
            </w:tcBorders>
            <w:shd w:val="clear" w:color="FFFFFF" w:fill="FFFFFF"/>
            <w:noWrap/>
            <w:vAlign w:val="bottom"/>
            <w:hideMark/>
          </w:tcPr>
          <w:p w14:paraId="5F94601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103 (1), 2021</w:t>
            </w:r>
          </w:p>
        </w:tc>
        <w:tc>
          <w:tcPr>
            <w:tcW w:w="0" w:type="auto"/>
            <w:tcBorders>
              <w:top w:val="nil"/>
              <w:left w:val="nil"/>
              <w:bottom w:val="single" w:sz="4" w:space="0" w:color="DDDDDD"/>
              <w:right w:val="single" w:sz="4" w:space="0" w:color="DDDDDD"/>
            </w:tcBorders>
            <w:shd w:val="clear" w:color="FFFFFF" w:fill="FFFFFF"/>
            <w:noWrap/>
            <w:vAlign w:val="bottom"/>
            <w:hideMark/>
          </w:tcPr>
          <w:p w14:paraId="5A387CB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Electrochemical Society, Inc.</w:t>
            </w:r>
          </w:p>
        </w:tc>
        <w:tc>
          <w:tcPr>
            <w:tcW w:w="0" w:type="auto"/>
            <w:tcBorders>
              <w:top w:val="nil"/>
              <w:left w:val="nil"/>
              <w:bottom w:val="single" w:sz="4" w:space="0" w:color="DDDDDD"/>
              <w:right w:val="single" w:sz="4" w:space="0" w:color="DDDDDD"/>
            </w:tcBorders>
            <w:shd w:val="clear" w:color="FFFFFF" w:fill="FFFFFF"/>
            <w:noWrap/>
            <w:vAlign w:val="bottom"/>
            <w:hideMark/>
          </w:tcPr>
          <w:p w14:paraId="4414A70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United States</w:t>
            </w:r>
          </w:p>
        </w:tc>
        <w:tc>
          <w:tcPr>
            <w:tcW w:w="0" w:type="auto"/>
            <w:tcBorders>
              <w:top w:val="nil"/>
              <w:left w:val="nil"/>
              <w:bottom w:val="single" w:sz="4" w:space="0" w:color="DDDDDD"/>
              <w:right w:val="single" w:sz="4" w:space="0" w:color="DDDDDD"/>
            </w:tcBorders>
            <w:shd w:val="clear" w:color="FFFFFF" w:fill="FFFFFF"/>
            <w:noWrap/>
            <w:vAlign w:val="bottom"/>
            <w:hideMark/>
          </w:tcPr>
          <w:p w14:paraId="6758CD19"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54C1273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437-450</w:t>
            </w:r>
          </w:p>
        </w:tc>
        <w:tc>
          <w:tcPr>
            <w:tcW w:w="0" w:type="auto"/>
            <w:tcBorders>
              <w:top w:val="nil"/>
              <w:left w:val="nil"/>
              <w:bottom w:val="single" w:sz="4" w:space="0" w:color="DDDDDD"/>
              <w:right w:val="single" w:sz="4" w:space="0" w:color="DDDDDD"/>
            </w:tcBorders>
            <w:shd w:val="clear" w:color="FFFFFF" w:fill="FFFFFF"/>
            <w:noWrap/>
            <w:vAlign w:val="bottom"/>
            <w:hideMark/>
          </w:tcPr>
          <w:p w14:paraId="1109B7A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3CD8541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521FEEC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r>
      <w:tr w:rsidR="00BD154D" w:rsidRPr="004535FA" w14:paraId="17A4D130"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091D15E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REFLEX</w:t>
            </w:r>
          </w:p>
        </w:tc>
        <w:tc>
          <w:tcPr>
            <w:tcW w:w="0" w:type="auto"/>
            <w:tcBorders>
              <w:top w:val="nil"/>
              <w:left w:val="nil"/>
              <w:bottom w:val="single" w:sz="4" w:space="0" w:color="DDDDDD"/>
              <w:right w:val="single" w:sz="4" w:space="0" w:color="DDDDDD"/>
            </w:tcBorders>
            <w:shd w:val="clear" w:color="FFFFFF" w:fill="FFFFFF"/>
            <w:noWrap/>
            <w:vAlign w:val="bottom"/>
            <w:hideMark/>
          </w:tcPr>
          <w:p w14:paraId="3BDEB42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69B24FE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Stack Optimization and Testing for its Integration in a rSOC-Based Renewable Energy Storage System</w:t>
            </w:r>
          </w:p>
        </w:tc>
        <w:tc>
          <w:tcPr>
            <w:tcW w:w="0" w:type="auto"/>
            <w:tcBorders>
              <w:top w:val="nil"/>
              <w:left w:val="nil"/>
              <w:bottom w:val="single" w:sz="4" w:space="0" w:color="DDDDDD"/>
              <w:right w:val="single" w:sz="4" w:space="0" w:color="DDDDDD"/>
            </w:tcBorders>
            <w:shd w:val="clear" w:color="FFFFFF" w:fill="FFFFFF"/>
            <w:noWrap/>
            <w:vAlign w:val="bottom"/>
            <w:hideMark/>
          </w:tcPr>
          <w:p w14:paraId="78B1186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10.1149/10301.0351ecst</w:t>
            </w:r>
          </w:p>
        </w:tc>
        <w:tc>
          <w:tcPr>
            <w:tcW w:w="0" w:type="auto"/>
            <w:tcBorders>
              <w:top w:val="nil"/>
              <w:left w:val="nil"/>
              <w:bottom w:val="single" w:sz="4" w:space="0" w:color="DDDDDD"/>
              <w:right w:val="single" w:sz="4" w:space="0" w:color="DDDDDD"/>
            </w:tcBorders>
            <w:shd w:val="clear" w:color="FFFFFF" w:fill="FFFFFF"/>
            <w:noWrap/>
            <w:vAlign w:val="bottom"/>
            <w:hideMark/>
          </w:tcPr>
          <w:p w14:paraId="3D030BE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19385862</w:t>
            </w:r>
          </w:p>
        </w:tc>
        <w:tc>
          <w:tcPr>
            <w:tcW w:w="0" w:type="auto"/>
            <w:tcBorders>
              <w:top w:val="nil"/>
              <w:left w:val="nil"/>
              <w:bottom w:val="single" w:sz="4" w:space="0" w:color="DDDDDD"/>
              <w:right w:val="single" w:sz="4" w:space="0" w:color="DDDDDD"/>
            </w:tcBorders>
            <w:shd w:val="clear" w:color="FFFFFF" w:fill="FFFFFF"/>
            <w:noWrap/>
            <w:vAlign w:val="bottom"/>
            <w:hideMark/>
          </w:tcPr>
          <w:p w14:paraId="38ED668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xml:space="preserve">G. Cubizolles, J. Mougin, S. Di Iorio, </w:t>
            </w:r>
            <w:proofErr w:type="gramStart"/>
            <w:r w:rsidRPr="00F07F7C">
              <w:rPr>
                <w:rFonts w:ascii="Arial" w:eastAsia="Times New Roman" w:hAnsi="Arial" w:cs="Arial"/>
                <w:color w:val="333333"/>
                <w:sz w:val="12"/>
                <w:szCs w:val="12"/>
                <w:lang w:eastAsia="en-GB"/>
              </w:rPr>
              <w:t>P.Hanoux</w:t>
            </w:r>
            <w:proofErr w:type="gramEnd"/>
            <w:r w:rsidRPr="00F07F7C">
              <w:rPr>
                <w:rFonts w:ascii="Arial" w:eastAsia="Times New Roman" w:hAnsi="Arial" w:cs="Arial"/>
                <w:color w:val="333333"/>
                <w:sz w:val="12"/>
                <w:szCs w:val="12"/>
                <w:lang w:eastAsia="en-GB"/>
              </w:rPr>
              <w:t xml:space="preserve"> and S. Pylypko</w:t>
            </w:r>
          </w:p>
        </w:tc>
        <w:tc>
          <w:tcPr>
            <w:tcW w:w="0" w:type="auto"/>
            <w:tcBorders>
              <w:top w:val="nil"/>
              <w:left w:val="nil"/>
              <w:bottom w:val="single" w:sz="4" w:space="0" w:color="DDDDDD"/>
              <w:right w:val="single" w:sz="4" w:space="0" w:color="DDDDDD"/>
            </w:tcBorders>
            <w:shd w:val="clear" w:color="FFFFFF" w:fill="FFFFFF"/>
            <w:noWrap/>
            <w:vAlign w:val="bottom"/>
            <w:hideMark/>
          </w:tcPr>
          <w:p w14:paraId="0683244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ECS Transations</w:t>
            </w:r>
          </w:p>
        </w:tc>
        <w:tc>
          <w:tcPr>
            <w:tcW w:w="0" w:type="auto"/>
            <w:tcBorders>
              <w:top w:val="nil"/>
              <w:left w:val="nil"/>
              <w:bottom w:val="single" w:sz="4" w:space="0" w:color="DDDDDD"/>
              <w:right w:val="single" w:sz="4" w:space="0" w:color="DDDDDD"/>
            </w:tcBorders>
            <w:shd w:val="clear" w:color="FFFFFF" w:fill="FFFFFF"/>
            <w:noWrap/>
            <w:vAlign w:val="bottom"/>
            <w:hideMark/>
          </w:tcPr>
          <w:p w14:paraId="7014A75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103 (1), 2021</w:t>
            </w:r>
          </w:p>
        </w:tc>
        <w:tc>
          <w:tcPr>
            <w:tcW w:w="0" w:type="auto"/>
            <w:tcBorders>
              <w:top w:val="nil"/>
              <w:left w:val="nil"/>
              <w:bottom w:val="single" w:sz="4" w:space="0" w:color="DDDDDD"/>
              <w:right w:val="single" w:sz="4" w:space="0" w:color="DDDDDD"/>
            </w:tcBorders>
            <w:shd w:val="clear" w:color="FFFFFF" w:fill="FFFFFF"/>
            <w:noWrap/>
            <w:vAlign w:val="bottom"/>
            <w:hideMark/>
          </w:tcPr>
          <w:p w14:paraId="6363A63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Electrochemical Society, Inc.</w:t>
            </w:r>
          </w:p>
        </w:tc>
        <w:tc>
          <w:tcPr>
            <w:tcW w:w="0" w:type="auto"/>
            <w:tcBorders>
              <w:top w:val="nil"/>
              <w:left w:val="nil"/>
              <w:bottom w:val="single" w:sz="4" w:space="0" w:color="DDDDDD"/>
              <w:right w:val="single" w:sz="4" w:space="0" w:color="DDDDDD"/>
            </w:tcBorders>
            <w:shd w:val="clear" w:color="FFFFFF" w:fill="FFFFFF"/>
            <w:noWrap/>
            <w:vAlign w:val="bottom"/>
            <w:hideMark/>
          </w:tcPr>
          <w:p w14:paraId="00ED6DD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United States</w:t>
            </w:r>
          </w:p>
        </w:tc>
        <w:tc>
          <w:tcPr>
            <w:tcW w:w="0" w:type="auto"/>
            <w:tcBorders>
              <w:top w:val="nil"/>
              <w:left w:val="nil"/>
              <w:bottom w:val="single" w:sz="4" w:space="0" w:color="DDDDDD"/>
              <w:right w:val="single" w:sz="4" w:space="0" w:color="DDDDDD"/>
            </w:tcBorders>
            <w:shd w:val="clear" w:color="FFFFFF" w:fill="FFFFFF"/>
            <w:noWrap/>
            <w:vAlign w:val="bottom"/>
            <w:hideMark/>
          </w:tcPr>
          <w:p w14:paraId="2F9CB338"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29942F7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351-361</w:t>
            </w:r>
          </w:p>
        </w:tc>
        <w:tc>
          <w:tcPr>
            <w:tcW w:w="0" w:type="auto"/>
            <w:tcBorders>
              <w:top w:val="nil"/>
              <w:left w:val="nil"/>
              <w:bottom w:val="single" w:sz="4" w:space="0" w:color="DDDDDD"/>
              <w:right w:val="single" w:sz="4" w:space="0" w:color="DDDDDD"/>
            </w:tcBorders>
            <w:shd w:val="clear" w:color="FFFFFF" w:fill="FFFFFF"/>
            <w:noWrap/>
            <w:vAlign w:val="bottom"/>
            <w:hideMark/>
          </w:tcPr>
          <w:p w14:paraId="34ED5EC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1158D9A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18A1F0E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r>
      <w:tr w:rsidR="00BD154D" w:rsidRPr="004535FA" w14:paraId="6967DAF0"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28F9DDC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REMOTE</w:t>
            </w:r>
          </w:p>
        </w:tc>
        <w:tc>
          <w:tcPr>
            <w:tcW w:w="0" w:type="auto"/>
            <w:tcBorders>
              <w:top w:val="nil"/>
              <w:left w:val="nil"/>
              <w:bottom w:val="single" w:sz="4" w:space="0" w:color="DDDDDD"/>
              <w:right w:val="single" w:sz="4" w:space="0" w:color="DDDDDD"/>
            </w:tcBorders>
            <w:shd w:val="clear" w:color="FFFFFF" w:fill="FFFFFF"/>
            <w:noWrap/>
            <w:vAlign w:val="bottom"/>
            <w:hideMark/>
          </w:tcPr>
          <w:p w14:paraId="14BE6B2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6822AF4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REMOTE: Green hydrogen to support renewable energy storage in remote communities</w:t>
            </w:r>
          </w:p>
        </w:tc>
        <w:tc>
          <w:tcPr>
            <w:tcW w:w="0" w:type="auto"/>
            <w:tcBorders>
              <w:top w:val="nil"/>
              <w:left w:val="nil"/>
              <w:bottom w:val="single" w:sz="4" w:space="0" w:color="DDDDDD"/>
              <w:right w:val="single" w:sz="4" w:space="0" w:color="DDDDDD"/>
            </w:tcBorders>
            <w:shd w:val="clear" w:color="FFFFFF" w:fill="FFFFFF"/>
            <w:noWrap/>
            <w:vAlign w:val="bottom"/>
            <w:hideMark/>
          </w:tcPr>
          <w:p w14:paraId="15AACD5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54932CC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2516-3817</w:t>
            </w:r>
          </w:p>
        </w:tc>
        <w:tc>
          <w:tcPr>
            <w:tcW w:w="0" w:type="auto"/>
            <w:tcBorders>
              <w:top w:val="nil"/>
              <w:left w:val="nil"/>
              <w:bottom w:val="single" w:sz="4" w:space="0" w:color="DDDDDD"/>
              <w:right w:val="single" w:sz="4" w:space="0" w:color="DDDDDD"/>
            </w:tcBorders>
            <w:shd w:val="clear" w:color="FFFFFF" w:fill="FFFFFF"/>
            <w:noWrap/>
            <w:vAlign w:val="bottom"/>
            <w:hideMark/>
          </w:tcPr>
          <w:p w14:paraId="2D28FF3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Massimo Santarelli</w:t>
            </w:r>
          </w:p>
        </w:tc>
        <w:tc>
          <w:tcPr>
            <w:tcW w:w="0" w:type="auto"/>
            <w:tcBorders>
              <w:top w:val="nil"/>
              <w:left w:val="nil"/>
              <w:bottom w:val="single" w:sz="4" w:space="0" w:color="DDDDDD"/>
              <w:right w:val="single" w:sz="4" w:space="0" w:color="DDDDDD"/>
            </w:tcBorders>
            <w:shd w:val="clear" w:color="FFFFFF" w:fill="FFFFFF"/>
            <w:noWrap/>
            <w:vAlign w:val="bottom"/>
            <w:hideMark/>
          </w:tcPr>
          <w:p w14:paraId="18D4D58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Open Access Government</w:t>
            </w:r>
          </w:p>
        </w:tc>
        <w:tc>
          <w:tcPr>
            <w:tcW w:w="0" w:type="auto"/>
            <w:tcBorders>
              <w:top w:val="nil"/>
              <w:left w:val="nil"/>
              <w:bottom w:val="single" w:sz="4" w:space="0" w:color="DDDDDD"/>
              <w:right w:val="single" w:sz="4" w:space="0" w:color="DDDDDD"/>
            </w:tcBorders>
            <w:shd w:val="clear" w:color="FFFFFF" w:fill="FFFFFF"/>
            <w:noWrap/>
            <w:vAlign w:val="bottom"/>
            <w:hideMark/>
          </w:tcPr>
          <w:p w14:paraId="3810540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October 2021</w:t>
            </w:r>
          </w:p>
        </w:tc>
        <w:tc>
          <w:tcPr>
            <w:tcW w:w="0" w:type="auto"/>
            <w:tcBorders>
              <w:top w:val="nil"/>
              <w:left w:val="nil"/>
              <w:bottom w:val="single" w:sz="4" w:space="0" w:color="DDDDDD"/>
              <w:right w:val="single" w:sz="4" w:space="0" w:color="DDDDDD"/>
            </w:tcBorders>
            <w:shd w:val="clear" w:color="FFFFFF" w:fill="FFFFFF"/>
            <w:noWrap/>
            <w:vAlign w:val="bottom"/>
            <w:hideMark/>
          </w:tcPr>
          <w:p w14:paraId="6573EB3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Adjacent Digital Politics Ltd</w:t>
            </w:r>
          </w:p>
        </w:tc>
        <w:tc>
          <w:tcPr>
            <w:tcW w:w="0" w:type="auto"/>
            <w:tcBorders>
              <w:top w:val="nil"/>
              <w:left w:val="nil"/>
              <w:bottom w:val="single" w:sz="4" w:space="0" w:color="DDDDDD"/>
              <w:right w:val="single" w:sz="4" w:space="0" w:color="DDDDDD"/>
            </w:tcBorders>
            <w:shd w:val="clear" w:color="FFFFFF" w:fill="FFFFFF"/>
            <w:noWrap/>
            <w:vAlign w:val="bottom"/>
            <w:hideMark/>
          </w:tcPr>
          <w:p w14:paraId="2B13FEB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United Kingdom</w:t>
            </w:r>
          </w:p>
        </w:tc>
        <w:tc>
          <w:tcPr>
            <w:tcW w:w="0" w:type="auto"/>
            <w:tcBorders>
              <w:top w:val="nil"/>
              <w:left w:val="nil"/>
              <w:bottom w:val="single" w:sz="4" w:space="0" w:color="DDDDDD"/>
              <w:right w:val="single" w:sz="4" w:space="0" w:color="DDDDDD"/>
            </w:tcBorders>
            <w:shd w:val="clear" w:color="FFFFFF" w:fill="FFFFFF"/>
            <w:noWrap/>
            <w:vAlign w:val="bottom"/>
            <w:hideMark/>
          </w:tcPr>
          <w:p w14:paraId="39207D5D"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2E76376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0838ED8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0AFCE58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22FD45B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r>
      <w:tr w:rsidR="00BD154D" w:rsidRPr="004535FA" w14:paraId="548BF98F"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50470D2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REMOTE</w:t>
            </w:r>
          </w:p>
        </w:tc>
        <w:tc>
          <w:tcPr>
            <w:tcW w:w="0" w:type="auto"/>
            <w:tcBorders>
              <w:top w:val="nil"/>
              <w:left w:val="nil"/>
              <w:bottom w:val="single" w:sz="4" w:space="0" w:color="DDDDDD"/>
              <w:right w:val="single" w:sz="4" w:space="0" w:color="DDDDDD"/>
            </w:tcBorders>
            <w:shd w:val="clear" w:color="FFFFFF" w:fill="FFFFFF"/>
            <w:noWrap/>
            <w:vAlign w:val="bottom"/>
            <w:hideMark/>
          </w:tcPr>
          <w:p w14:paraId="50D003C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w:t>
            </w:r>
            <w:r w:rsidRPr="00F07F7C">
              <w:rPr>
                <w:rFonts w:ascii="Arial" w:eastAsia="Times New Roman" w:hAnsi="Arial" w:cs="Arial"/>
                <w:color w:val="333333"/>
                <w:sz w:val="12"/>
                <w:szCs w:val="12"/>
                <w:lang w:eastAsia="en-GB"/>
              </w:rPr>
              <w:lastRenderedPageBreak/>
              <w: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572CEF9C" w14:textId="77777777" w:rsidR="00BD154D" w:rsidRPr="00F07F7C" w:rsidRDefault="00BD154D" w:rsidP="00DF2591">
            <w:pPr>
              <w:spacing w:after="0" w:line="240" w:lineRule="auto"/>
              <w:rPr>
                <w:rFonts w:ascii="Arial" w:eastAsia="Times New Roman" w:hAnsi="Arial" w:cs="Arial"/>
                <w:color w:val="333333"/>
                <w:sz w:val="12"/>
                <w:szCs w:val="12"/>
                <w:lang w:eastAsia="en-GB"/>
              </w:rPr>
            </w:pPr>
            <w:proofErr w:type="gramStart"/>
            <w:r w:rsidRPr="00F07F7C">
              <w:rPr>
                <w:rFonts w:ascii="Arial" w:eastAsia="Times New Roman" w:hAnsi="Arial" w:cs="Arial"/>
                <w:color w:val="333333"/>
                <w:sz w:val="12"/>
                <w:szCs w:val="12"/>
                <w:lang w:eastAsia="en-GB"/>
              </w:rPr>
              <w:lastRenderedPageBreak/>
              <w:t>An</w:t>
            </w:r>
            <w:proofErr w:type="gramEnd"/>
            <w:r w:rsidRPr="00F07F7C">
              <w:rPr>
                <w:rFonts w:ascii="Arial" w:eastAsia="Times New Roman" w:hAnsi="Arial" w:cs="Arial"/>
                <w:color w:val="333333"/>
                <w:sz w:val="12"/>
                <w:szCs w:val="12"/>
                <w:lang w:eastAsia="en-GB"/>
              </w:rPr>
              <w:t xml:space="preserve"> MILP approach for the optimal design of renewable battery-hydrogen energy systems for off-grid insular communities</w:t>
            </w:r>
          </w:p>
        </w:tc>
        <w:tc>
          <w:tcPr>
            <w:tcW w:w="0" w:type="auto"/>
            <w:tcBorders>
              <w:top w:val="nil"/>
              <w:left w:val="nil"/>
              <w:bottom w:val="single" w:sz="4" w:space="0" w:color="DDDDDD"/>
              <w:right w:val="single" w:sz="4" w:space="0" w:color="DDDDDD"/>
            </w:tcBorders>
            <w:shd w:val="clear" w:color="FFFFFF" w:fill="FFFFFF"/>
            <w:noWrap/>
            <w:vAlign w:val="bottom"/>
            <w:hideMark/>
          </w:tcPr>
          <w:p w14:paraId="71F10E1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10.1016/j.enconman.2021.</w:t>
            </w:r>
            <w:r w:rsidRPr="00F07F7C">
              <w:rPr>
                <w:rFonts w:ascii="Arial" w:eastAsia="Times New Roman" w:hAnsi="Arial" w:cs="Arial"/>
                <w:color w:val="333333"/>
                <w:sz w:val="12"/>
                <w:szCs w:val="12"/>
                <w:lang w:eastAsia="en-GB"/>
              </w:rPr>
              <w:lastRenderedPageBreak/>
              <w:t>114564</w:t>
            </w:r>
          </w:p>
        </w:tc>
        <w:tc>
          <w:tcPr>
            <w:tcW w:w="0" w:type="auto"/>
            <w:tcBorders>
              <w:top w:val="nil"/>
              <w:left w:val="nil"/>
              <w:bottom w:val="single" w:sz="4" w:space="0" w:color="DDDDDD"/>
              <w:right w:val="single" w:sz="4" w:space="0" w:color="DDDDDD"/>
            </w:tcBorders>
            <w:shd w:val="clear" w:color="FFFFFF" w:fill="FFFFFF"/>
            <w:noWrap/>
            <w:vAlign w:val="bottom"/>
            <w:hideMark/>
          </w:tcPr>
          <w:p w14:paraId="47B72B3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lastRenderedPageBreak/>
              <w:t>0196-8904</w:t>
            </w:r>
          </w:p>
        </w:tc>
        <w:tc>
          <w:tcPr>
            <w:tcW w:w="0" w:type="auto"/>
            <w:tcBorders>
              <w:top w:val="nil"/>
              <w:left w:val="nil"/>
              <w:bottom w:val="single" w:sz="4" w:space="0" w:color="DDDDDD"/>
              <w:right w:val="single" w:sz="4" w:space="0" w:color="DDDDDD"/>
            </w:tcBorders>
            <w:shd w:val="clear" w:color="FFFFFF" w:fill="FFFFFF"/>
            <w:noWrap/>
            <w:vAlign w:val="bottom"/>
            <w:hideMark/>
          </w:tcPr>
          <w:p w14:paraId="59022F01" w14:textId="77777777" w:rsidR="00BD154D" w:rsidRPr="00A60794" w:rsidRDefault="00BD154D" w:rsidP="00DF2591">
            <w:pPr>
              <w:spacing w:after="0" w:line="240" w:lineRule="auto"/>
              <w:rPr>
                <w:rFonts w:ascii="Arial" w:eastAsia="Times New Roman" w:hAnsi="Arial" w:cs="Arial"/>
                <w:color w:val="333333"/>
                <w:sz w:val="12"/>
                <w:szCs w:val="12"/>
                <w:lang w:val="es-ES" w:eastAsia="en-GB"/>
              </w:rPr>
            </w:pPr>
            <w:r w:rsidRPr="00A60794">
              <w:rPr>
                <w:rFonts w:ascii="Arial" w:eastAsia="Times New Roman" w:hAnsi="Arial" w:cs="Arial"/>
                <w:color w:val="333333"/>
                <w:sz w:val="12"/>
                <w:szCs w:val="12"/>
                <w:lang w:val="es-ES" w:eastAsia="en-GB"/>
              </w:rPr>
              <w:t>Paolo Marocco, Domenico Ferrero, Emanuele Martelli, Massimo Santarelli, Andrea Lanzini</w:t>
            </w:r>
          </w:p>
        </w:tc>
        <w:tc>
          <w:tcPr>
            <w:tcW w:w="0" w:type="auto"/>
            <w:tcBorders>
              <w:top w:val="nil"/>
              <w:left w:val="nil"/>
              <w:bottom w:val="single" w:sz="4" w:space="0" w:color="DDDDDD"/>
              <w:right w:val="single" w:sz="4" w:space="0" w:color="DDDDDD"/>
            </w:tcBorders>
            <w:shd w:val="clear" w:color="FFFFFF" w:fill="FFFFFF"/>
            <w:noWrap/>
            <w:vAlign w:val="bottom"/>
            <w:hideMark/>
          </w:tcPr>
          <w:p w14:paraId="43D2188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Energy Conversion and Management</w:t>
            </w:r>
          </w:p>
        </w:tc>
        <w:tc>
          <w:tcPr>
            <w:tcW w:w="0" w:type="auto"/>
            <w:tcBorders>
              <w:top w:val="nil"/>
              <w:left w:val="nil"/>
              <w:bottom w:val="single" w:sz="4" w:space="0" w:color="DDDDDD"/>
              <w:right w:val="single" w:sz="4" w:space="0" w:color="DDDDDD"/>
            </w:tcBorders>
            <w:shd w:val="clear" w:color="FFFFFF" w:fill="FFFFFF"/>
            <w:noWrap/>
            <w:vAlign w:val="bottom"/>
            <w:hideMark/>
          </w:tcPr>
          <w:p w14:paraId="6E039A6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Volume 245, 1 October 2021, 114564</w:t>
            </w:r>
          </w:p>
        </w:tc>
        <w:tc>
          <w:tcPr>
            <w:tcW w:w="0" w:type="auto"/>
            <w:tcBorders>
              <w:top w:val="nil"/>
              <w:left w:val="nil"/>
              <w:bottom w:val="single" w:sz="4" w:space="0" w:color="DDDDDD"/>
              <w:right w:val="single" w:sz="4" w:space="0" w:color="DDDDDD"/>
            </w:tcBorders>
            <w:shd w:val="clear" w:color="FFFFFF" w:fill="FFFFFF"/>
            <w:noWrap/>
            <w:vAlign w:val="bottom"/>
            <w:hideMark/>
          </w:tcPr>
          <w:p w14:paraId="1B4662F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Pergamon Press Ltd.</w:t>
            </w:r>
          </w:p>
        </w:tc>
        <w:tc>
          <w:tcPr>
            <w:tcW w:w="0" w:type="auto"/>
            <w:tcBorders>
              <w:top w:val="nil"/>
              <w:left w:val="nil"/>
              <w:bottom w:val="single" w:sz="4" w:space="0" w:color="DDDDDD"/>
              <w:right w:val="single" w:sz="4" w:space="0" w:color="DDDDDD"/>
            </w:tcBorders>
            <w:shd w:val="clear" w:color="FFFFFF" w:fill="FFFFFF"/>
            <w:noWrap/>
            <w:vAlign w:val="bottom"/>
            <w:hideMark/>
          </w:tcPr>
          <w:p w14:paraId="764E7A0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United Kingdom</w:t>
            </w:r>
          </w:p>
        </w:tc>
        <w:tc>
          <w:tcPr>
            <w:tcW w:w="0" w:type="auto"/>
            <w:tcBorders>
              <w:top w:val="nil"/>
              <w:left w:val="nil"/>
              <w:bottom w:val="single" w:sz="4" w:space="0" w:color="DDDDDD"/>
              <w:right w:val="single" w:sz="4" w:space="0" w:color="DDDDDD"/>
            </w:tcBorders>
            <w:shd w:val="clear" w:color="FFFFFF" w:fill="FFFFFF"/>
            <w:noWrap/>
            <w:vAlign w:val="bottom"/>
            <w:hideMark/>
          </w:tcPr>
          <w:p w14:paraId="3BABA35A"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42A67AA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07BC330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59FE95F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16CD142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http://hdl.handle.net/11583/2917770</w:t>
            </w:r>
          </w:p>
        </w:tc>
      </w:tr>
      <w:tr w:rsidR="00BD154D" w:rsidRPr="004535FA" w14:paraId="7A40585D"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18F1BC6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REMOTE</w:t>
            </w:r>
          </w:p>
        </w:tc>
        <w:tc>
          <w:tcPr>
            <w:tcW w:w="0" w:type="auto"/>
            <w:tcBorders>
              <w:top w:val="nil"/>
              <w:left w:val="nil"/>
              <w:bottom w:val="single" w:sz="4" w:space="0" w:color="DDDDDD"/>
              <w:right w:val="single" w:sz="4" w:space="0" w:color="DDDDDD"/>
            </w:tcBorders>
            <w:shd w:val="clear" w:color="FFFFFF" w:fill="FFFFFF"/>
            <w:noWrap/>
            <w:vAlign w:val="bottom"/>
            <w:hideMark/>
          </w:tcPr>
          <w:p w14:paraId="0CD603B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0958D80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 study of the techno-economic feasibility of H2-based energy storage systems in remote areas</w:t>
            </w:r>
          </w:p>
        </w:tc>
        <w:tc>
          <w:tcPr>
            <w:tcW w:w="0" w:type="auto"/>
            <w:tcBorders>
              <w:top w:val="nil"/>
              <w:left w:val="nil"/>
              <w:bottom w:val="single" w:sz="4" w:space="0" w:color="DDDDDD"/>
              <w:right w:val="single" w:sz="4" w:space="0" w:color="DDDDDD"/>
            </w:tcBorders>
            <w:shd w:val="clear" w:color="FFFFFF" w:fill="FFFFFF"/>
            <w:noWrap/>
            <w:vAlign w:val="bottom"/>
            <w:hideMark/>
          </w:tcPr>
          <w:p w14:paraId="30642A8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10.1016/j.enconman.2020.112768</w:t>
            </w:r>
          </w:p>
        </w:tc>
        <w:tc>
          <w:tcPr>
            <w:tcW w:w="0" w:type="auto"/>
            <w:tcBorders>
              <w:top w:val="nil"/>
              <w:left w:val="nil"/>
              <w:bottom w:val="single" w:sz="4" w:space="0" w:color="DDDDDD"/>
              <w:right w:val="single" w:sz="4" w:space="0" w:color="DDDDDD"/>
            </w:tcBorders>
            <w:shd w:val="clear" w:color="FFFFFF" w:fill="FFFFFF"/>
            <w:noWrap/>
            <w:vAlign w:val="bottom"/>
            <w:hideMark/>
          </w:tcPr>
          <w:p w14:paraId="0DC080C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01968904</w:t>
            </w:r>
          </w:p>
        </w:tc>
        <w:tc>
          <w:tcPr>
            <w:tcW w:w="0" w:type="auto"/>
            <w:tcBorders>
              <w:top w:val="nil"/>
              <w:left w:val="nil"/>
              <w:bottom w:val="single" w:sz="4" w:space="0" w:color="DDDDDD"/>
              <w:right w:val="single" w:sz="4" w:space="0" w:color="DDDDDD"/>
            </w:tcBorders>
            <w:shd w:val="clear" w:color="FFFFFF" w:fill="FFFFFF"/>
            <w:noWrap/>
            <w:vAlign w:val="bottom"/>
            <w:hideMark/>
          </w:tcPr>
          <w:p w14:paraId="2D18C57B" w14:textId="77777777" w:rsidR="00BD154D" w:rsidRPr="00A60794" w:rsidRDefault="00BD154D" w:rsidP="00DF2591">
            <w:pPr>
              <w:spacing w:after="0" w:line="240" w:lineRule="auto"/>
              <w:rPr>
                <w:rFonts w:ascii="Arial" w:eastAsia="Times New Roman" w:hAnsi="Arial" w:cs="Arial"/>
                <w:color w:val="333333"/>
                <w:sz w:val="12"/>
                <w:szCs w:val="12"/>
                <w:lang w:val="es-ES" w:eastAsia="en-GB"/>
              </w:rPr>
            </w:pPr>
            <w:r w:rsidRPr="00A60794">
              <w:rPr>
                <w:rFonts w:ascii="Arial" w:eastAsia="Times New Roman" w:hAnsi="Arial" w:cs="Arial"/>
                <w:color w:val="333333"/>
                <w:sz w:val="12"/>
                <w:szCs w:val="12"/>
                <w:lang w:val="es-ES" w:eastAsia="en-GB"/>
              </w:rPr>
              <w:t>P. Marocco, D. Ferrero, M. Gandiglio, M.M. Ortiz, K. Sundseth, A. Lanzini, M. Santarelli</w:t>
            </w:r>
          </w:p>
        </w:tc>
        <w:tc>
          <w:tcPr>
            <w:tcW w:w="0" w:type="auto"/>
            <w:tcBorders>
              <w:top w:val="nil"/>
              <w:left w:val="nil"/>
              <w:bottom w:val="single" w:sz="4" w:space="0" w:color="DDDDDD"/>
              <w:right w:val="single" w:sz="4" w:space="0" w:color="DDDDDD"/>
            </w:tcBorders>
            <w:shd w:val="clear" w:color="FFFFFF" w:fill="FFFFFF"/>
            <w:noWrap/>
            <w:vAlign w:val="bottom"/>
            <w:hideMark/>
          </w:tcPr>
          <w:p w14:paraId="2A5CD73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Energy Conversion and Management</w:t>
            </w:r>
          </w:p>
        </w:tc>
        <w:tc>
          <w:tcPr>
            <w:tcW w:w="0" w:type="auto"/>
            <w:tcBorders>
              <w:top w:val="nil"/>
              <w:left w:val="nil"/>
              <w:bottom w:val="single" w:sz="4" w:space="0" w:color="DDDDDD"/>
              <w:right w:val="single" w:sz="4" w:space="0" w:color="DDDDDD"/>
            </w:tcBorders>
            <w:shd w:val="clear" w:color="FFFFFF" w:fill="FFFFFF"/>
            <w:noWrap/>
            <w:vAlign w:val="bottom"/>
            <w:hideMark/>
          </w:tcPr>
          <w:p w14:paraId="46B89F5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211</w:t>
            </w:r>
          </w:p>
        </w:tc>
        <w:tc>
          <w:tcPr>
            <w:tcW w:w="0" w:type="auto"/>
            <w:tcBorders>
              <w:top w:val="nil"/>
              <w:left w:val="nil"/>
              <w:bottom w:val="single" w:sz="4" w:space="0" w:color="DDDDDD"/>
              <w:right w:val="single" w:sz="4" w:space="0" w:color="DDDDDD"/>
            </w:tcBorders>
            <w:shd w:val="clear" w:color="FFFFFF" w:fill="FFFFFF"/>
            <w:noWrap/>
            <w:vAlign w:val="bottom"/>
            <w:hideMark/>
          </w:tcPr>
          <w:p w14:paraId="33C6727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Pergamon Press Ltd.</w:t>
            </w:r>
          </w:p>
        </w:tc>
        <w:tc>
          <w:tcPr>
            <w:tcW w:w="0" w:type="auto"/>
            <w:tcBorders>
              <w:top w:val="nil"/>
              <w:left w:val="nil"/>
              <w:bottom w:val="single" w:sz="4" w:space="0" w:color="DDDDDD"/>
              <w:right w:val="single" w:sz="4" w:space="0" w:color="DDDDDD"/>
            </w:tcBorders>
            <w:shd w:val="clear" w:color="FFFFFF" w:fill="FFFFFF"/>
            <w:noWrap/>
            <w:vAlign w:val="bottom"/>
            <w:hideMark/>
          </w:tcPr>
          <w:p w14:paraId="5F2274E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United Kingdom</w:t>
            </w:r>
          </w:p>
        </w:tc>
        <w:tc>
          <w:tcPr>
            <w:tcW w:w="0" w:type="auto"/>
            <w:tcBorders>
              <w:top w:val="nil"/>
              <w:left w:val="nil"/>
              <w:bottom w:val="single" w:sz="4" w:space="0" w:color="DDDDDD"/>
              <w:right w:val="single" w:sz="4" w:space="0" w:color="DDDDDD"/>
            </w:tcBorders>
            <w:shd w:val="clear" w:color="FFFFFF" w:fill="FFFFFF"/>
            <w:noWrap/>
            <w:vAlign w:val="bottom"/>
            <w:hideMark/>
          </w:tcPr>
          <w:p w14:paraId="47ECBAA8"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2020</w:t>
            </w:r>
          </w:p>
        </w:tc>
        <w:tc>
          <w:tcPr>
            <w:tcW w:w="0" w:type="auto"/>
            <w:tcBorders>
              <w:top w:val="nil"/>
              <w:left w:val="nil"/>
              <w:bottom w:val="single" w:sz="4" w:space="0" w:color="DDDDDD"/>
              <w:right w:val="single" w:sz="4" w:space="0" w:color="DDDDDD"/>
            </w:tcBorders>
            <w:shd w:val="clear" w:color="FFFFFF" w:fill="FFFFFF"/>
            <w:noWrap/>
            <w:vAlign w:val="bottom"/>
            <w:hideMark/>
          </w:tcPr>
          <w:p w14:paraId="5FC1A3F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112768</w:t>
            </w:r>
          </w:p>
        </w:tc>
        <w:tc>
          <w:tcPr>
            <w:tcW w:w="0" w:type="auto"/>
            <w:tcBorders>
              <w:top w:val="nil"/>
              <w:left w:val="nil"/>
              <w:bottom w:val="single" w:sz="4" w:space="0" w:color="DDDDDD"/>
              <w:right w:val="single" w:sz="4" w:space="0" w:color="DDDDDD"/>
            </w:tcBorders>
            <w:shd w:val="clear" w:color="FFFFFF" w:fill="FFFFFF"/>
            <w:noWrap/>
            <w:vAlign w:val="bottom"/>
            <w:hideMark/>
          </w:tcPr>
          <w:p w14:paraId="22BBE18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1CC86EC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Yes</w:t>
            </w:r>
          </w:p>
        </w:tc>
        <w:tc>
          <w:tcPr>
            <w:tcW w:w="0" w:type="auto"/>
            <w:tcBorders>
              <w:top w:val="nil"/>
              <w:left w:val="nil"/>
              <w:bottom w:val="single" w:sz="4" w:space="0" w:color="DDDDDD"/>
              <w:right w:val="single" w:sz="4" w:space="0" w:color="DDDDDD"/>
            </w:tcBorders>
            <w:shd w:val="clear" w:color="FFFFFF" w:fill="FFFFFF"/>
            <w:noWrap/>
            <w:vAlign w:val="bottom"/>
            <w:hideMark/>
          </w:tcPr>
          <w:p w14:paraId="504ECDF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https://api.elsevier.com/content/article/PII:S019689042030306X?httpAccept=text/xml</w:t>
            </w:r>
          </w:p>
        </w:tc>
      </w:tr>
      <w:tr w:rsidR="00BD154D" w:rsidRPr="004535FA" w14:paraId="1587343D"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118AED9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REMOTE</w:t>
            </w:r>
          </w:p>
        </w:tc>
        <w:tc>
          <w:tcPr>
            <w:tcW w:w="0" w:type="auto"/>
            <w:tcBorders>
              <w:top w:val="nil"/>
              <w:left w:val="nil"/>
              <w:bottom w:val="single" w:sz="4" w:space="0" w:color="DDDDDD"/>
              <w:right w:val="single" w:sz="4" w:space="0" w:color="DDDDDD"/>
            </w:tcBorders>
            <w:shd w:val="clear" w:color="FFFFFF" w:fill="FFFFFF"/>
            <w:noWrap/>
            <w:vAlign w:val="bottom"/>
            <w:hideMark/>
          </w:tcPr>
          <w:p w14:paraId="19CA3D0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7E94410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xml:space="preserve">Energy management strategies based on hybrid automata for islanded microgrids with renewable sources, </w:t>
            </w:r>
            <w:proofErr w:type="gramStart"/>
            <w:r w:rsidRPr="00F07F7C">
              <w:rPr>
                <w:rFonts w:ascii="Arial" w:eastAsia="Times New Roman" w:hAnsi="Arial" w:cs="Arial"/>
                <w:color w:val="333333"/>
                <w:sz w:val="12"/>
                <w:szCs w:val="12"/>
                <w:lang w:eastAsia="en-GB"/>
              </w:rPr>
              <w:t>batteries</w:t>
            </w:r>
            <w:proofErr w:type="gramEnd"/>
            <w:r w:rsidRPr="00F07F7C">
              <w:rPr>
                <w:rFonts w:ascii="Arial" w:eastAsia="Times New Roman" w:hAnsi="Arial" w:cs="Arial"/>
                <w:color w:val="333333"/>
                <w:sz w:val="12"/>
                <w:szCs w:val="12"/>
                <w:lang w:eastAsia="en-GB"/>
              </w:rPr>
              <w:t xml:space="preserve"> and hydrogen</w:t>
            </w:r>
          </w:p>
        </w:tc>
        <w:tc>
          <w:tcPr>
            <w:tcW w:w="0" w:type="auto"/>
            <w:tcBorders>
              <w:top w:val="nil"/>
              <w:left w:val="nil"/>
              <w:bottom w:val="single" w:sz="4" w:space="0" w:color="DDDDDD"/>
              <w:right w:val="single" w:sz="4" w:space="0" w:color="DDDDDD"/>
            </w:tcBorders>
            <w:shd w:val="clear" w:color="FFFFFF" w:fill="FFFFFF"/>
            <w:noWrap/>
            <w:vAlign w:val="bottom"/>
            <w:hideMark/>
          </w:tcPr>
          <w:p w14:paraId="1890BE8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10.1016/j.rser.2020.110118</w:t>
            </w:r>
          </w:p>
        </w:tc>
        <w:tc>
          <w:tcPr>
            <w:tcW w:w="0" w:type="auto"/>
            <w:tcBorders>
              <w:top w:val="nil"/>
              <w:left w:val="nil"/>
              <w:bottom w:val="single" w:sz="4" w:space="0" w:color="DDDDDD"/>
              <w:right w:val="single" w:sz="4" w:space="0" w:color="DDDDDD"/>
            </w:tcBorders>
            <w:shd w:val="clear" w:color="FFFFFF" w:fill="FFFFFF"/>
            <w:noWrap/>
            <w:vAlign w:val="bottom"/>
            <w:hideMark/>
          </w:tcPr>
          <w:p w14:paraId="03EA386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13640321</w:t>
            </w:r>
          </w:p>
        </w:tc>
        <w:tc>
          <w:tcPr>
            <w:tcW w:w="0" w:type="auto"/>
            <w:tcBorders>
              <w:top w:val="nil"/>
              <w:left w:val="nil"/>
              <w:bottom w:val="single" w:sz="4" w:space="0" w:color="DDDDDD"/>
              <w:right w:val="single" w:sz="4" w:space="0" w:color="DDDDDD"/>
            </w:tcBorders>
            <w:shd w:val="clear" w:color="FFFFFF" w:fill="FFFFFF"/>
            <w:noWrap/>
            <w:vAlign w:val="bottom"/>
            <w:hideMark/>
          </w:tcPr>
          <w:p w14:paraId="4B82AED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 Kafetzis, C. Ziogou, K.D. Panopoulos, S. Papadopoulou, P. Seferlis, S. Voutetakis</w:t>
            </w:r>
          </w:p>
        </w:tc>
        <w:tc>
          <w:tcPr>
            <w:tcW w:w="0" w:type="auto"/>
            <w:tcBorders>
              <w:top w:val="nil"/>
              <w:left w:val="nil"/>
              <w:bottom w:val="single" w:sz="4" w:space="0" w:color="DDDDDD"/>
              <w:right w:val="single" w:sz="4" w:space="0" w:color="DDDDDD"/>
            </w:tcBorders>
            <w:shd w:val="clear" w:color="FFFFFF" w:fill="FFFFFF"/>
            <w:noWrap/>
            <w:vAlign w:val="bottom"/>
            <w:hideMark/>
          </w:tcPr>
          <w:p w14:paraId="6F797B3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Renewable and Sustainable Energy Reviews</w:t>
            </w:r>
          </w:p>
        </w:tc>
        <w:tc>
          <w:tcPr>
            <w:tcW w:w="0" w:type="auto"/>
            <w:tcBorders>
              <w:top w:val="nil"/>
              <w:left w:val="nil"/>
              <w:bottom w:val="single" w:sz="4" w:space="0" w:color="DDDDDD"/>
              <w:right w:val="single" w:sz="4" w:space="0" w:color="DDDDDD"/>
            </w:tcBorders>
            <w:shd w:val="clear" w:color="FFFFFF" w:fill="FFFFFF"/>
            <w:noWrap/>
            <w:vAlign w:val="bottom"/>
            <w:hideMark/>
          </w:tcPr>
          <w:p w14:paraId="2279C1E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134</w:t>
            </w:r>
          </w:p>
        </w:tc>
        <w:tc>
          <w:tcPr>
            <w:tcW w:w="0" w:type="auto"/>
            <w:tcBorders>
              <w:top w:val="nil"/>
              <w:left w:val="nil"/>
              <w:bottom w:val="single" w:sz="4" w:space="0" w:color="DDDDDD"/>
              <w:right w:val="single" w:sz="4" w:space="0" w:color="DDDDDD"/>
            </w:tcBorders>
            <w:shd w:val="clear" w:color="FFFFFF" w:fill="FFFFFF"/>
            <w:noWrap/>
            <w:vAlign w:val="bottom"/>
            <w:hideMark/>
          </w:tcPr>
          <w:p w14:paraId="3410A6B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Elsevier BV</w:t>
            </w:r>
          </w:p>
        </w:tc>
        <w:tc>
          <w:tcPr>
            <w:tcW w:w="0" w:type="auto"/>
            <w:tcBorders>
              <w:top w:val="nil"/>
              <w:left w:val="nil"/>
              <w:bottom w:val="single" w:sz="4" w:space="0" w:color="DDDDDD"/>
              <w:right w:val="single" w:sz="4" w:space="0" w:color="DDDDDD"/>
            </w:tcBorders>
            <w:shd w:val="clear" w:color="FFFFFF" w:fill="FFFFFF"/>
            <w:noWrap/>
            <w:vAlign w:val="bottom"/>
            <w:hideMark/>
          </w:tcPr>
          <w:p w14:paraId="7DD9891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Netherlands</w:t>
            </w:r>
          </w:p>
        </w:tc>
        <w:tc>
          <w:tcPr>
            <w:tcW w:w="0" w:type="auto"/>
            <w:tcBorders>
              <w:top w:val="nil"/>
              <w:left w:val="nil"/>
              <w:bottom w:val="single" w:sz="4" w:space="0" w:color="DDDDDD"/>
              <w:right w:val="single" w:sz="4" w:space="0" w:color="DDDDDD"/>
            </w:tcBorders>
            <w:shd w:val="clear" w:color="FFFFFF" w:fill="FFFFFF"/>
            <w:noWrap/>
            <w:vAlign w:val="bottom"/>
            <w:hideMark/>
          </w:tcPr>
          <w:p w14:paraId="1D6DD8F5"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2020</w:t>
            </w:r>
          </w:p>
        </w:tc>
        <w:tc>
          <w:tcPr>
            <w:tcW w:w="0" w:type="auto"/>
            <w:tcBorders>
              <w:top w:val="nil"/>
              <w:left w:val="nil"/>
              <w:bottom w:val="single" w:sz="4" w:space="0" w:color="DDDDDD"/>
              <w:right w:val="single" w:sz="4" w:space="0" w:color="DDDDDD"/>
            </w:tcBorders>
            <w:shd w:val="clear" w:color="FFFFFF" w:fill="FFFFFF"/>
            <w:noWrap/>
            <w:vAlign w:val="bottom"/>
            <w:hideMark/>
          </w:tcPr>
          <w:p w14:paraId="1A28E42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110118</w:t>
            </w:r>
          </w:p>
        </w:tc>
        <w:tc>
          <w:tcPr>
            <w:tcW w:w="0" w:type="auto"/>
            <w:tcBorders>
              <w:top w:val="nil"/>
              <w:left w:val="nil"/>
              <w:bottom w:val="single" w:sz="4" w:space="0" w:color="DDDDDD"/>
              <w:right w:val="single" w:sz="4" w:space="0" w:color="DDDDDD"/>
            </w:tcBorders>
            <w:shd w:val="clear" w:color="FFFFFF" w:fill="FFFFFF"/>
            <w:noWrap/>
            <w:vAlign w:val="bottom"/>
            <w:hideMark/>
          </w:tcPr>
          <w:p w14:paraId="2DC4978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69F5480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01D9A47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https://api.elsevier.com/content/article/PII:S1364032120304093?httpAccept=text/xml</w:t>
            </w:r>
          </w:p>
        </w:tc>
      </w:tr>
      <w:tr w:rsidR="00BD154D" w:rsidRPr="004535FA" w14:paraId="7202E06E"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7EEBB4D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REMOTE</w:t>
            </w:r>
          </w:p>
        </w:tc>
        <w:tc>
          <w:tcPr>
            <w:tcW w:w="0" w:type="auto"/>
            <w:tcBorders>
              <w:top w:val="nil"/>
              <w:left w:val="nil"/>
              <w:bottom w:val="single" w:sz="4" w:space="0" w:color="DDDDDD"/>
              <w:right w:val="single" w:sz="4" w:space="0" w:color="DDDDDD"/>
            </w:tcBorders>
            <w:shd w:val="clear" w:color="FFFFFF" w:fill="FFFFFF"/>
            <w:noWrap/>
            <w:vAlign w:val="bottom"/>
            <w:hideMark/>
          </w:tcPr>
          <w:p w14:paraId="3384B0A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047A0B4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Optimal design of stand-alone solutions based on RES + hydrogen storage feeding off-grid communities</w:t>
            </w:r>
          </w:p>
        </w:tc>
        <w:tc>
          <w:tcPr>
            <w:tcW w:w="0" w:type="auto"/>
            <w:tcBorders>
              <w:top w:val="nil"/>
              <w:left w:val="nil"/>
              <w:bottom w:val="single" w:sz="4" w:space="0" w:color="DDDDDD"/>
              <w:right w:val="single" w:sz="4" w:space="0" w:color="DDDDDD"/>
            </w:tcBorders>
            <w:shd w:val="clear" w:color="FFFFFF" w:fill="FFFFFF"/>
            <w:noWrap/>
            <w:vAlign w:val="bottom"/>
            <w:hideMark/>
          </w:tcPr>
          <w:p w14:paraId="590E778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10.1016/j.enconman.2021.114147</w:t>
            </w:r>
          </w:p>
        </w:tc>
        <w:tc>
          <w:tcPr>
            <w:tcW w:w="0" w:type="auto"/>
            <w:tcBorders>
              <w:top w:val="nil"/>
              <w:left w:val="nil"/>
              <w:bottom w:val="single" w:sz="4" w:space="0" w:color="DDDDDD"/>
              <w:right w:val="single" w:sz="4" w:space="0" w:color="DDDDDD"/>
            </w:tcBorders>
            <w:shd w:val="clear" w:color="FFFFFF" w:fill="FFFFFF"/>
            <w:noWrap/>
            <w:vAlign w:val="bottom"/>
            <w:hideMark/>
          </w:tcPr>
          <w:p w14:paraId="1B0B873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01968904</w:t>
            </w:r>
          </w:p>
        </w:tc>
        <w:tc>
          <w:tcPr>
            <w:tcW w:w="0" w:type="auto"/>
            <w:tcBorders>
              <w:top w:val="nil"/>
              <w:left w:val="nil"/>
              <w:bottom w:val="single" w:sz="4" w:space="0" w:color="DDDDDD"/>
              <w:right w:val="single" w:sz="4" w:space="0" w:color="DDDDDD"/>
            </w:tcBorders>
            <w:shd w:val="clear" w:color="FFFFFF" w:fill="FFFFFF"/>
            <w:noWrap/>
            <w:vAlign w:val="bottom"/>
            <w:hideMark/>
          </w:tcPr>
          <w:p w14:paraId="244F7D1C" w14:textId="77777777" w:rsidR="00BD154D" w:rsidRPr="00A60794" w:rsidRDefault="00BD154D" w:rsidP="00DF2591">
            <w:pPr>
              <w:spacing w:after="0" w:line="240" w:lineRule="auto"/>
              <w:rPr>
                <w:rFonts w:ascii="Arial" w:eastAsia="Times New Roman" w:hAnsi="Arial" w:cs="Arial"/>
                <w:color w:val="333333"/>
                <w:sz w:val="12"/>
                <w:szCs w:val="12"/>
                <w:lang w:val="es-ES" w:eastAsia="en-GB"/>
              </w:rPr>
            </w:pPr>
            <w:r w:rsidRPr="00A60794">
              <w:rPr>
                <w:rFonts w:ascii="Arial" w:eastAsia="Times New Roman" w:hAnsi="Arial" w:cs="Arial"/>
                <w:color w:val="333333"/>
                <w:sz w:val="12"/>
                <w:szCs w:val="12"/>
                <w:lang w:val="es-ES" w:eastAsia="en-GB"/>
              </w:rPr>
              <w:t>Paolo Marocco, Domenico Ferrero, Andrea Lanzini, Massimo Santarelli</w:t>
            </w:r>
          </w:p>
        </w:tc>
        <w:tc>
          <w:tcPr>
            <w:tcW w:w="0" w:type="auto"/>
            <w:tcBorders>
              <w:top w:val="nil"/>
              <w:left w:val="nil"/>
              <w:bottom w:val="single" w:sz="4" w:space="0" w:color="DDDDDD"/>
              <w:right w:val="single" w:sz="4" w:space="0" w:color="DDDDDD"/>
            </w:tcBorders>
            <w:shd w:val="clear" w:color="FFFFFF" w:fill="FFFFFF"/>
            <w:noWrap/>
            <w:vAlign w:val="bottom"/>
            <w:hideMark/>
          </w:tcPr>
          <w:p w14:paraId="187F682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Energy Conversion and Management</w:t>
            </w:r>
          </w:p>
        </w:tc>
        <w:tc>
          <w:tcPr>
            <w:tcW w:w="0" w:type="auto"/>
            <w:tcBorders>
              <w:top w:val="nil"/>
              <w:left w:val="nil"/>
              <w:bottom w:val="single" w:sz="4" w:space="0" w:color="DDDDDD"/>
              <w:right w:val="single" w:sz="4" w:space="0" w:color="DDDDDD"/>
            </w:tcBorders>
            <w:shd w:val="clear" w:color="FFFFFF" w:fill="FFFFFF"/>
            <w:noWrap/>
            <w:vAlign w:val="bottom"/>
            <w:hideMark/>
          </w:tcPr>
          <w:p w14:paraId="6ACA5C0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238</w:t>
            </w:r>
          </w:p>
        </w:tc>
        <w:tc>
          <w:tcPr>
            <w:tcW w:w="0" w:type="auto"/>
            <w:tcBorders>
              <w:top w:val="nil"/>
              <w:left w:val="nil"/>
              <w:bottom w:val="single" w:sz="4" w:space="0" w:color="DDDDDD"/>
              <w:right w:val="single" w:sz="4" w:space="0" w:color="DDDDDD"/>
            </w:tcBorders>
            <w:shd w:val="clear" w:color="FFFFFF" w:fill="FFFFFF"/>
            <w:noWrap/>
            <w:vAlign w:val="bottom"/>
            <w:hideMark/>
          </w:tcPr>
          <w:p w14:paraId="70387E0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Pergamon Press Ltd.</w:t>
            </w:r>
          </w:p>
        </w:tc>
        <w:tc>
          <w:tcPr>
            <w:tcW w:w="0" w:type="auto"/>
            <w:tcBorders>
              <w:top w:val="nil"/>
              <w:left w:val="nil"/>
              <w:bottom w:val="single" w:sz="4" w:space="0" w:color="DDDDDD"/>
              <w:right w:val="single" w:sz="4" w:space="0" w:color="DDDDDD"/>
            </w:tcBorders>
            <w:shd w:val="clear" w:color="FFFFFF" w:fill="FFFFFF"/>
            <w:noWrap/>
            <w:vAlign w:val="bottom"/>
            <w:hideMark/>
          </w:tcPr>
          <w:p w14:paraId="4247F9D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United Kingdom</w:t>
            </w:r>
          </w:p>
        </w:tc>
        <w:tc>
          <w:tcPr>
            <w:tcW w:w="0" w:type="auto"/>
            <w:tcBorders>
              <w:top w:val="nil"/>
              <w:left w:val="nil"/>
              <w:bottom w:val="single" w:sz="4" w:space="0" w:color="DDDDDD"/>
              <w:right w:val="single" w:sz="4" w:space="0" w:color="DDDDDD"/>
            </w:tcBorders>
            <w:shd w:val="clear" w:color="FFFFFF" w:fill="FFFFFF"/>
            <w:noWrap/>
            <w:vAlign w:val="bottom"/>
            <w:hideMark/>
          </w:tcPr>
          <w:p w14:paraId="5E4937A0"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39E7D2A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114147</w:t>
            </w:r>
          </w:p>
        </w:tc>
        <w:tc>
          <w:tcPr>
            <w:tcW w:w="0" w:type="auto"/>
            <w:tcBorders>
              <w:top w:val="nil"/>
              <w:left w:val="nil"/>
              <w:bottom w:val="single" w:sz="4" w:space="0" w:color="DDDDDD"/>
              <w:right w:val="single" w:sz="4" w:space="0" w:color="DDDDDD"/>
            </w:tcBorders>
            <w:shd w:val="clear" w:color="FFFFFF" w:fill="FFFFFF"/>
            <w:noWrap/>
            <w:vAlign w:val="bottom"/>
            <w:hideMark/>
          </w:tcPr>
          <w:p w14:paraId="0D88851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4965AC7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5C95985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http://hdl.handle.net/11583/2917772</w:t>
            </w:r>
          </w:p>
        </w:tc>
      </w:tr>
      <w:tr w:rsidR="00BD154D" w:rsidRPr="004535FA" w14:paraId="7FA16625"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7368C21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REMOTE</w:t>
            </w:r>
          </w:p>
        </w:tc>
        <w:tc>
          <w:tcPr>
            <w:tcW w:w="0" w:type="auto"/>
            <w:tcBorders>
              <w:top w:val="nil"/>
              <w:left w:val="nil"/>
              <w:bottom w:val="single" w:sz="4" w:space="0" w:color="DDDDDD"/>
              <w:right w:val="single" w:sz="4" w:space="0" w:color="DDDDDD"/>
            </w:tcBorders>
            <w:shd w:val="clear" w:color="FFFFFF" w:fill="FFFFFF"/>
            <w:noWrap/>
            <w:vAlign w:val="bottom"/>
            <w:hideMark/>
          </w:tcPr>
          <w:p w14:paraId="14EAB60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0B5559D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The role of hydrogen in the optimal design of off-grid hybrid renewable energy systems</w:t>
            </w:r>
          </w:p>
        </w:tc>
        <w:tc>
          <w:tcPr>
            <w:tcW w:w="0" w:type="auto"/>
            <w:tcBorders>
              <w:top w:val="nil"/>
              <w:left w:val="nil"/>
              <w:bottom w:val="single" w:sz="4" w:space="0" w:color="DDDDDD"/>
              <w:right w:val="single" w:sz="4" w:space="0" w:color="DDDDDD"/>
            </w:tcBorders>
            <w:shd w:val="clear" w:color="FFFFFF" w:fill="FFFFFF"/>
            <w:noWrap/>
            <w:vAlign w:val="bottom"/>
            <w:hideMark/>
          </w:tcPr>
          <w:p w14:paraId="64649B9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10.1016/j.est.2021.103893</w:t>
            </w:r>
          </w:p>
        </w:tc>
        <w:tc>
          <w:tcPr>
            <w:tcW w:w="0" w:type="auto"/>
            <w:tcBorders>
              <w:top w:val="nil"/>
              <w:left w:val="nil"/>
              <w:bottom w:val="single" w:sz="4" w:space="0" w:color="DDDDDD"/>
              <w:right w:val="single" w:sz="4" w:space="0" w:color="DDDDDD"/>
            </w:tcBorders>
            <w:shd w:val="clear" w:color="FFFFFF" w:fill="FFFFFF"/>
            <w:noWrap/>
            <w:vAlign w:val="bottom"/>
            <w:hideMark/>
          </w:tcPr>
          <w:p w14:paraId="02B2E8A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2352-152X</w:t>
            </w:r>
          </w:p>
        </w:tc>
        <w:tc>
          <w:tcPr>
            <w:tcW w:w="0" w:type="auto"/>
            <w:tcBorders>
              <w:top w:val="nil"/>
              <w:left w:val="nil"/>
              <w:bottom w:val="single" w:sz="4" w:space="0" w:color="DDDDDD"/>
              <w:right w:val="single" w:sz="4" w:space="0" w:color="DDDDDD"/>
            </w:tcBorders>
            <w:shd w:val="clear" w:color="FFFFFF" w:fill="FFFFFF"/>
            <w:noWrap/>
            <w:vAlign w:val="bottom"/>
            <w:hideMark/>
          </w:tcPr>
          <w:p w14:paraId="2494D405" w14:textId="77777777" w:rsidR="00BD154D" w:rsidRPr="00A60794" w:rsidRDefault="00BD154D" w:rsidP="00DF2591">
            <w:pPr>
              <w:spacing w:after="0" w:line="240" w:lineRule="auto"/>
              <w:rPr>
                <w:rFonts w:ascii="Arial" w:eastAsia="Times New Roman" w:hAnsi="Arial" w:cs="Arial"/>
                <w:color w:val="333333"/>
                <w:sz w:val="12"/>
                <w:szCs w:val="12"/>
                <w:lang w:val="es-ES" w:eastAsia="en-GB"/>
              </w:rPr>
            </w:pPr>
            <w:r w:rsidRPr="00A60794">
              <w:rPr>
                <w:rFonts w:ascii="Arial" w:eastAsia="Times New Roman" w:hAnsi="Arial" w:cs="Arial"/>
                <w:color w:val="333333"/>
                <w:sz w:val="12"/>
                <w:szCs w:val="12"/>
                <w:lang w:val="es-ES" w:eastAsia="en-GB"/>
              </w:rPr>
              <w:t>Paolo Marocco, Domenico Ferrero, Andrea Lanzini, Massimo Santarelli</w:t>
            </w:r>
          </w:p>
        </w:tc>
        <w:tc>
          <w:tcPr>
            <w:tcW w:w="0" w:type="auto"/>
            <w:tcBorders>
              <w:top w:val="nil"/>
              <w:left w:val="nil"/>
              <w:bottom w:val="single" w:sz="4" w:space="0" w:color="DDDDDD"/>
              <w:right w:val="single" w:sz="4" w:space="0" w:color="DDDDDD"/>
            </w:tcBorders>
            <w:shd w:val="clear" w:color="FFFFFF" w:fill="FFFFFF"/>
            <w:noWrap/>
            <w:vAlign w:val="bottom"/>
            <w:hideMark/>
          </w:tcPr>
          <w:p w14:paraId="7C968CD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Journal of Energy Storage</w:t>
            </w:r>
          </w:p>
        </w:tc>
        <w:tc>
          <w:tcPr>
            <w:tcW w:w="0" w:type="auto"/>
            <w:tcBorders>
              <w:top w:val="nil"/>
              <w:left w:val="nil"/>
              <w:bottom w:val="single" w:sz="4" w:space="0" w:color="DDDDDD"/>
              <w:right w:val="single" w:sz="4" w:space="0" w:color="DDDDDD"/>
            </w:tcBorders>
            <w:shd w:val="clear" w:color="FFFFFF" w:fill="FFFFFF"/>
            <w:noWrap/>
            <w:vAlign w:val="bottom"/>
            <w:hideMark/>
          </w:tcPr>
          <w:p w14:paraId="36A73BA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Volume 46, February 2022, 103893</w:t>
            </w:r>
          </w:p>
        </w:tc>
        <w:tc>
          <w:tcPr>
            <w:tcW w:w="0" w:type="auto"/>
            <w:tcBorders>
              <w:top w:val="nil"/>
              <w:left w:val="nil"/>
              <w:bottom w:val="single" w:sz="4" w:space="0" w:color="DDDDDD"/>
              <w:right w:val="single" w:sz="4" w:space="0" w:color="DDDDDD"/>
            </w:tcBorders>
            <w:shd w:val="clear" w:color="FFFFFF" w:fill="FFFFFF"/>
            <w:noWrap/>
            <w:vAlign w:val="bottom"/>
            <w:hideMark/>
          </w:tcPr>
          <w:p w14:paraId="48A92EA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Elsevier BV</w:t>
            </w:r>
          </w:p>
        </w:tc>
        <w:tc>
          <w:tcPr>
            <w:tcW w:w="0" w:type="auto"/>
            <w:tcBorders>
              <w:top w:val="nil"/>
              <w:left w:val="nil"/>
              <w:bottom w:val="single" w:sz="4" w:space="0" w:color="DDDDDD"/>
              <w:right w:val="single" w:sz="4" w:space="0" w:color="DDDDDD"/>
            </w:tcBorders>
            <w:shd w:val="clear" w:color="FFFFFF" w:fill="FFFFFF"/>
            <w:noWrap/>
            <w:vAlign w:val="bottom"/>
            <w:hideMark/>
          </w:tcPr>
          <w:p w14:paraId="1D6F3EC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Netherlands</w:t>
            </w:r>
          </w:p>
        </w:tc>
        <w:tc>
          <w:tcPr>
            <w:tcW w:w="0" w:type="auto"/>
            <w:tcBorders>
              <w:top w:val="nil"/>
              <w:left w:val="nil"/>
              <w:bottom w:val="single" w:sz="4" w:space="0" w:color="DDDDDD"/>
              <w:right w:val="single" w:sz="4" w:space="0" w:color="DDDDDD"/>
            </w:tcBorders>
            <w:shd w:val="clear" w:color="FFFFFF" w:fill="FFFFFF"/>
            <w:noWrap/>
            <w:vAlign w:val="bottom"/>
            <w:hideMark/>
          </w:tcPr>
          <w:p w14:paraId="4FC7C257"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2022</w:t>
            </w:r>
          </w:p>
        </w:tc>
        <w:tc>
          <w:tcPr>
            <w:tcW w:w="0" w:type="auto"/>
            <w:tcBorders>
              <w:top w:val="nil"/>
              <w:left w:val="nil"/>
              <w:bottom w:val="single" w:sz="4" w:space="0" w:color="DDDDDD"/>
              <w:right w:val="single" w:sz="4" w:space="0" w:color="DDDDDD"/>
            </w:tcBorders>
            <w:shd w:val="clear" w:color="FFFFFF" w:fill="FFFFFF"/>
            <w:noWrap/>
            <w:vAlign w:val="bottom"/>
            <w:hideMark/>
          </w:tcPr>
          <w:p w14:paraId="3D7754F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2603DEB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7D8357B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32C9B7E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r>
      <w:tr w:rsidR="00BD154D" w:rsidRPr="004535FA" w14:paraId="7FD7DF6B"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6DD886FC"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TAHYA</w:t>
            </w:r>
          </w:p>
        </w:tc>
        <w:tc>
          <w:tcPr>
            <w:tcW w:w="0" w:type="auto"/>
            <w:tcBorders>
              <w:top w:val="nil"/>
              <w:left w:val="nil"/>
              <w:bottom w:val="single" w:sz="4" w:space="0" w:color="DDDDDD"/>
              <w:right w:val="single" w:sz="4" w:space="0" w:color="DDDDDD"/>
            </w:tcBorders>
            <w:shd w:val="clear" w:color="FFFFFF" w:fill="FFFFFF"/>
            <w:noWrap/>
            <w:vAlign w:val="bottom"/>
            <w:hideMark/>
          </w:tcPr>
          <w:p w14:paraId="26BF60F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16F7C17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Composite storage systems for compressed hydrogen - systematic improvement of regulations for more attractive storage units</w:t>
            </w:r>
          </w:p>
        </w:tc>
        <w:tc>
          <w:tcPr>
            <w:tcW w:w="0" w:type="auto"/>
            <w:tcBorders>
              <w:top w:val="nil"/>
              <w:left w:val="nil"/>
              <w:bottom w:val="single" w:sz="4" w:space="0" w:color="DDDDDD"/>
              <w:right w:val="single" w:sz="4" w:space="0" w:color="DDDDDD"/>
            </w:tcBorders>
            <w:shd w:val="clear" w:color="FFFFFF" w:fill="FFFFFF"/>
            <w:noWrap/>
            <w:vAlign w:val="bottom"/>
            <w:hideMark/>
          </w:tcPr>
          <w:p w14:paraId="39C5D4F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10.1016/j.ijhydene.2018.04.068</w:t>
            </w:r>
          </w:p>
        </w:tc>
        <w:tc>
          <w:tcPr>
            <w:tcW w:w="0" w:type="auto"/>
            <w:tcBorders>
              <w:top w:val="nil"/>
              <w:left w:val="nil"/>
              <w:bottom w:val="single" w:sz="4" w:space="0" w:color="DDDDDD"/>
              <w:right w:val="single" w:sz="4" w:space="0" w:color="DDDDDD"/>
            </w:tcBorders>
            <w:shd w:val="clear" w:color="FFFFFF" w:fill="FFFFFF"/>
            <w:noWrap/>
            <w:vAlign w:val="bottom"/>
            <w:hideMark/>
          </w:tcPr>
          <w:p w14:paraId="7588B0D1"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03603199</w:t>
            </w:r>
          </w:p>
        </w:tc>
        <w:tc>
          <w:tcPr>
            <w:tcW w:w="0" w:type="auto"/>
            <w:tcBorders>
              <w:top w:val="nil"/>
              <w:left w:val="nil"/>
              <w:bottom w:val="single" w:sz="4" w:space="0" w:color="DDDDDD"/>
              <w:right w:val="single" w:sz="4" w:space="0" w:color="DDDDDD"/>
            </w:tcBorders>
            <w:shd w:val="clear" w:color="FFFFFF" w:fill="FFFFFF"/>
            <w:noWrap/>
            <w:vAlign w:val="bottom"/>
            <w:hideMark/>
          </w:tcPr>
          <w:p w14:paraId="17F44A0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G.W. Mair, B. Becker, S. John, E. Duffner</w:t>
            </w:r>
          </w:p>
        </w:tc>
        <w:tc>
          <w:tcPr>
            <w:tcW w:w="0" w:type="auto"/>
            <w:tcBorders>
              <w:top w:val="nil"/>
              <w:left w:val="nil"/>
              <w:bottom w:val="single" w:sz="4" w:space="0" w:color="DDDDDD"/>
              <w:right w:val="single" w:sz="4" w:space="0" w:color="DDDDDD"/>
            </w:tcBorders>
            <w:shd w:val="clear" w:color="FFFFFF" w:fill="FFFFFF"/>
            <w:noWrap/>
            <w:vAlign w:val="bottom"/>
            <w:hideMark/>
          </w:tcPr>
          <w:p w14:paraId="11C7901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International Journal of Hydrogen Energy</w:t>
            </w:r>
          </w:p>
        </w:tc>
        <w:tc>
          <w:tcPr>
            <w:tcW w:w="0" w:type="auto"/>
            <w:tcBorders>
              <w:top w:val="nil"/>
              <w:left w:val="nil"/>
              <w:bottom w:val="single" w:sz="4" w:space="0" w:color="DDDDDD"/>
              <w:right w:val="single" w:sz="4" w:space="0" w:color="DDDDDD"/>
            </w:tcBorders>
            <w:shd w:val="clear" w:color="FFFFFF" w:fill="FFFFFF"/>
            <w:noWrap/>
            <w:vAlign w:val="bottom"/>
            <w:hideMark/>
          </w:tcPr>
          <w:p w14:paraId="2FEF444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45/25</w:t>
            </w:r>
          </w:p>
        </w:tc>
        <w:tc>
          <w:tcPr>
            <w:tcW w:w="0" w:type="auto"/>
            <w:tcBorders>
              <w:top w:val="nil"/>
              <w:left w:val="nil"/>
              <w:bottom w:val="single" w:sz="4" w:space="0" w:color="DDDDDD"/>
              <w:right w:val="single" w:sz="4" w:space="0" w:color="DDDDDD"/>
            </w:tcBorders>
            <w:shd w:val="clear" w:color="FFFFFF" w:fill="FFFFFF"/>
            <w:noWrap/>
            <w:vAlign w:val="bottom"/>
            <w:hideMark/>
          </w:tcPr>
          <w:p w14:paraId="091C338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Pergamon Press Ltd.</w:t>
            </w:r>
          </w:p>
        </w:tc>
        <w:tc>
          <w:tcPr>
            <w:tcW w:w="0" w:type="auto"/>
            <w:tcBorders>
              <w:top w:val="nil"/>
              <w:left w:val="nil"/>
              <w:bottom w:val="single" w:sz="4" w:space="0" w:color="DDDDDD"/>
              <w:right w:val="single" w:sz="4" w:space="0" w:color="DDDDDD"/>
            </w:tcBorders>
            <w:shd w:val="clear" w:color="FFFFFF" w:fill="FFFFFF"/>
            <w:noWrap/>
            <w:vAlign w:val="bottom"/>
            <w:hideMark/>
          </w:tcPr>
          <w:p w14:paraId="19F1E86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United Kingdom</w:t>
            </w:r>
          </w:p>
        </w:tc>
        <w:tc>
          <w:tcPr>
            <w:tcW w:w="0" w:type="auto"/>
            <w:tcBorders>
              <w:top w:val="nil"/>
              <w:left w:val="nil"/>
              <w:bottom w:val="single" w:sz="4" w:space="0" w:color="DDDDDD"/>
              <w:right w:val="single" w:sz="4" w:space="0" w:color="DDDDDD"/>
            </w:tcBorders>
            <w:shd w:val="clear" w:color="FFFFFF" w:fill="FFFFFF"/>
            <w:noWrap/>
            <w:vAlign w:val="bottom"/>
            <w:hideMark/>
          </w:tcPr>
          <w:p w14:paraId="706CDABB"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2020</w:t>
            </w:r>
          </w:p>
        </w:tc>
        <w:tc>
          <w:tcPr>
            <w:tcW w:w="0" w:type="auto"/>
            <w:tcBorders>
              <w:top w:val="nil"/>
              <w:left w:val="nil"/>
              <w:bottom w:val="single" w:sz="4" w:space="0" w:color="DDDDDD"/>
              <w:right w:val="single" w:sz="4" w:space="0" w:color="DDDDDD"/>
            </w:tcBorders>
            <w:shd w:val="clear" w:color="FFFFFF" w:fill="FFFFFF"/>
            <w:noWrap/>
            <w:vAlign w:val="bottom"/>
            <w:hideMark/>
          </w:tcPr>
          <w:p w14:paraId="1B101DB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13672-13679</w:t>
            </w:r>
          </w:p>
        </w:tc>
        <w:tc>
          <w:tcPr>
            <w:tcW w:w="0" w:type="auto"/>
            <w:tcBorders>
              <w:top w:val="nil"/>
              <w:left w:val="nil"/>
              <w:bottom w:val="single" w:sz="4" w:space="0" w:color="DDDDDD"/>
              <w:right w:val="single" w:sz="4" w:space="0" w:color="DDDDDD"/>
            </w:tcBorders>
            <w:shd w:val="clear" w:color="FFFFFF" w:fill="FFFFFF"/>
            <w:noWrap/>
            <w:vAlign w:val="bottom"/>
            <w:hideMark/>
          </w:tcPr>
          <w:p w14:paraId="544FB63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110D33B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Yes</w:t>
            </w:r>
          </w:p>
        </w:tc>
        <w:tc>
          <w:tcPr>
            <w:tcW w:w="0" w:type="auto"/>
            <w:tcBorders>
              <w:top w:val="nil"/>
              <w:left w:val="nil"/>
              <w:bottom w:val="single" w:sz="4" w:space="0" w:color="DDDDDD"/>
              <w:right w:val="single" w:sz="4" w:space="0" w:color="DDDDDD"/>
            </w:tcBorders>
            <w:shd w:val="clear" w:color="FFFFFF" w:fill="FFFFFF"/>
            <w:noWrap/>
            <w:vAlign w:val="bottom"/>
            <w:hideMark/>
          </w:tcPr>
          <w:p w14:paraId="4284E87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r>
      <w:tr w:rsidR="00BD154D" w:rsidRPr="004535FA" w14:paraId="3AC640AD"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17A30E2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TAHYA</w:t>
            </w:r>
          </w:p>
        </w:tc>
        <w:tc>
          <w:tcPr>
            <w:tcW w:w="0" w:type="auto"/>
            <w:tcBorders>
              <w:top w:val="nil"/>
              <w:left w:val="nil"/>
              <w:bottom w:val="single" w:sz="4" w:space="0" w:color="DDDDDD"/>
              <w:right w:val="single" w:sz="4" w:space="0" w:color="DDDDDD"/>
            </w:tcBorders>
            <w:shd w:val="clear" w:color="FFFFFF" w:fill="FFFFFF"/>
            <w:noWrap/>
            <w:vAlign w:val="bottom"/>
            <w:hideMark/>
          </w:tcPr>
          <w:p w14:paraId="6563830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PEER_REVIEWED_ARTICLE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35A6839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Safety criteria for the transport of hydrogen in permanently mounted composite pressure vessels</w:t>
            </w:r>
          </w:p>
        </w:tc>
        <w:tc>
          <w:tcPr>
            <w:tcW w:w="0" w:type="auto"/>
            <w:tcBorders>
              <w:top w:val="nil"/>
              <w:left w:val="nil"/>
              <w:bottom w:val="single" w:sz="4" w:space="0" w:color="DDDDDD"/>
              <w:right w:val="single" w:sz="4" w:space="0" w:color="DDDDDD"/>
            </w:tcBorders>
            <w:shd w:val="clear" w:color="FFFFFF" w:fill="FFFFFF"/>
            <w:noWrap/>
            <w:vAlign w:val="bottom"/>
            <w:hideMark/>
          </w:tcPr>
          <w:p w14:paraId="50137F8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10.1016/j.ijhydene.2020.07.268</w:t>
            </w:r>
          </w:p>
        </w:tc>
        <w:tc>
          <w:tcPr>
            <w:tcW w:w="0" w:type="auto"/>
            <w:tcBorders>
              <w:top w:val="nil"/>
              <w:left w:val="nil"/>
              <w:bottom w:val="single" w:sz="4" w:space="0" w:color="DDDDDD"/>
              <w:right w:val="single" w:sz="4" w:space="0" w:color="DDDDDD"/>
            </w:tcBorders>
            <w:shd w:val="clear" w:color="FFFFFF" w:fill="FFFFFF"/>
            <w:noWrap/>
            <w:vAlign w:val="bottom"/>
            <w:hideMark/>
          </w:tcPr>
          <w:p w14:paraId="1710ADBF"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03603199</w:t>
            </w:r>
          </w:p>
        </w:tc>
        <w:tc>
          <w:tcPr>
            <w:tcW w:w="0" w:type="auto"/>
            <w:tcBorders>
              <w:top w:val="nil"/>
              <w:left w:val="nil"/>
              <w:bottom w:val="single" w:sz="4" w:space="0" w:color="DDDDDD"/>
              <w:right w:val="single" w:sz="4" w:space="0" w:color="DDDDDD"/>
            </w:tcBorders>
            <w:shd w:val="clear" w:color="FFFFFF" w:fill="FFFFFF"/>
            <w:noWrap/>
            <w:vAlign w:val="bottom"/>
            <w:hideMark/>
          </w:tcPr>
          <w:p w14:paraId="75E63F57"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G.W. Mair, S. Thomas, B. Schalau, B. Wang</w:t>
            </w:r>
          </w:p>
        </w:tc>
        <w:tc>
          <w:tcPr>
            <w:tcW w:w="0" w:type="auto"/>
            <w:tcBorders>
              <w:top w:val="nil"/>
              <w:left w:val="nil"/>
              <w:bottom w:val="single" w:sz="4" w:space="0" w:color="DDDDDD"/>
              <w:right w:val="single" w:sz="4" w:space="0" w:color="DDDDDD"/>
            </w:tcBorders>
            <w:shd w:val="clear" w:color="FFFFFF" w:fill="FFFFFF"/>
            <w:noWrap/>
            <w:vAlign w:val="bottom"/>
            <w:hideMark/>
          </w:tcPr>
          <w:p w14:paraId="1D18ED5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International Journal of Hydrogen Energy</w:t>
            </w:r>
          </w:p>
        </w:tc>
        <w:tc>
          <w:tcPr>
            <w:tcW w:w="0" w:type="auto"/>
            <w:tcBorders>
              <w:top w:val="nil"/>
              <w:left w:val="nil"/>
              <w:bottom w:val="single" w:sz="4" w:space="0" w:color="DDDDDD"/>
              <w:right w:val="single" w:sz="4" w:space="0" w:color="DDDDDD"/>
            </w:tcBorders>
            <w:shd w:val="clear" w:color="FFFFFF" w:fill="FFFFFF"/>
            <w:noWrap/>
            <w:vAlign w:val="bottom"/>
            <w:hideMark/>
          </w:tcPr>
          <w:p w14:paraId="6055B21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46/23</w:t>
            </w:r>
          </w:p>
        </w:tc>
        <w:tc>
          <w:tcPr>
            <w:tcW w:w="0" w:type="auto"/>
            <w:tcBorders>
              <w:top w:val="nil"/>
              <w:left w:val="nil"/>
              <w:bottom w:val="single" w:sz="4" w:space="0" w:color="DDDDDD"/>
              <w:right w:val="single" w:sz="4" w:space="0" w:color="DDDDDD"/>
            </w:tcBorders>
            <w:shd w:val="clear" w:color="FFFFFF" w:fill="FFFFFF"/>
            <w:noWrap/>
            <w:vAlign w:val="bottom"/>
            <w:hideMark/>
          </w:tcPr>
          <w:p w14:paraId="529EF36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Pergamon Press Ltd.</w:t>
            </w:r>
          </w:p>
        </w:tc>
        <w:tc>
          <w:tcPr>
            <w:tcW w:w="0" w:type="auto"/>
            <w:tcBorders>
              <w:top w:val="nil"/>
              <w:left w:val="nil"/>
              <w:bottom w:val="single" w:sz="4" w:space="0" w:color="DDDDDD"/>
              <w:right w:val="single" w:sz="4" w:space="0" w:color="DDDDDD"/>
            </w:tcBorders>
            <w:shd w:val="clear" w:color="FFFFFF" w:fill="FFFFFF"/>
            <w:noWrap/>
            <w:vAlign w:val="bottom"/>
            <w:hideMark/>
          </w:tcPr>
          <w:p w14:paraId="36EB98D8"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United Kingdom</w:t>
            </w:r>
          </w:p>
        </w:tc>
        <w:tc>
          <w:tcPr>
            <w:tcW w:w="0" w:type="auto"/>
            <w:tcBorders>
              <w:top w:val="nil"/>
              <w:left w:val="nil"/>
              <w:bottom w:val="single" w:sz="4" w:space="0" w:color="DDDDDD"/>
              <w:right w:val="single" w:sz="4" w:space="0" w:color="DDDDDD"/>
            </w:tcBorders>
            <w:shd w:val="clear" w:color="FFFFFF" w:fill="FFFFFF"/>
            <w:noWrap/>
            <w:vAlign w:val="bottom"/>
            <w:hideMark/>
          </w:tcPr>
          <w:p w14:paraId="075370B0"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2716B7B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12577-12593</w:t>
            </w:r>
          </w:p>
        </w:tc>
        <w:tc>
          <w:tcPr>
            <w:tcW w:w="0" w:type="auto"/>
            <w:tcBorders>
              <w:top w:val="nil"/>
              <w:left w:val="nil"/>
              <w:bottom w:val="single" w:sz="4" w:space="0" w:color="DDDDDD"/>
              <w:right w:val="single" w:sz="4" w:space="0" w:color="DDDDDD"/>
            </w:tcBorders>
            <w:shd w:val="clear" w:color="FFFFFF" w:fill="FFFFFF"/>
            <w:noWrap/>
            <w:vAlign w:val="bottom"/>
            <w:hideMark/>
          </w:tcPr>
          <w:p w14:paraId="2D931F5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0026B62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Yes</w:t>
            </w:r>
          </w:p>
        </w:tc>
        <w:tc>
          <w:tcPr>
            <w:tcW w:w="0" w:type="auto"/>
            <w:tcBorders>
              <w:top w:val="nil"/>
              <w:left w:val="nil"/>
              <w:bottom w:val="single" w:sz="4" w:space="0" w:color="DDDDDD"/>
              <w:right w:val="single" w:sz="4" w:space="0" w:color="DDDDDD"/>
            </w:tcBorders>
            <w:shd w:val="clear" w:color="FFFFFF" w:fill="FFFFFF"/>
            <w:noWrap/>
            <w:vAlign w:val="bottom"/>
            <w:hideMark/>
          </w:tcPr>
          <w:p w14:paraId="6826FD0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r>
      <w:tr w:rsidR="00BD154D" w:rsidRPr="004535FA" w14:paraId="04DE55D6"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62ABFF1E"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TeacHy</w:t>
            </w:r>
          </w:p>
        </w:tc>
        <w:tc>
          <w:tcPr>
            <w:tcW w:w="0" w:type="auto"/>
            <w:tcBorders>
              <w:top w:val="nil"/>
              <w:left w:val="nil"/>
              <w:bottom w:val="single" w:sz="4" w:space="0" w:color="DDDDDD"/>
              <w:right w:val="single" w:sz="4" w:space="0" w:color="DDDDDD"/>
            </w:tcBorders>
            <w:shd w:val="clear" w:color="FFFFFF" w:fill="FFFFFF"/>
            <w:noWrap/>
            <w:vAlign w:val="bottom"/>
            <w:hideMark/>
          </w:tcPr>
          <w:p w14:paraId="7B670CA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CONFERENCE_PROCEEDING</w:t>
            </w:r>
          </w:p>
        </w:tc>
        <w:tc>
          <w:tcPr>
            <w:tcW w:w="0" w:type="auto"/>
            <w:tcBorders>
              <w:top w:val="nil"/>
              <w:left w:val="nil"/>
              <w:bottom w:val="single" w:sz="4" w:space="0" w:color="DDDDDD"/>
              <w:right w:val="single" w:sz="4" w:space="0" w:color="DDDDDD"/>
            </w:tcBorders>
            <w:shd w:val="clear" w:color="FFFFFF" w:fill="FFFFFF"/>
            <w:noWrap/>
            <w:vAlign w:val="bottom"/>
            <w:hideMark/>
          </w:tcPr>
          <w:p w14:paraId="3B5DF61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An MSc Course in FCH Technologies</w:t>
            </w:r>
          </w:p>
        </w:tc>
        <w:tc>
          <w:tcPr>
            <w:tcW w:w="0" w:type="auto"/>
            <w:tcBorders>
              <w:top w:val="nil"/>
              <w:left w:val="nil"/>
              <w:bottom w:val="single" w:sz="4" w:space="0" w:color="DDDDDD"/>
              <w:right w:val="single" w:sz="4" w:space="0" w:color="DDDDDD"/>
            </w:tcBorders>
            <w:shd w:val="clear" w:color="FFFFFF" w:fill="FFFFFF"/>
            <w:noWrap/>
            <w:vAlign w:val="bottom"/>
            <w:hideMark/>
          </w:tcPr>
          <w:p w14:paraId="1EB7389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76019C1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c>
          <w:tcPr>
            <w:tcW w:w="0" w:type="auto"/>
            <w:tcBorders>
              <w:top w:val="nil"/>
              <w:left w:val="nil"/>
              <w:bottom w:val="single" w:sz="4" w:space="0" w:color="DDDDDD"/>
              <w:right w:val="single" w:sz="4" w:space="0" w:color="DDDDDD"/>
            </w:tcBorders>
            <w:shd w:val="clear" w:color="FFFFFF" w:fill="FFFFFF"/>
            <w:noWrap/>
            <w:vAlign w:val="bottom"/>
            <w:hideMark/>
          </w:tcPr>
          <w:p w14:paraId="36CF0064"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Robert Steinberger-Wilckens, Aravind Purushothaman Vellayani, Massimo Santarelli, Yegor Brodnikovskyi, Lars N. Cleeman, Karel Bouzek, Jan Van herle, Jean-Luc Delplancke, Ioan Iordache, Florence Druart, Vladimir Molkov, Olaf Jedicke</w:t>
            </w:r>
          </w:p>
        </w:tc>
        <w:tc>
          <w:tcPr>
            <w:tcW w:w="0" w:type="auto"/>
            <w:tcBorders>
              <w:top w:val="nil"/>
              <w:left w:val="nil"/>
              <w:bottom w:val="single" w:sz="4" w:space="0" w:color="DDDDDD"/>
              <w:right w:val="single" w:sz="4" w:space="0" w:color="DDDDDD"/>
            </w:tcBorders>
            <w:shd w:val="clear" w:color="FFFFFF" w:fill="FFFFFF"/>
            <w:noWrap/>
            <w:vAlign w:val="bottom"/>
            <w:hideMark/>
          </w:tcPr>
          <w:p w14:paraId="3E4EDFE9"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Proceedings of the 15th European Fuel Cell Forum</w:t>
            </w:r>
          </w:p>
        </w:tc>
        <w:tc>
          <w:tcPr>
            <w:tcW w:w="0" w:type="auto"/>
            <w:tcBorders>
              <w:top w:val="nil"/>
              <w:left w:val="nil"/>
              <w:bottom w:val="single" w:sz="4" w:space="0" w:color="DDDDDD"/>
              <w:right w:val="single" w:sz="4" w:space="0" w:color="DDDDDD"/>
            </w:tcBorders>
            <w:shd w:val="clear" w:color="FFFFFF" w:fill="FFFFFF"/>
            <w:noWrap/>
            <w:vAlign w:val="bottom"/>
            <w:hideMark/>
          </w:tcPr>
          <w:p w14:paraId="72F0B07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bi-annual</w:t>
            </w:r>
          </w:p>
        </w:tc>
        <w:tc>
          <w:tcPr>
            <w:tcW w:w="0" w:type="auto"/>
            <w:tcBorders>
              <w:top w:val="nil"/>
              <w:left w:val="nil"/>
              <w:bottom w:val="single" w:sz="4" w:space="0" w:color="DDDDDD"/>
              <w:right w:val="single" w:sz="4" w:space="0" w:color="DDDDDD"/>
            </w:tcBorders>
            <w:shd w:val="clear" w:color="FFFFFF" w:fill="FFFFFF"/>
            <w:noWrap/>
            <w:vAlign w:val="bottom"/>
            <w:hideMark/>
          </w:tcPr>
          <w:p w14:paraId="16AF396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EFCF</w:t>
            </w:r>
          </w:p>
        </w:tc>
        <w:tc>
          <w:tcPr>
            <w:tcW w:w="0" w:type="auto"/>
            <w:tcBorders>
              <w:top w:val="nil"/>
              <w:left w:val="nil"/>
              <w:bottom w:val="single" w:sz="4" w:space="0" w:color="DDDDDD"/>
              <w:right w:val="single" w:sz="4" w:space="0" w:color="DDDDDD"/>
            </w:tcBorders>
            <w:shd w:val="clear" w:color="FFFFFF" w:fill="FFFFFF"/>
            <w:noWrap/>
            <w:vAlign w:val="bottom"/>
            <w:hideMark/>
          </w:tcPr>
          <w:p w14:paraId="5B3ABCE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Lucerne</w:t>
            </w:r>
          </w:p>
        </w:tc>
        <w:tc>
          <w:tcPr>
            <w:tcW w:w="0" w:type="auto"/>
            <w:tcBorders>
              <w:top w:val="nil"/>
              <w:left w:val="nil"/>
              <w:bottom w:val="single" w:sz="4" w:space="0" w:color="DDDDDD"/>
              <w:right w:val="single" w:sz="4" w:space="0" w:color="DDDDDD"/>
            </w:tcBorders>
            <w:shd w:val="clear" w:color="FFFFFF" w:fill="FFFFFF"/>
            <w:noWrap/>
            <w:vAlign w:val="bottom"/>
            <w:hideMark/>
          </w:tcPr>
          <w:p w14:paraId="776CB2A4"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200E328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A1505</w:t>
            </w:r>
          </w:p>
        </w:tc>
        <w:tc>
          <w:tcPr>
            <w:tcW w:w="0" w:type="auto"/>
            <w:tcBorders>
              <w:top w:val="nil"/>
              <w:left w:val="nil"/>
              <w:bottom w:val="single" w:sz="4" w:space="0" w:color="DDDDDD"/>
              <w:right w:val="single" w:sz="4" w:space="0" w:color="DDDDDD"/>
            </w:tcBorders>
            <w:shd w:val="clear" w:color="FFFFFF" w:fill="FFFFFF"/>
            <w:noWrap/>
            <w:vAlign w:val="bottom"/>
            <w:hideMark/>
          </w:tcPr>
          <w:p w14:paraId="5BB5C6C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No</w:t>
            </w:r>
          </w:p>
        </w:tc>
        <w:tc>
          <w:tcPr>
            <w:tcW w:w="0" w:type="auto"/>
            <w:tcBorders>
              <w:top w:val="nil"/>
              <w:left w:val="nil"/>
              <w:bottom w:val="single" w:sz="4" w:space="0" w:color="DDDDDD"/>
              <w:right w:val="single" w:sz="4" w:space="0" w:color="DDDDDD"/>
            </w:tcBorders>
            <w:shd w:val="clear" w:color="FFFFFF" w:fill="FFFFFF"/>
            <w:noWrap/>
            <w:vAlign w:val="bottom"/>
            <w:hideMark/>
          </w:tcPr>
          <w:p w14:paraId="67988B2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Yes</w:t>
            </w:r>
          </w:p>
        </w:tc>
        <w:tc>
          <w:tcPr>
            <w:tcW w:w="0" w:type="auto"/>
            <w:tcBorders>
              <w:top w:val="nil"/>
              <w:left w:val="nil"/>
              <w:bottom w:val="single" w:sz="4" w:space="0" w:color="DDDDDD"/>
              <w:right w:val="single" w:sz="4" w:space="0" w:color="DDDDDD"/>
            </w:tcBorders>
            <w:shd w:val="clear" w:color="FFFFFF" w:fill="FFFFFF"/>
            <w:noWrap/>
            <w:vAlign w:val="bottom"/>
            <w:hideMark/>
          </w:tcPr>
          <w:p w14:paraId="62201BF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r>
      <w:tr w:rsidR="00BD154D" w:rsidRPr="004535FA" w14:paraId="4D22B77C" w14:textId="77777777" w:rsidTr="00DF2591">
        <w:trPr>
          <w:trHeight w:val="394"/>
        </w:trPr>
        <w:tc>
          <w:tcPr>
            <w:tcW w:w="0" w:type="auto"/>
            <w:tcBorders>
              <w:top w:val="nil"/>
              <w:left w:val="single" w:sz="4" w:space="0" w:color="DDDDDD"/>
              <w:bottom w:val="single" w:sz="4" w:space="0" w:color="DDDDDD"/>
              <w:right w:val="single" w:sz="4" w:space="0" w:color="DDDDDD"/>
            </w:tcBorders>
            <w:shd w:val="clear" w:color="FFFFFF" w:fill="FFFFFF"/>
            <w:noWrap/>
            <w:vAlign w:val="bottom"/>
            <w:hideMark/>
          </w:tcPr>
          <w:p w14:paraId="608FAA9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VIRTU</w:t>
            </w:r>
            <w:r w:rsidRPr="00F07F7C">
              <w:rPr>
                <w:rFonts w:ascii="Arial" w:eastAsia="Times New Roman" w:hAnsi="Arial" w:cs="Arial"/>
                <w:color w:val="333333"/>
                <w:sz w:val="12"/>
                <w:szCs w:val="12"/>
                <w:lang w:eastAsia="en-GB"/>
              </w:rPr>
              <w:lastRenderedPageBreak/>
              <w:t>AL-FCS</w:t>
            </w:r>
          </w:p>
        </w:tc>
        <w:tc>
          <w:tcPr>
            <w:tcW w:w="0" w:type="auto"/>
            <w:tcBorders>
              <w:top w:val="nil"/>
              <w:left w:val="nil"/>
              <w:bottom w:val="single" w:sz="4" w:space="0" w:color="DDDDDD"/>
              <w:right w:val="single" w:sz="4" w:space="0" w:color="DDDDDD"/>
            </w:tcBorders>
            <w:shd w:val="clear" w:color="FFFFFF" w:fill="FFFFFF"/>
            <w:noWrap/>
            <w:vAlign w:val="bottom"/>
            <w:hideMark/>
          </w:tcPr>
          <w:p w14:paraId="028F3C8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lastRenderedPageBreak/>
              <w:t>PEER_REVIEW</w:t>
            </w:r>
            <w:r w:rsidRPr="00F07F7C">
              <w:rPr>
                <w:rFonts w:ascii="Arial" w:eastAsia="Times New Roman" w:hAnsi="Arial" w:cs="Arial"/>
                <w:color w:val="333333"/>
                <w:sz w:val="12"/>
                <w:szCs w:val="12"/>
                <w:lang w:eastAsia="en-GB"/>
              </w:rPr>
              <w:lastRenderedPageBreak/>
              <w:t>ED_ARTICLE</w:t>
            </w:r>
          </w:p>
        </w:tc>
        <w:tc>
          <w:tcPr>
            <w:tcW w:w="0" w:type="auto"/>
            <w:tcBorders>
              <w:top w:val="nil"/>
              <w:left w:val="nil"/>
              <w:bottom w:val="single" w:sz="4" w:space="0" w:color="DDDDDD"/>
              <w:right w:val="single" w:sz="4" w:space="0" w:color="DDDDDD"/>
            </w:tcBorders>
            <w:shd w:val="clear" w:color="FFFFFF" w:fill="FFFFFF"/>
            <w:noWrap/>
            <w:vAlign w:val="bottom"/>
            <w:hideMark/>
          </w:tcPr>
          <w:p w14:paraId="4C116480"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lastRenderedPageBreak/>
              <w:t>Hybrid fuel cell system degradation modeling methods: A comprehensive review</w:t>
            </w:r>
          </w:p>
        </w:tc>
        <w:tc>
          <w:tcPr>
            <w:tcW w:w="0" w:type="auto"/>
            <w:tcBorders>
              <w:top w:val="nil"/>
              <w:left w:val="nil"/>
              <w:bottom w:val="single" w:sz="4" w:space="0" w:color="DDDDDD"/>
              <w:right w:val="single" w:sz="4" w:space="0" w:color="DDDDDD"/>
            </w:tcBorders>
            <w:shd w:val="clear" w:color="FFFFFF" w:fill="FFFFFF"/>
            <w:noWrap/>
            <w:vAlign w:val="bottom"/>
            <w:hideMark/>
          </w:tcPr>
          <w:p w14:paraId="52496675"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10.1016/j.jpowsour.20</w:t>
            </w:r>
            <w:r w:rsidRPr="00F07F7C">
              <w:rPr>
                <w:rFonts w:ascii="Arial" w:eastAsia="Times New Roman" w:hAnsi="Arial" w:cs="Arial"/>
                <w:color w:val="333333"/>
                <w:sz w:val="12"/>
                <w:szCs w:val="12"/>
                <w:lang w:eastAsia="en-GB"/>
              </w:rPr>
              <w:lastRenderedPageBreak/>
              <w:t>21.230071</w:t>
            </w:r>
          </w:p>
        </w:tc>
        <w:tc>
          <w:tcPr>
            <w:tcW w:w="0" w:type="auto"/>
            <w:tcBorders>
              <w:top w:val="nil"/>
              <w:left w:val="nil"/>
              <w:bottom w:val="single" w:sz="4" w:space="0" w:color="DDDDDD"/>
              <w:right w:val="single" w:sz="4" w:space="0" w:color="DDDDDD"/>
            </w:tcBorders>
            <w:shd w:val="clear" w:color="FFFFFF" w:fill="FFFFFF"/>
            <w:noWrap/>
            <w:vAlign w:val="bottom"/>
            <w:hideMark/>
          </w:tcPr>
          <w:p w14:paraId="64EC6CD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lastRenderedPageBreak/>
              <w:t>03787753</w:t>
            </w:r>
          </w:p>
        </w:tc>
        <w:tc>
          <w:tcPr>
            <w:tcW w:w="0" w:type="auto"/>
            <w:tcBorders>
              <w:top w:val="nil"/>
              <w:left w:val="nil"/>
              <w:bottom w:val="single" w:sz="4" w:space="0" w:color="DDDDDD"/>
              <w:right w:val="single" w:sz="4" w:space="0" w:color="DDDDDD"/>
            </w:tcBorders>
            <w:shd w:val="clear" w:color="FFFFFF" w:fill="FFFFFF"/>
            <w:noWrap/>
            <w:vAlign w:val="bottom"/>
            <w:hideMark/>
          </w:tcPr>
          <w:p w14:paraId="5D1797B8" w14:textId="77777777" w:rsidR="00BD154D" w:rsidRPr="00974B49" w:rsidRDefault="00BD154D" w:rsidP="00DF2591">
            <w:pPr>
              <w:spacing w:after="0" w:line="240" w:lineRule="auto"/>
              <w:rPr>
                <w:rFonts w:ascii="Arial" w:eastAsia="Times New Roman" w:hAnsi="Arial" w:cs="Arial"/>
                <w:color w:val="333333"/>
                <w:sz w:val="12"/>
                <w:szCs w:val="12"/>
                <w:lang w:val="de-DE" w:eastAsia="en-GB"/>
              </w:rPr>
            </w:pPr>
            <w:r w:rsidRPr="00974B49">
              <w:rPr>
                <w:rFonts w:ascii="Arial" w:eastAsia="Times New Roman" w:hAnsi="Arial" w:cs="Arial"/>
                <w:color w:val="333333"/>
                <w:sz w:val="12"/>
                <w:szCs w:val="12"/>
                <w:lang w:val="de-DE" w:eastAsia="en-GB"/>
              </w:rPr>
              <w:t>L. Vichard, N. Yousfi Steiner, N. Zerhouni, D. Hissel</w:t>
            </w:r>
          </w:p>
        </w:tc>
        <w:tc>
          <w:tcPr>
            <w:tcW w:w="0" w:type="auto"/>
            <w:tcBorders>
              <w:top w:val="nil"/>
              <w:left w:val="nil"/>
              <w:bottom w:val="single" w:sz="4" w:space="0" w:color="DDDDDD"/>
              <w:right w:val="single" w:sz="4" w:space="0" w:color="DDDDDD"/>
            </w:tcBorders>
            <w:shd w:val="clear" w:color="FFFFFF" w:fill="FFFFFF"/>
            <w:noWrap/>
            <w:vAlign w:val="bottom"/>
            <w:hideMark/>
          </w:tcPr>
          <w:p w14:paraId="6D24491B"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Journal of Power Sources</w:t>
            </w:r>
          </w:p>
        </w:tc>
        <w:tc>
          <w:tcPr>
            <w:tcW w:w="0" w:type="auto"/>
            <w:tcBorders>
              <w:top w:val="nil"/>
              <w:left w:val="nil"/>
              <w:bottom w:val="single" w:sz="4" w:space="0" w:color="DDDDDD"/>
              <w:right w:val="single" w:sz="4" w:space="0" w:color="DDDDDD"/>
            </w:tcBorders>
            <w:shd w:val="clear" w:color="FFFFFF" w:fill="FFFFFF"/>
            <w:noWrap/>
            <w:vAlign w:val="bottom"/>
            <w:hideMark/>
          </w:tcPr>
          <w:p w14:paraId="241573C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506</w:t>
            </w:r>
          </w:p>
        </w:tc>
        <w:tc>
          <w:tcPr>
            <w:tcW w:w="0" w:type="auto"/>
            <w:tcBorders>
              <w:top w:val="nil"/>
              <w:left w:val="nil"/>
              <w:bottom w:val="single" w:sz="4" w:space="0" w:color="DDDDDD"/>
              <w:right w:val="single" w:sz="4" w:space="0" w:color="DDDDDD"/>
            </w:tcBorders>
            <w:shd w:val="clear" w:color="FFFFFF" w:fill="FFFFFF"/>
            <w:noWrap/>
            <w:vAlign w:val="bottom"/>
            <w:hideMark/>
          </w:tcPr>
          <w:p w14:paraId="6607E446"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Elsevier BV</w:t>
            </w:r>
          </w:p>
        </w:tc>
        <w:tc>
          <w:tcPr>
            <w:tcW w:w="0" w:type="auto"/>
            <w:tcBorders>
              <w:top w:val="nil"/>
              <w:left w:val="nil"/>
              <w:bottom w:val="single" w:sz="4" w:space="0" w:color="DDDDDD"/>
              <w:right w:val="single" w:sz="4" w:space="0" w:color="DDDDDD"/>
            </w:tcBorders>
            <w:shd w:val="clear" w:color="FFFFFF" w:fill="FFFFFF"/>
            <w:noWrap/>
            <w:vAlign w:val="bottom"/>
            <w:hideMark/>
          </w:tcPr>
          <w:p w14:paraId="57CD2DBD"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Netherlands</w:t>
            </w:r>
          </w:p>
        </w:tc>
        <w:tc>
          <w:tcPr>
            <w:tcW w:w="0" w:type="auto"/>
            <w:tcBorders>
              <w:top w:val="nil"/>
              <w:left w:val="nil"/>
              <w:bottom w:val="single" w:sz="4" w:space="0" w:color="DDDDDD"/>
              <w:right w:val="single" w:sz="4" w:space="0" w:color="DDDDDD"/>
            </w:tcBorders>
            <w:shd w:val="clear" w:color="FFFFFF" w:fill="FFFFFF"/>
            <w:noWrap/>
            <w:vAlign w:val="bottom"/>
            <w:hideMark/>
          </w:tcPr>
          <w:p w14:paraId="7560A378" w14:textId="77777777" w:rsidR="00BD154D" w:rsidRPr="00F07F7C" w:rsidRDefault="00BD154D" w:rsidP="00DF2591">
            <w:pPr>
              <w:spacing w:after="0" w:line="240" w:lineRule="auto"/>
              <w:jc w:val="right"/>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2021</w:t>
            </w:r>
          </w:p>
        </w:tc>
        <w:tc>
          <w:tcPr>
            <w:tcW w:w="0" w:type="auto"/>
            <w:tcBorders>
              <w:top w:val="nil"/>
              <w:left w:val="nil"/>
              <w:bottom w:val="single" w:sz="4" w:space="0" w:color="DDDDDD"/>
              <w:right w:val="single" w:sz="4" w:space="0" w:color="DDDDDD"/>
            </w:tcBorders>
            <w:shd w:val="clear" w:color="FFFFFF" w:fill="FFFFFF"/>
            <w:noWrap/>
            <w:vAlign w:val="bottom"/>
            <w:hideMark/>
          </w:tcPr>
          <w:p w14:paraId="176C1D72"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230071</w:t>
            </w:r>
          </w:p>
        </w:tc>
        <w:tc>
          <w:tcPr>
            <w:tcW w:w="0" w:type="auto"/>
            <w:tcBorders>
              <w:top w:val="nil"/>
              <w:left w:val="nil"/>
              <w:bottom w:val="single" w:sz="4" w:space="0" w:color="DDDDDD"/>
              <w:right w:val="single" w:sz="4" w:space="0" w:color="DDDDDD"/>
            </w:tcBorders>
            <w:shd w:val="clear" w:color="FFFFFF" w:fill="FFFFFF"/>
            <w:noWrap/>
            <w:vAlign w:val="bottom"/>
            <w:hideMark/>
          </w:tcPr>
          <w:p w14:paraId="29B252CA"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Yes</w:t>
            </w:r>
          </w:p>
        </w:tc>
        <w:tc>
          <w:tcPr>
            <w:tcW w:w="0" w:type="auto"/>
            <w:tcBorders>
              <w:top w:val="nil"/>
              <w:left w:val="nil"/>
              <w:bottom w:val="single" w:sz="4" w:space="0" w:color="DDDDDD"/>
              <w:right w:val="single" w:sz="4" w:space="0" w:color="DDDDDD"/>
            </w:tcBorders>
            <w:shd w:val="clear" w:color="FFFFFF" w:fill="FFFFFF"/>
            <w:noWrap/>
            <w:vAlign w:val="bottom"/>
            <w:hideMark/>
          </w:tcPr>
          <w:p w14:paraId="391EE7F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Yes</w:t>
            </w:r>
          </w:p>
        </w:tc>
        <w:tc>
          <w:tcPr>
            <w:tcW w:w="0" w:type="auto"/>
            <w:tcBorders>
              <w:top w:val="nil"/>
              <w:left w:val="nil"/>
              <w:bottom w:val="single" w:sz="4" w:space="0" w:color="DDDDDD"/>
              <w:right w:val="single" w:sz="4" w:space="0" w:color="DDDDDD"/>
            </w:tcBorders>
            <w:shd w:val="clear" w:color="FFFFFF" w:fill="FFFFFF"/>
            <w:noWrap/>
            <w:vAlign w:val="bottom"/>
            <w:hideMark/>
          </w:tcPr>
          <w:p w14:paraId="71B52393" w14:textId="77777777" w:rsidR="00BD154D" w:rsidRPr="00F07F7C" w:rsidRDefault="00BD154D" w:rsidP="00DF2591">
            <w:pPr>
              <w:spacing w:after="0" w:line="240" w:lineRule="auto"/>
              <w:rPr>
                <w:rFonts w:ascii="Arial" w:eastAsia="Times New Roman" w:hAnsi="Arial" w:cs="Arial"/>
                <w:color w:val="333333"/>
                <w:sz w:val="12"/>
                <w:szCs w:val="12"/>
                <w:lang w:eastAsia="en-GB"/>
              </w:rPr>
            </w:pPr>
            <w:r w:rsidRPr="00F07F7C">
              <w:rPr>
                <w:rFonts w:ascii="Arial" w:eastAsia="Times New Roman" w:hAnsi="Arial" w:cs="Arial"/>
                <w:color w:val="333333"/>
                <w:sz w:val="12"/>
                <w:szCs w:val="12"/>
                <w:lang w:eastAsia="en-GB"/>
              </w:rPr>
              <w:t> </w:t>
            </w:r>
          </w:p>
        </w:tc>
      </w:tr>
    </w:tbl>
    <w:p w14:paraId="47E5FE44" w14:textId="77777777" w:rsidR="00BD154D" w:rsidRDefault="00BD154D" w:rsidP="00BD154D"/>
    <w:p w14:paraId="5D5857F5" w14:textId="77777777" w:rsidR="00BD154D" w:rsidRDefault="00BD154D" w:rsidP="00BD154D"/>
    <w:p w14:paraId="2133495E" w14:textId="77777777" w:rsidR="00BD154D" w:rsidRDefault="00BD154D" w:rsidP="00BD154D"/>
    <w:p w14:paraId="47925C30" w14:textId="77777777" w:rsidR="00BD154D" w:rsidRPr="00CC0D1D" w:rsidRDefault="00BD154D" w:rsidP="002672A0">
      <w:pPr>
        <w:pStyle w:val="ListParagraph"/>
        <w:keepNext/>
        <w:numPr>
          <w:ilvl w:val="0"/>
          <w:numId w:val="17"/>
        </w:numPr>
        <w:spacing w:before="240" w:after="60"/>
        <w:contextualSpacing w:val="0"/>
        <w:jc w:val="center"/>
        <w:outlineLvl w:val="1"/>
        <w:rPr>
          <w:rFonts w:ascii="Cambria" w:eastAsia="Times New Roman" w:hAnsi="Cambria"/>
          <w:b/>
          <w:bCs/>
          <w:iCs/>
          <w:vanish/>
          <w:sz w:val="28"/>
          <w:szCs w:val="28"/>
        </w:rPr>
      </w:pPr>
      <w:bookmarkStart w:id="218" w:name="_Toc98430723"/>
      <w:bookmarkStart w:id="219" w:name="_Toc98430830"/>
      <w:bookmarkStart w:id="220" w:name="_Toc98496387"/>
      <w:bookmarkStart w:id="221" w:name="_Toc98496462"/>
      <w:bookmarkStart w:id="222" w:name="_Toc99034264"/>
      <w:bookmarkStart w:id="223" w:name="_Toc99034435"/>
      <w:bookmarkStart w:id="224" w:name="_Toc99034511"/>
      <w:bookmarkStart w:id="225" w:name="_Toc99103451"/>
      <w:bookmarkStart w:id="226" w:name="_Toc99103526"/>
      <w:bookmarkStart w:id="227" w:name="_Toc100581641"/>
      <w:bookmarkStart w:id="228" w:name="_Toc100848621"/>
      <w:bookmarkStart w:id="229" w:name="_Toc100848694"/>
      <w:bookmarkStart w:id="230" w:name="_Toc100907204"/>
      <w:bookmarkStart w:id="231" w:name="_Toc100915450"/>
      <w:bookmarkStart w:id="232" w:name="_Toc101514988"/>
      <w:bookmarkStart w:id="233" w:name="_Toc101516104"/>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p>
    <w:p w14:paraId="54E76A63" w14:textId="77777777" w:rsidR="00BD154D" w:rsidRPr="00CC0D1D" w:rsidRDefault="00BD154D" w:rsidP="002672A0">
      <w:pPr>
        <w:pStyle w:val="ListParagraph"/>
        <w:keepNext/>
        <w:numPr>
          <w:ilvl w:val="0"/>
          <w:numId w:val="17"/>
        </w:numPr>
        <w:spacing w:before="240" w:after="60"/>
        <w:contextualSpacing w:val="0"/>
        <w:jc w:val="center"/>
        <w:outlineLvl w:val="1"/>
        <w:rPr>
          <w:rFonts w:ascii="Cambria" w:eastAsia="Times New Roman" w:hAnsi="Cambria"/>
          <w:b/>
          <w:bCs/>
          <w:iCs/>
          <w:vanish/>
          <w:sz w:val="28"/>
          <w:szCs w:val="28"/>
        </w:rPr>
      </w:pPr>
      <w:bookmarkStart w:id="234" w:name="_Toc98430724"/>
      <w:bookmarkStart w:id="235" w:name="_Toc98430831"/>
      <w:bookmarkStart w:id="236" w:name="_Toc98496388"/>
      <w:bookmarkStart w:id="237" w:name="_Toc98496463"/>
      <w:bookmarkStart w:id="238" w:name="_Toc99034265"/>
      <w:bookmarkStart w:id="239" w:name="_Toc99034436"/>
      <w:bookmarkStart w:id="240" w:name="_Toc99034512"/>
      <w:bookmarkStart w:id="241" w:name="_Toc99103452"/>
      <w:bookmarkStart w:id="242" w:name="_Toc99103527"/>
      <w:bookmarkStart w:id="243" w:name="_Toc100581642"/>
      <w:bookmarkStart w:id="244" w:name="_Toc100848622"/>
      <w:bookmarkStart w:id="245" w:name="_Toc100848695"/>
      <w:bookmarkStart w:id="246" w:name="_Toc100907205"/>
      <w:bookmarkStart w:id="247" w:name="_Toc100915451"/>
      <w:bookmarkStart w:id="248" w:name="_Toc101514989"/>
      <w:bookmarkStart w:id="249" w:name="_Toc101516105"/>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p>
    <w:p w14:paraId="4CE946B5" w14:textId="77777777" w:rsidR="00BD154D" w:rsidRDefault="00BD154D" w:rsidP="00BD154D">
      <w:pPr>
        <w:spacing w:after="0" w:line="240" w:lineRule="auto"/>
      </w:pPr>
      <w:bookmarkStart w:id="250" w:name="_Toc1731204"/>
      <w:r>
        <w:br w:type="page"/>
      </w:r>
    </w:p>
    <w:p w14:paraId="2C4A796D" w14:textId="77777777" w:rsidR="00BD154D" w:rsidRDefault="00BD154D" w:rsidP="00BD154D">
      <w:pPr>
        <w:pStyle w:val="Heading2"/>
        <w:ind w:left="567" w:hanging="576"/>
        <w:sectPr w:rsidR="00BD154D" w:rsidSect="00DF2591">
          <w:headerReference w:type="even" r:id="rId102"/>
          <w:headerReference w:type="default" r:id="rId103"/>
          <w:footerReference w:type="even" r:id="rId104"/>
          <w:footerReference w:type="default" r:id="rId105"/>
          <w:headerReference w:type="first" r:id="rId106"/>
          <w:footerReference w:type="first" r:id="rId107"/>
          <w:pgSz w:w="16838" w:h="11906" w:orient="landscape"/>
          <w:pgMar w:top="1417" w:right="1417" w:bottom="1417" w:left="1417" w:header="708" w:footer="708" w:gutter="0"/>
          <w:cols w:space="708"/>
          <w:docGrid w:linePitch="360"/>
        </w:sectPr>
      </w:pPr>
    </w:p>
    <w:p w14:paraId="4021251D" w14:textId="77777777" w:rsidR="00BD154D" w:rsidRDefault="00BD154D" w:rsidP="00BD154D">
      <w:pPr>
        <w:pStyle w:val="Heading2"/>
        <w:spacing w:before="0"/>
        <w:ind w:left="567" w:hanging="578"/>
      </w:pPr>
      <w:bookmarkStart w:id="251" w:name="_Toc98496389"/>
      <w:bookmarkStart w:id="252" w:name="_Toc101516106"/>
      <w:r w:rsidRPr="00141D60">
        <w:lastRenderedPageBreak/>
        <w:t xml:space="preserve">Annex </w:t>
      </w:r>
      <w:r>
        <w:t>4</w:t>
      </w:r>
      <w:r w:rsidRPr="00141D60">
        <w:t xml:space="preserve"> </w:t>
      </w:r>
      <w:r>
        <w:t>-</w:t>
      </w:r>
      <w:r w:rsidRPr="00141D60">
        <w:t xml:space="preserve"> </w:t>
      </w:r>
      <w:r>
        <w:t>Patents from projects</w:t>
      </w:r>
      <w:bookmarkEnd w:id="250"/>
      <w:bookmarkEnd w:id="251"/>
      <w:bookmarkEnd w:id="252"/>
    </w:p>
    <w:p w14:paraId="52998D32" w14:textId="77777777" w:rsidR="00BD154D" w:rsidRDefault="00BD154D" w:rsidP="002672A0">
      <w:pPr>
        <w:pStyle w:val="ListParagraph"/>
        <w:numPr>
          <w:ilvl w:val="0"/>
          <w:numId w:val="24"/>
        </w:numPr>
        <w:spacing w:before="120" w:after="120"/>
        <w:ind w:left="714" w:hanging="357"/>
      </w:pPr>
      <w:r>
        <w:t>Information extracted from CORDA for H2020</w:t>
      </w:r>
    </w:p>
    <w:tbl>
      <w:tblPr>
        <w:tblW w:w="5000" w:type="pct"/>
        <w:tblLayout w:type="fixed"/>
        <w:tblLook w:val="04A0" w:firstRow="1" w:lastRow="0" w:firstColumn="1" w:lastColumn="0" w:noHBand="0" w:noVBand="1"/>
      </w:tblPr>
      <w:tblGrid>
        <w:gridCol w:w="998"/>
        <w:gridCol w:w="1052"/>
        <w:gridCol w:w="4311"/>
        <w:gridCol w:w="1621"/>
        <w:gridCol w:w="1086"/>
        <w:gridCol w:w="985"/>
      </w:tblGrid>
      <w:tr w:rsidR="00BD154D" w:rsidRPr="0034029F" w14:paraId="4FD5430B" w14:textId="77777777" w:rsidTr="00DF2591">
        <w:trPr>
          <w:trHeight w:val="517"/>
        </w:trPr>
        <w:tc>
          <w:tcPr>
            <w:tcW w:w="496" w:type="pct"/>
            <w:tcBorders>
              <w:top w:val="single" w:sz="4" w:space="0" w:color="CACAD9"/>
              <w:left w:val="single" w:sz="4" w:space="0" w:color="CACAD9"/>
              <w:bottom w:val="single" w:sz="4" w:space="0" w:color="CACAD9"/>
              <w:right w:val="single" w:sz="4" w:space="0" w:color="CACAD9"/>
            </w:tcBorders>
            <w:shd w:val="clear" w:color="FFFFFF" w:fill="5175B9"/>
            <w:noWrap/>
            <w:vAlign w:val="center"/>
            <w:hideMark/>
          </w:tcPr>
          <w:p w14:paraId="67CA91D3" w14:textId="77777777" w:rsidR="00BD154D" w:rsidRPr="0034029F" w:rsidRDefault="00BD154D" w:rsidP="00DF2591">
            <w:pPr>
              <w:spacing w:after="0" w:line="240" w:lineRule="auto"/>
              <w:jc w:val="center"/>
              <w:rPr>
                <w:rFonts w:ascii="Arial" w:eastAsia="Times New Roman" w:hAnsi="Arial" w:cs="Arial"/>
                <w:b/>
                <w:bCs/>
                <w:color w:val="FFFFFF"/>
                <w:sz w:val="18"/>
                <w:szCs w:val="18"/>
                <w:lang w:eastAsia="en-GB"/>
              </w:rPr>
            </w:pPr>
            <w:r w:rsidRPr="0034029F">
              <w:rPr>
                <w:rFonts w:ascii="Arial" w:eastAsia="Times New Roman" w:hAnsi="Arial" w:cs="Arial"/>
                <w:b/>
                <w:bCs/>
                <w:color w:val="FFFFFF"/>
                <w:sz w:val="18"/>
                <w:szCs w:val="18"/>
                <w:lang w:eastAsia="en-GB"/>
              </w:rPr>
              <w:t xml:space="preserve">Project </w:t>
            </w:r>
            <w:r>
              <w:rPr>
                <w:rFonts w:ascii="Arial" w:eastAsia="Times New Roman" w:hAnsi="Arial" w:cs="Arial"/>
                <w:b/>
                <w:bCs/>
                <w:color w:val="FFFFFF"/>
                <w:sz w:val="18"/>
                <w:szCs w:val="18"/>
                <w:lang w:eastAsia="en-GB"/>
              </w:rPr>
              <w:t>n</w:t>
            </w:r>
            <w:r w:rsidRPr="0034029F">
              <w:rPr>
                <w:rFonts w:ascii="Arial" w:eastAsia="Times New Roman" w:hAnsi="Arial" w:cs="Arial"/>
                <w:b/>
                <w:bCs/>
                <w:color w:val="FFFFFF"/>
                <w:sz w:val="18"/>
                <w:szCs w:val="18"/>
                <w:lang w:eastAsia="en-GB"/>
              </w:rPr>
              <w:t>umber</w:t>
            </w:r>
          </w:p>
        </w:tc>
        <w:tc>
          <w:tcPr>
            <w:tcW w:w="523" w:type="pct"/>
            <w:tcBorders>
              <w:top w:val="single" w:sz="4" w:space="0" w:color="CACAD9"/>
              <w:left w:val="nil"/>
              <w:bottom w:val="single" w:sz="4" w:space="0" w:color="CACAD9"/>
              <w:right w:val="single" w:sz="4" w:space="0" w:color="CACAD9"/>
            </w:tcBorders>
            <w:shd w:val="clear" w:color="FFFFFF" w:fill="5175B9"/>
            <w:noWrap/>
            <w:vAlign w:val="center"/>
            <w:hideMark/>
          </w:tcPr>
          <w:p w14:paraId="6149439C" w14:textId="77777777" w:rsidR="00BD154D" w:rsidRPr="0034029F" w:rsidRDefault="00BD154D" w:rsidP="00DF2591">
            <w:pPr>
              <w:spacing w:after="0" w:line="240" w:lineRule="auto"/>
              <w:jc w:val="center"/>
              <w:rPr>
                <w:rFonts w:ascii="Arial" w:eastAsia="Times New Roman" w:hAnsi="Arial" w:cs="Arial"/>
                <w:b/>
                <w:bCs/>
                <w:color w:val="FFFFFF"/>
                <w:sz w:val="18"/>
                <w:szCs w:val="18"/>
                <w:lang w:eastAsia="en-GB"/>
              </w:rPr>
            </w:pPr>
            <w:r w:rsidRPr="0034029F">
              <w:rPr>
                <w:rFonts w:ascii="Arial" w:eastAsia="Times New Roman" w:hAnsi="Arial" w:cs="Arial"/>
                <w:b/>
                <w:bCs/>
                <w:color w:val="FFFFFF"/>
                <w:sz w:val="18"/>
                <w:szCs w:val="18"/>
                <w:lang w:eastAsia="en-GB"/>
              </w:rPr>
              <w:t xml:space="preserve">Project </w:t>
            </w:r>
            <w:r>
              <w:rPr>
                <w:rFonts w:ascii="Arial" w:eastAsia="Times New Roman" w:hAnsi="Arial" w:cs="Arial"/>
                <w:b/>
                <w:bCs/>
                <w:color w:val="FFFFFF"/>
                <w:sz w:val="18"/>
                <w:szCs w:val="18"/>
                <w:lang w:eastAsia="en-GB"/>
              </w:rPr>
              <w:t>a</w:t>
            </w:r>
            <w:r w:rsidRPr="0034029F">
              <w:rPr>
                <w:rFonts w:ascii="Arial" w:eastAsia="Times New Roman" w:hAnsi="Arial" w:cs="Arial"/>
                <w:b/>
                <w:bCs/>
                <w:color w:val="FFFFFF"/>
                <w:sz w:val="18"/>
                <w:szCs w:val="18"/>
                <w:lang w:eastAsia="en-GB"/>
              </w:rPr>
              <w:t>cronym</w:t>
            </w:r>
          </w:p>
        </w:tc>
        <w:tc>
          <w:tcPr>
            <w:tcW w:w="2144" w:type="pct"/>
            <w:tcBorders>
              <w:top w:val="single" w:sz="4" w:space="0" w:color="CACAD9"/>
              <w:left w:val="nil"/>
              <w:bottom w:val="single" w:sz="4" w:space="0" w:color="CACAD9"/>
              <w:right w:val="single" w:sz="4" w:space="0" w:color="CACAD9"/>
            </w:tcBorders>
            <w:shd w:val="clear" w:color="FFFFFF" w:fill="5175B9"/>
            <w:noWrap/>
            <w:vAlign w:val="center"/>
            <w:hideMark/>
          </w:tcPr>
          <w:p w14:paraId="52B3B075" w14:textId="77777777" w:rsidR="00BD154D" w:rsidRPr="0034029F" w:rsidRDefault="00BD154D" w:rsidP="00DF2591">
            <w:pPr>
              <w:spacing w:after="0" w:line="240" w:lineRule="auto"/>
              <w:jc w:val="center"/>
              <w:rPr>
                <w:rFonts w:ascii="Arial" w:eastAsia="Times New Roman" w:hAnsi="Arial" w:cs="Arial"/>
                <w:b/>
                <w:bCs/>
                <w:color w:val="FFFFFF"/>
                <w:sz w:val="18"/>
                <w:szCs w:val="18"/>
                <w:lang w:eastAsia="en-GB"/>
              </w:rPr>
            </w:pPr>
            <w:r w:rsidRPr="0034029F">
              <w:rPr>
                <w:rFonts w:ascii="Arial" w:eastAsia="Times New Roman" w:hAnsi="Arial" w:cs="Arial"/>
                <w:b/>
                <w:bCs/>
                <w:color w:val="FFFFFF"/>
                <w:sz w:val="18"/>
                <w:szCs w:val="18"/>
                <w:lang w:eastAsia="en-GB"/>
              </w:rPr>
              <w:t xml:space="preserve">Patent </w:t>
            </w:r>
            <w:r>
              <w:rPr>
                <w:rFonts w:ascii="Arial" w:eastAsia="Times New Roman" w:hAnsi="Arial" w:cs="Arial"/>
                <w:b/>
                <w:bCs/>
                <w:color w:val="FFFFFF"/>
                <w:sz w:val="18"/>
                <w:szCs w:val="18"/>
                <w:lang w:eastAsia="en-GB"/>
              </w:rPr>
              <w:t>a</w:t>
            </w:r>
            <w:r w:rsidRPr="0034029F">
              <w:rPr>
                <w:rFonts w:ascii="Arial" w:eastAsia="Times New Roman" w:hAnsi="Arial" w:cs="Arial"/>
                <w:b/>
                <w:bCs/>
                <w:color w:val="FFFFFF"/>
                <w:sz w:val="18"/>
                <w:szCs w:val="18"/>
                <w:lang w:eastAsia="en-GB"/>
              </w:rPr>
              <w:t xml:space="preserve">pplication </w:t>
            </w:r>
            <w:r>
              <w:rPr>
                <w:rFonts w:ascii="Arial" w:eastAsia="Times New Roman" w:hAnsi="Arial" w:cs="Arial"/>
                <w:b/>
                <w:bCs/>
                <w:color w:val="FFFFFF"/>
                <w:sz w:val="18"/>
                <w:szCs w:val="18"/>
                <w:lang w:eastAsia="en-GB"/>
              </w:rPr>
              <w:t>t</w:t>
            </w:r>
            <w:r w:rsidRPr="0034029F">
              <w:rPr>
                <w:rFonts w:ascii="Arial" w:eastAsia="Times New Roman" w:hAnsi="Arial" w:cs="Arial"/>
                <w:b/>
                <w:bCs/>
                <w:color w:val="FFFFFF"/>
                <w:sz w:val="18"/>
                <w:szCs w:val="18"/>
                <w:lang w:eastAsia="en-GB"/>
              </w:rPr>
              <w:t>itle</w:t>
            </w:r>
          </w:p>
        </w:tc>
        <w:tc>
          <w:tcPr>
            <w:tcW w:w="806" w:type="pct"/>
            <w:tcBorders>
              <w:top w:val="single" w:sz="4" w:space="0" w:color="CACAD9"/>
              <w:left w:val="nil"/>
              <w:bottom w:val="single" w:sz="4" w:space="0" w:color="CACAD9"/>
              <w:right w:val="single" w:sz="4" w:space="0" w:color="CACAD9"/>
            </w:tcBorders>
            <w:shd w:val="clear" w:color="FFFFFF" w:fill="5175B9"/>
            <w:noWrap/>
            <w:vAlign w:val="center"/>
            <w:hideMark/>
          </w:tcPr>
          <w:p w14:paraId="52854AD9" w14:textId="77777777" w:rsidR="00BD154D" w:rsidRPr="0034029F" w:rsidRDefault="00BD154D" w:rsidP="00DF2591">
            <w:pPr>
              <w:spacing w:after="0" w:line="240" w:lineRule="auto"/>
              <w:jc w:val="center"/>
              <w:rPr>
                <w:rFonts w:ascii="Arial" w:eastAsia="Times New Roman" w:hAnsi="Arial" w:cs="Arial"/>
                <w:b/>
                <w:bCs/>
                <w:color w:val="FFFFFF"/>
                <w:sz w:val="18"/>
                <w:szCs w:val="18"/>
                <w:lang w:eastAsia="en-GB"/>
              </w:rPr>
            </w:pPr>
            <w:r w:rsidRPr="0034029F">
              <w:rPr>
                <w:rFonts w:ascii="Arial" w:eastAsia="Times New Roman" w:hAnsi="Arial" w:cs="Arial"/>
                <w:b/>
                <w:bCs/>
                <w:color w:val="FFFFFF"/>
                <w:sz w:val="18"/>
                <w:szCs w:val="18"/>
                <w:lang w:eastAsia="en-GB"/>
              </w:rPr>
              <w:t xml:space="preserve">Patent </w:t>
            </w:r>
            <w:r>
              <w:rPr>
                <w:rFonts w:ascii="Arial" w:eastAsia="Times New Roman" w:hAnsi="Arial" w:cs="Arial"/>
                <w:b/>
                <w:bCs/>
                <w:color w:val="FFFFFF"/>
                <w:sz w:val="18"/>
                <w:szCs w:val="18"/>
                <w:lang w:eastAsia="en-GB"/>
              </w:rPr>
              <w:t>a</w:t>
            </w:r>
            <w:r w:rsidRPr="0034029F">
              <w:rPr>
                <w:rFonts w:ascii="Arial" w:eastAsia="Times New Roman" w:hAnsi="Arial" w:cs="Arial"/>
                <w:b/>
                <w:bCs/>
                <w:color w:val="FFFFFF"/>
                <w:sz w:val="18"/>
                <w:szCs w:val="18"/>
                <w:lang w:eastAsia="en-GB"/>
              </w:rPr>
              <w:t>ppl</w:t>
            </w:r>
            <w:r>
              <w:rPr>
                <w:rFonts w:ascii="Arial" w:eastAsia="Times New Roman" w:hAnsi="Arial" w:cs="Arial"/>
                <w:b/>
                <w:bCs/>
                <w:color w:val="FFFFFF"/>
                <w:sz w:val="18"/>
                <w:szCs w:val="18"/>
                <w:lang w:eastAsia="en-GB"/>
              </w:rPr>
              <w:t>.</w:t>
            </w:r>
            <w:r w:rsidRPr="0034029F">
              <w:rPr>
                <w:rFonts w:ascii="Arial" w:eastAsia="Times New Roman" w:hAnsi="Arial" w:cs="Arial"/>
                <w:b/>
                <w:bCs/>
                <w:color w:val="FFFFFF"/>
                <w:sz w:val="18"/>
                <w:szCs w:val="18"/>
                <w:lang w:eastAsia="en-GB"/>
              </w:rPr>
              <w:t xml:space="preserve"> </w:t>
            </w:r>
            <w:r>
              <w:rPr>
                <w:rFonts w:ascii="Arial" w:eastAsia="Times New Roman" w:hAnsi="Arial" w:cs="Arial"/>
                <w:b/>
                <w:bCs/>
                <w:color w:val="FFFFFF"/>
                <w:sz w:val="18"/>
                <w:szCs w:val="18"/>
                <w:lang w:eastAsia="en-GB"/>
              </w:rPr>
              <w:t>n</w:t>
            </w:r>
            <w:r w:rsidRPr="0034029F">
              <w:rPr>
                <w:rFonts w:ascii="Arial" w:eastAsia="Times New Roman" w:hAnsi="Arial" w:cs="Arial"/>
                <w:b/>
                <w:bCs/>
                <w:color w:val="FFFFFF"/>
                <w:sz w:val="18"/>
                <w:szCs w:val="18"/>
                <w:lang w:eastAsia="en-GB"/>
              </w:rPr>
              <w:t>ame</w:t>
            </w:r>
          </w:p>
        </w:tc>
        <w:tc>
          <w:tcPr>
            <w:tcW w:w="540" w:type="pct"/>
            <w:tcBorders>
              <w:top w:val="single" w:sz="4" w:space="0" w:color="CACAD9"/>
              <w:left w:val="nil"/>
              <w:bottom w:val="single" w:sz="4" w:space="0" w:color="CACAD9"/>
              <w:right w:val="single" w:sz="4" w:space="0" w:color="CACAD9"/>
            </w:tcBorders>
            <w:shd w:val="clear" w:color="FFFFFF" w:fill="5175B9"/>
            <w:noWrap/>
            <w:vAlign w:val="center"/>
            <w:hideMark/>
          </w:tcPr>
          <w:p w14:paraId="5E955892" w14:textId="77777777" w:rsidR="00BD154D" w:rsidRPr="0034029F" w:rsidRDefault="00BD154D" w:rsidP="00DF2591">
            <w:pPr>
              <w:spacing w:after="0" w:line="240" w:lineRule="auto"/>
              <w:jc w:val="center"/>
              <w:rPr>
                <w:rFonts w:ascii="Arial" w:eastAsia="Times New Roman" w:hAnsi="Arial" w:cs="Arial"/>
                <w:b/>
                <w:bCs/>
                <w:color w:val="FFFFFF"/>
                <w:sz w:val="18"/>
                <w:szCs w:val="18"/>
                <w:lang w:eastAsia="en-GB"/>
              </w:rPr>
            </w:pPr>
            <w:r w:rsidRPr="0034029F">
              <w:rPr>
                <w:rFonts w:ascii="Arial" w:eastAsia="Times New Roman" w:hAnsi="Arial" w:cs="Arial"/>
                <w:b/>
                <w:bCs/>
                <w:color w:val="FFFFFF"/>
                <w:sz w:val="18"/>
                <w:szCs w:val="18"/>
                <w:lang w:eastAsia="en-GB"/>
              </w:rPr>
              <w:t xml:space="preserve">Patent </w:t>
            </w:r>
            <w:r>
              <w:rPr>
                <w:rFonts w:ascii="Arial" w:eastAsia="Times New Roman" w:hAnsi="Arial" w:cs="Arial"/>
                <w:b/>
                <w:bCs/>
                <w:color w:val="FFFFFF"/>
                <w:sz w:val="18"/>
                <w:szCs w:val="18"/>
                <w:lang w:eastAsia="en-GB"/>
              </w:rPr>
              <w:t>a</w:t>
            </w:r>
            <w:r w:rsidRPr="0034029F">
              <w:rPr>
                <w:rFonts w:ascii="Arial" w:eastAsia="Times New Roman" w:hAnsi="Arial" w:cs="Arial"/>
                <w:b/>
                <w:bCs/>
                <w:color w:val="FFFFFF"/>
                <w:sz w:val="18"/>
                <w:szCs w:val="18"/>
                <w:lang w:eastAsia="en-GB"/>
              </w:rPr>
              <w:t>ppl</w:t>
            </w:r>
            <w:r>
              <w:rPr>
                <w:rFonts w:ascii="Arial" w:eastAsia="Times New Roman" w:hAnsi="Arial" w:cs="Arial"/>
                <w:b/>
                <w:bCs/>
                <w:color w:val="FFFFFF"/>
                <w:sz w:val="18"/>
                <w:szCs w:val="18"/>
                <w:lang w:eastAsia="en-GB"/>
              </w:rPr>
              <w:t>.</w:t>
            </w:r>
            <w:r w:rsidRPr="0034029F">
              <w:rPr>
                <w:rFonts w:ascii="Arial" w:eastAsia="Times New Roman" w:hAnsi="Arial" w:cs="Arial"/>
                <w:b/>
                <w:bCs/>
                <w:color w:val="FFFFFF"/>
                <w:sz w:val="18"/>
                <w:szCs w:val="18"/>
                <w:lang w:eastAsia="en-GB"/>
              </w:rPr>
              <w:t xml:space="preserve"> </w:t>
            </w:r>
            <w:r>
              <w:rPr>
                <w:rFonts w:ascii="Arial" w:eastAsia="Times New Roman" w:hAnsi="Arial" w:cs="Arial"/>
                <w:b/>
                <w:bCs/>
                <w:color w:val="FFFFFF"/>
                <w:sz w:val="18"/>
                <w:szCs w:val="18"/>
                <w:lang w:eastAsia="en-GB"/>
              </w:rPr>
              <w:t>d</w:t>
            </w:r>
            <w:r w:rsidRPr="0034029F">
              <w:rPr>
                <w:rFonts w:ascii="Arial" w:eastAsia="Times New Roman" w:hAnsi="Arial" w:cs="Arial"/>
                <w:b/>
                <w:bCs/>
                <w:color w:val="FFFFFF"/>
                <w:sz w:val="18"/>
                <w:szCs w:val="18"/>
                <w:lang w:eastAsia="en-GB"/>
              </w:rPr>
              <w:t>ate</w:t>
            </w:r>
          </w:p>
        </w:tc>
        <w:tc>
          <w:tcPr>
            <w:tcW w:w="490" w:type="pct"/>
            <w:tcBorders>
              <w:top w:val="single" w:sz="4" w:space="0" w:color="CACAD9"/>
              <w:left w:val="nil"/>
              <w:bottom w:val="single" w:sz="4" w:space="0" w:color="CACAD9"/>
              <w:right w:val="single" w:sz="4" w:space="0" w:color="CACAD9"/>
            </w:tcBorders>
            <w:shd w:val="clear" w:color="FFFFFF" w:fill="5175B9"/>
            <w:noWrap/>
            <w:vAlign w:val="center"/>
            <w:hideMark/>
          </w:tcPr>
          <w:p w14:paraId="2273CEE7" w14:textId="77777777" w:rsidR="00BD154D" w:rsidRPr="0034029F" w:rsidRDefault="00BD154D" w:rsidP="00DF2591">
            <w:pPr>
              <w:spacing w:after="0" w:line="240" w:lineRule="auto"/>
              <w:jc w:val="center"/>
              <w:rPr>
                <w:rFonts w:ascii="Arial" w:eastAsia="Times New Roman" w:hAnsi="Arial" w:cs="Arial"/>
                <w:b/>
                <w:bCs/>
                <w:color w:val="FFFFFF"/>
                <w:sz w:val="18"/>
                <w:szCs w:val="18"/>
                <w:lang w:eastAsia="en-GB"/>
              </w:rPr>
            </w:pPr>
            <w:r w:rsidRPr="0035603C">
              <w:rPr>
                <w:rFonts w:ascii="Arial" w:eastAsia="Times New Roman" w:hAnsi="Arial" w:cs="Arial"/>
                <w:b/>
                <w:bCs/>
                <w:color w:val="FFFFFF"/>
                <w:sz w:val="18"/>
                <w:szCs w:val="18"/>
                <w:lang w:eastAsia="en-GB"/>
              </w:rPr>
              <w:t>Patent awarded</w:t>
            </w:r>
          </w:p>
        </w:tc>
      </w:tr>
      <w:tr w:rsidR="00BD154D" w:rsidRPr="0034029F" w14:paraId="3EACD451" w14:textId="77777777" w:rsidTr="00DF2591">
        <w:trPr>
          <w:trHeight w:val="517"/>
        </w:trPr>
        <w:tc>
          <w:tcPr>
            <w:tcW w:w="496" w:type="pct"/>
            <w:tcBorders>
              <w:top w:val="single" w:sz="4" w:space="0" w:color="CACAD9"/>
              <w:left w:val="single" w:sz="4" w:space="0" w:color="CAC9D9"/>
              <w:bottom w:val="single" w:sz="4" w:space="0" w:color="CAC9D9"/>
              <w:right w:val="single" w:sz="4" w:space="0" w:color="CAC9D9"/>
            </w:tcBorders>
            <w:shd w:val="clear" w:color="FFFFFF" w:fill="FFFFFF" w:themeFill="background1"/>
            <w:noWrap/>
            <w:vAlign w:val="center"/>
          </w:tcPr>
          <w:p w14:paraId="4379CFA4"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eastAsia="Times New Roman" w:hAnsiTheme="minorHAnsi" w:cstheme="minorHAnsi"/>
                <w:color w:val="000000"/>
                <w:sz w:val="18"/>
                <w:szCs w:val="18"/>
                <w:lang w:eastAsia="en-GB"/>
              </w:rPr>
              <w:t>671473</w:t>
            </w:r>
          </w:p>
        </w:tc>
        <w:tc>
          <w:tcPr>
            <w:tcW w:w="523" w:type="pct"/>
            <w:tcBorders>
              <w:top w:val="single" w:sz="4" w:space="0" w:color="CACAD9"/>
              <w:left w:val="nil"/>
              <w:bottom w:val="single" w:sz="4" w:space="0" w:color="CAC9D9"/>
              <w:right w:val="single" w:sz="4" w:space="0" w:color="CAC9D9"/>
            </w:tcBorders>
            <w:shd w:val="clear" w:color="FFFFFF" w:fill="FFFFFF" w:themeFill="background1"/>
            <w:noWrap/>
            <w:vAlign w:val="center"/>
          </w:tcPr>
          <w:p w14:paraId="331FADD5"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eastAsia="Times New Roman" w:hAnsiTheme="minorHAnsi" w:cstheme="minorHAnsi"/>
                <w:color w:val="000000"/>
                <w:sz w:val="18"/>
                <w:szCs w:val="18"/>
                <w:lang w:eastAsia="en-GB"/>
              </w:rPr>
              <w:t>D2Service</w:t>
            </w:r>
          </w:p>
        </w:tc>
        <w:tc>
          <w:tcPr>
            <w:tcW w:w="2144" w:type="pct"/>
            <w:tcBorders>
              <w:top w:val="single" w:sz="4" w:space="0" w:color="CACAD9"/>
              <w:left w:val="nil"/>
              <w:bottom w:val="single" w:sz="4" w:space="0" w:color="CAC9D9"/>
              <w:right w:val="single" w:sz="4" w:space="0" w:color="CAC9D9"/>
            </w:tcBorders>
            <w:shd w:val="clear" w:color="FFFFFF" w:fill="FFFFFF" w:themeFill="background1"/>
            <w:noWrap/>
            <w:vAlign w:val="center"/>
          </w:tcPr>
          <w:p w14:paraId="615C8364"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eastAsia="Times New Roman" w:hAnsiTheme="minorHAnsi" w:cstheme="minorHAnsi"/>
                <w:color w:val="000000"/>
                <w:sz w:val="18"/>
                <w:szCs w:val="18"/>
                <w:lang w:eastAsia="en-GB"/>
              </w:rPr>
              <w:t>Heat Exchanger and Method for Manufacturing a Heat Exchanger Core with Manifold</w:t>
            </w:r>
          </w:p>
        </w:tc>
        <w:tc>
          <w:tcPr>
            <w:tcW w:w="806" w:type="pct"/>
            <w:tcBorders>
              <w:top w:val="single" w:sz="4" w:space="0" w:color="CACAD9"/>
              <w:left w:val="nil"/>
              <w:bottom w:val="single" w:sz="4" w:space="0" w:color="CAC9D9"/>
              <w:right w:val="single" w:sz="4" w:space="0" w:color="CAC9D9"/>
            </w:tcBorders>
            <w:shd w:val="clear" w:color="FFFFFF" w:fill="FFFFFF" w:themeFill="background1"/>
            <w:noWrap/>
            <w:vAlign w:val="center"/>
          </w:tcPr>
          <w:p w14:paraId="35298A51" w14:textId="77777777" w:rsidR="00BD154D" w:rsidRPr="005D1AA3" w:rsidRDefault="00BD154D" w:rsidP="00DF2591">
            <w:pPr>
              <w:spacing w:after="0" w:line="240" w:lineRule="auto"/>
              <w:jc w:val="center"/>
              <w:rPr>
                <w:rFonts w:asciiTheme="minorHAnsi" w:eastAsia="Times New Roman" w:hAnsiTheme="minorHAnsi" w:cstheme="minorHAnsi"/>
                <w:color w:val="000000"/>
                <w:sz w:val="16"/>
                <w:szCs w:val="18"/>
                <w:lang w:eastAsia="en-GB"/>
              </w:rPr>
            </w:pPr>
            <w:r w:rsidRPr="005D1AA3">
              <w:rPr>
                <w:rFonts w:asciiTheme="minorHAnsi" w:eastAsia="Times New Roman" w:hAnsiTheme="minorHAnsi" w:cstheme="minorHAnsi"/>
                <w:color w:val="000000"/>
                <w:sz w:val="16"/>
                <w:szCs w:val="18"/>
                <w:lang w:eastAsia="en-GB"/>
              </w:rPr>
              <w:t>Bosal Emission Control Systems Nv</w:t>
            </w:r>
          </w:p>
        </w:tc>
        <w:tc>
          <w:tcPr>
            <w:tcW w:w="540" w:type="pct"/>
            <w:tcBorders>
              <w:top w:val="single" w:sz="4" w:space="0" w:color="CACAD9"/>
              <w:left w:val="nil"/>
              <w:bottom w:val="single" w:sz="4" w:space="0" w:color="CAC9D9"/>
              <w:right w:val="single" w:sz="4" w:space="0" w:color="CAC9D9"/>
            </w:tcBorders>
            <w:shd w:val="clear" w:color="FFFFFF" w:fill="FFFFFF" w:themeFill="background1"/>
            <w:noWrap/>
            <w:vAlign w:val="center"/>
          </w:tcPr>
          <w:p w14:paraId="15AC09FD"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eastAsia="Times New Roman" w:hAnsiTheme="minorHAnsi" w:cstheme="minorHAnsi"/>
                <w:color w:val="000000"/>
                <w:sz w:val="18"/>
                <w:szCs w:val="18"/>
                <w:lang w:eastAsia="en-GB"/>
              </w:rPr>
              <w:t>19/04/2018</w:t>
            </w:r>
          </w:p>
        </w:tc>
        <w:tc>
          <w:tcPr>
            <w:tcW w:w="490" w:type="pct"/>
            <w:tcBorders>
              <w:top w:val="single" w:sz="4" w:space="0" w:color="CACAD9"/>
              <w:left w:val="nil"/>
              <w:bottom w:val="single" w:sz="4" w:space="0" w:color="CAC9D9"/>
              <w:right w:val="single" w:sz="4" w:space="0" w:color="CAC9D9"/>
            </w:tcBorders>
            <w:shd w:val="clear" w:color="FFFFFF" w:fill="FFFFFF" w:themeFill="background1"/>
            <w:noWrap/>
            <w:vAlign w:val="center"/>
          </w:tcPr>
          <w:p w14:paraId="0407EA1C"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Pr>
                <w:rFonts w:asciiTheme="minorHAnsi" w:eastAsia="Times New Roman" w:hAnsiTheme="minorHAnsi" w:cstheme="minorHAnsi"/>
                <w:color w:val="000000"/>
                <w:sz w:val="18"/>
                <w:szCs w:val="18"/>
                <w:lang w:eastAsia="en-GB"/>
              </w:rPr>
              <w:t>YES</w:t>
            </w:r>
          </w:p>
        </w:tc>
      </w:tr>
      <w:tr w:rsidR="00BD154D" w:rsidRPr="0034029F" w14:paraId="1CCF21F1" w14:textId="77777777" w:rsidTr="00DF2591">
        <w:trPr>
          <w:trHeight w:val="517"/>
        </w:trPr>
        <w:tc>
          <w:tcPr>
            <w:tcW w:w="496" w:type="pct"/>
            <w:tcBorders>
              <w:top w:val="single" w:sz="4" w:space="0" w:color="CAC9D9"/>
              <w:left w:val="single" w:sz="4" w:space="0" w:color="CAC9D9"/>
              <w:bottom w:val="single" w:sz="4" w:space="0" w:color="CAC9D9"/>
              <w:right w:val="single" w:sz="4" w:space="0" w:color="CAC9D9"/>
            </w:tcBorders>
            <w:shd w:val="clear" w:color="auto" w:fill="D9D9D9" w:themeFill="background1" w:themeFillShade="D9"/>
            <w:noWrap/>
            <w:vAlign w:val="center"/>
            <w:hideMark/>
          </w:tcPr>
          <w:p w14:paraId="0759FE59"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eastAsia="Times New Roman" w:hAnsiTheme="minorHAnsi" w:cstheme="minorHAnsi"/>
                <w:color w:val="000000"/>
                <w:sz w:val="18"/>
                <w:szCs w:val="18"/>
                <w:lang w:eastAsia="en-GB"/>
              </w:rPr>
              <w:t>671403</w:t>
            </w:r>
          </w:p>
        </w:tc>
        <w:tc>
          <w:tcPr>
            <w:tcW w:w="523" w:type="pct"/>
            <w:tcBorders>
              <w:top w:val="single" w:sz="4" w:space="0" w:color="CAC9D9"/>
              <w:left w:val="nil"/>
              <w:bottom w:val="single" w:sz="4" w:space="0" w:color="CAC9D9"/>
              <w:right w:val="single" w:sz="4" w:space="0" w:color="CAC9D9"/>
            </w:tcBorders>
            <w:shd w:val="clear" w:color="auto" w:fill="D9D9D9" w:themeFill="background1" w:themeFillShade="D9"/>
            <w:noWrap/>
            <w:vAlign w:val="center"/>
            <w:hideMark/>
          </w:tcPr>
          <w:p w14:paraId="227F446C"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eastAsia="Times New Roman" w:hAnsiTheme="minorHAnsi" w:cstheme="minorHAnsi"/>
                <w:color w:val="000000"/>
                <w:sz w:val="18"/>
                <w:szCs w:val="18"/>
                <w:lang w:eastAsia="en-GB"/>
              </w:rPr>
              <w:t>INNO-SOFC</w:t>
            </w:r>
          </w:p>
        </w:tc>
        <w:tc>
          <w:tcPr>
            <w:tcW w:w="2144" w:type="pct"/>
            <w:tcBorders>
              <w:top w:val="single" w:sz="4" w:space="0" w:color="CAC9D9"/>
              <w:left w:val="nil"/>
              <w:bottom w:val="single" w:sz="4" w:space="0" w:color="CAC9D9"/>
              <w:right w:val="single" w:sz="4" w:space="0" w:color="CAC9D9"/>
            </w:tcBorders>
            <w:shd w:val="clear" w:color="auto" w:fill="D9D9D9" w:themeFill="background1" w:themeFillShade="D9"/>
            <w:noWrap/>
            <w:vAlign w:val="center"/>
            <w:hideMark/>
          </w:tcPr>
          <w:p w14:paraId="07709D88"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eastAsia="Times New Roman" w:hAnsiTheme="minorHAnsi" w:cstheme="minorHAnsi"/>
                <w:color w:val="000000"/>
                <w:sz w:val="18"/>
                <w:szCs w:val="18"/>
                <w:lang w:eastAsia="en-GB"/>
              </w:rPr>
              <w:t>Protection arrangement and method of solid oxide cells</w:t>
            </w:r>
          </w:p>
        </w:tc>
        <w:tc>
          <w:tcPr>
            <w:tcW w:w="806" w:type="pct"/>
            <w:tcBorders>
              <w:top w:val="single" w:sz="4" w:space="0" w:color="CAC9D9"/>
              <w:left w:val="nil"/>
              <w:bottom w:val="single" w:sz="4" w:space="0" w:color="CAC9D9"/>
              <w:right w:val="single" w:sz="4" w:space="0" w:color="CAC9D9"/>
            </w:tcBorders>
            <w:shd w:val="clear" w:color="auto" w:fill="D9D9D9" w:themeFill="background1" w:themeFillShade="D9"/>
            <w:noWrap/>
            <w:vAlign w:val="center"/>
            <w:hideMark/>
          </w:tcPr>
          <w:p w14:paraId="06582A06" w14:textId="77777777" w:rsidR="00BD154D" w:rsidRPr="005D1AA3" w:rsidRDefault="00BD154D" w:rsidP="00DF2591">
            <w:pPr>
              <w:spacing w:after="0" w:line="240" w:lineRule="auto"/>
              <w:jc w:val="center"/>
              <w:rPr>
                <w:rFonts w:asciiTheme="minorHAnsi" w:eastAsia="Times New Roman" w:hAnsiTheme="minorHAnsi" w:cstheme="minorHAnsi"/>
                <w:color w:val="000000"/>
                <w:sz w:val="16"/>
                <w:szCs w:val="18"/>
                <w:lang w:eastAsia="en-GB"/>
              </w:rPr>
            </w:pPr>
            <w:r w:rsidRPr="005D1AA3">
              <w:rPr>
                <w:rFonts w:asciiTheme="minorHAnsi" w:eastAsia="Times New Roman" w:hAnsiTheme="minorHAnsi" w:cstheme="minorHAnsi"/>
                <w:color w:val="000000"/>
                <w:sz w:val="16"/>
                <w:szCs w:val="18"/>
                <w:lang w:eastAsia="en-GB"/>
              </w:rPr>
              <w:t>Elcogen Oy</w:t>
            </w:r>
          </w:p>
        </w:tc>
        <w:tc>
          <w:tcPr>
            <w:tcW w:w="540" w:type="pct"/>
            <w:tcBorders>
              <w:top w:val="single" w:sz="4" w:space="0" w:color="CAC9D9"/>
              <w:left w:val="nil"/>
              <w:bottom w:val="single" w:sz="4" w:space="0" w:color="CAC9D9"/>
              <w:right w:val="single" w:sz="4" w:space="0" w:color="CAC9D9"/>
            </w:tcBorders>
            <w:shd w:val="clear" w:color="auto" w:fill="D9D9D9" w:themeFill="background1" w:themeFillShade="D9"/>
            <w:noWrap/>
            <w:vAlign w:val="center"/>
            <w:hideMark/>
          </w:tcPr>
          <w:p w14:paraId="7F50E3D2"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eastAsia="Times New Roman" w:hAnsiTheme="minorHAnsi" w:cstheme="minorHAnsi"/>
                <w:color w:val="000000"/>
                <w:sz w:val="18"/>
                <w:szCs w:val="18"/>
                <w:lang w:eastAsia="en-GB"/>
              </w:rPr>
              <w:t>14/03/2018</w:t>
            </w:r>
          </w:p>
        </w:tc>
        <w:tc>
          <w:tcPr>
            <w:tcW w:w="490" w:type="pct"/>
            <w:tcBorders>
              <w:top w:val="single" w:sz="4" w:space="0" w:color="CAC9D9"/>
              <w:left w:val="nil"/>
              <w:bottom w:val="single" w:sz="4" w:space="0" w:color="CAC9D9"/>
              <w:right w:val="single" w:sz="4" w:space="0" w:color="CAC9D9"/>
            </w:tcBorders>
            <w:shd w:val="clear" w:color="auto" w:fill="D9D9D9" w:themeFill="background1" w:themeFillShade="D9"/>
            <w:noWrap/>
            <w:vAlign w:val="center"/>
            <w:hideMark/>
          </w:tcPr>
          <w:p w14:paraId="5D40DF9B"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Pr>
                <w:rFonts w:asciiTheme="minorHAnsi" w:eastAsia="Times New Roman" w:hAnsiTheme="minorHAnsi" w:cstheme="minorHAnsi"/>
                <w:color w:val="000000"/>
                <w:sz w:val="18"/>
                <w:szCs w:val="18"/>
                <w:lang w:eastAsia="en-GB"/>
              </w:rPr>
              <w:t>NO</w:t>
            </w:r>
          </w:p>
        </w:tc>
      </w:tr>
      <w:tr w:rsidR="00BD154D" w:rsidRPr="00C73BDC" w14:paraId="00E31274" w14:textId="77777777" w:rsidTr="00DF2591">
        <w:trPr>
          <w:trHeight w:val="517"/>
        </w:trPr>
        <w:tc>
          <w:tcPr>
            <w:tcW w:w="496" w:type="pct"/>
            <w:tcBorders>
              <w:top w:val="single" w:sz="4" w:space="0" w:color="CAC9D9"/>
              <w:left w:val="single" w:sz="4" w:space="0" w:color="CAC9D9"/>
              <w:bottom w:val="single" w:sz="4" w:space="0" w:color="CAC9D9"/>
              <w:right w:val="single" w:sz="4" w:space="0" w:color="CAC9D9"/>
            </w:tcBorders>
            <w:shd w:val="clear" w:color="auto" w:fill="D9D9D9" w:themeFill="background1" w:themeFillShade="D9"/>
            <w:noWrap/>
            <w:vAlign w:val="center"/>
            <w:hideMark/>
          </w:tcPr>
          <w:p w14:paraId="5155CBDA" w14:textId="77777777" w:rsidR="00BD154D" w:rsidRPr="00C73BDC"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C73BDC">
              <w:rPr>
                <w:rFonts w:asciiTheme="minorHAnsi" w:eastAsia="Times New Roman" w:hAnsiTheme="minorHAnsi" w:cstheme="minorHAnsi"/>
                <w:color w:val="000000"/>
                <w:sz w:val="18"/>
                <w:szCs w:val="18"/>
                <w:lang w:eastAsia="en-GB"/>
              </w:rPr>
              <w:t>671403</w:t>
            </w:r>
          </w:p>
        </w:tc>
        <w:tc>
          <w:tcPr>
            <w:tcW w:w="523" w:type="pct"/>
            <w:tcBorders>
              <w:top w:val="single" w:sz="4" w:space="0" w:color="CAC9D9"/>
              <w:left w:val="nil"/>
              <w:bottom w:val="single" w:sz="4" w:space="0" w:color="CAC9D9"/>
              <w:right w:val="single" w:sz="4" w:space="0" w:color="CAC9D9"/>
            </w:tcBorders>
            <w:shd w:val="clear" w:color="auto" w:fill="D9D9D9" w:themeFill="background1" w:themeFillShade="D9"/>
            <w:noWrap/>
            <w:vAlign w:val="center"/>
            <w:hideMark/>
          </w:tcPr>
          <w:p w14:paraId="637A57F7" w14:textId="77777777" w:rsidR="00BD154D" w:rsidRPr="00C73BDC"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C73BDC">
              <w:rPr>
                <w:rFonts w:asciiTheme="minorHAnsi" w:eastAsia="Times New Roman" w:hAnsiTheme="minorHAnsi" w:cstheme="minorHAnsi"/>
                <w:color w:val="000000"/>
                <w:sz w:val="18"/>
                <w:szCs w:val="18"/>
                <w:lang w:eastAsia="en-GB"/>
              </w:rPr>
              <w:t>INNO-SOFC</w:t>
            </w:r>
          </w:p>
        </w:tc>
        <w:tc>
          <w:tcPr>
            <w:tcW w:w="2144" w:type="pct"/>
            <w:tcBorders>
              <w:top w:val="single" w:sz="4" w:space="0" w:color="CAC9D9"/>
              <w:left w:val="nil"/>
              <w:bottom w:val="single" w:sz="4" w:space="0" w:color="CAC9D9"/>
              <w:right w:val="single" w:sz="4" w:space="0" w:color="CAC9D9"/>
            </w:tcBorders>
            <w:shd w:val="clear" w:color="auto" w:fill="D9D9D9" w:themeFill="background1" w:themeFillShade="D9"/>
            <w:noWrap/>
            <w:vAlign w:val="center"/>
            <w:hideMark/>
          </w:tcPr>
          <w:p w14:paraId="678D7C8A" w14:textId="77777777" w:rsidR="00BD154D" w:rsidRPr="00C73BDC"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C73BDC">
              <w:rPr>
                <w:rFonts w:asciiTheme="minorHAnsi" w:eastAsia="Times New Roman" w:hAnsiTheme="minorHAnsi" w:cstheme="minorHAnsi"/>
                <w:color w:val="000000"/>
                <w:sz w:val="18"/>
                <w:szCs w:val="18"/>
                <w:lang w:eastAsia="en-GB"/>
              </w:rPr>
              <w:t>Sealing Arrangement and Method of Solid Oxide Cell Stacks</w:t>
            </w:r>
          </w:p>
        </w:tc>
        <w:tc>
          <w:tcPr>
            <w:tcW w:w="806" w:type="pct"/>
            <w:tcBorders>
              <w:top w:val="single" w:sz="4" w:space="0" w:color="CAC9D9"/>
              <w:left w:val="nil"/>
              <w:bottom w:val="single" w:sz="4" w:space="0" w:color="CAC9D9"/>
              <w:right w:val="single" w:sz="4" w:space="0" w:color="CAC9D9"/>
            </w:tcBorders>
            <w:shd w:val="clear" w:color="auto" w:fill="D9D9D9" w:themeFill="background1" w:themeFillShade="D9"/>
            <w:noWrap/>
            <w:vAlign w:val="center"/>
            <w:hideMark/>
          </w:tcPr>
          <w:p w14:paraId="39EFA3DB" w14:textId="77777777" w:rsidR="00BD154D" w:rsidRPr="00C73BDC" w:rsidRDefault="00BD154D" w:rsidP="00DF2591">
            <w:pPr>
              <w:spacing w:after="0" w:line="240" w:lineRule="auto"/>
              <w:jc w:val="center"/>
              <w:rPr>
                <w:rFonts w:asciiTheme="minorHAnsi" w:eastAsia="Times New Roman" w:hAnsiTheme="minorHAnsi" w:cstheme="minorHAnsi"/>
                <w:color w:val="000000"/>
                <w:sz w:val="16"/>
                <w:szCs w:val="18"/>
                <w:lang w:eastAsia="en-GB"/>
              </w:rPr>
            </w:pPr>
            <w:r w:rsidRPr="00C73BDC">
              <w:rPr>
                <w:rFonts w:asciiTheme="minorHAnsi" w:eastAsia="Times New Roman" w:hAnsiTheme="minorHAnsi" w:cstheme="minorHAnsi"/>
                <w:color w:val="000000"/>
                <w:sz w:val="16"/>
                <w:szCs w:val="18"/>
                <w:lang w:eastAsia="en-GB"/>
              </w:rPr>
              <w:t>Elcogen Oy</w:t>
            </w:r>
          </w:p>
        </w:tc>
        <w:tc>
          <w:tcPr>
            <w:tcW w:w="540" w:type="pct"/>
            <w:tcBorders>
              <w:top w:val="single" w:sz="4" w:space="0" w:color="CAC9D9"/>
              <w:left w:val="nil"/>
              <w:bottom w:val="single" w:sz="4" w:space="0" w:color="CAC9D9"/>
              <w:right w:val="single" w:sz="4" w:space="0" w:color="CAC9D9"/>
            </w:tcBorders>
            <w:shd w:val="clear" w:color="auto" w:fill="D9D9D9" w:themeFill="background1" w:themeFillShade="D9"/>
            <w:noWrap/>
            <w:vAlign w:val="center"/>
            <w:hideMark/>
          </w:tcPr>
          <w:p w14:paraId="396DEDB6" w14:textId="77777777" w:rsidR="00BD154D" w:rsidRPr="00C73BDC"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C73BDC">
              <w:rPr>
                <w:rFonts w:asciiTheme="minorHAnsi" w:eastAsia="Times New Roman" w:hAnsiTheme="minorHAnsi" w:cstheme="minorHAnsi"/>
                <w:color w:val="000000"/>
                <w:sz w:val="18"/>
                <w:szCs w:val="18"/>
                <w:lang w:eastAsia="en-GB"/>
              </w:rPr>
              <w:t>17/07/2014</w:t>
            </w:r>
          </w:p>
        </w:tc>
        <w:tc>
          <w:tcPr>
            <w:tcW w:w="490" w:type="pct"/>
            <w:tcBorders>
              <w:top w:val="single" w:sz="4" w:space="0" w:color="CAC9D9"/>
              <w:left w:val="nil"/>
              <w:bottom w:val="single" w:sz="4" w:space="0" w:color="CAC9D9"/>
              <w:right w:val="single" w:sz="4" w:space="0" w:color="CAC9D9"/>
            </w:tcBorders>
            <w:shd w:val="clear" w:color="auto" w:fill="D9D9D9" w:themeFill="background1" w:themeFillShade="D9"/>
            <w:noWrap/>
            <w:vAlign w:val="center"/>
            <w:hideMark/>
          </w:tcPr>
          <w:p w14:paraId="49454133" w14:textId="77777777" w:rsidR="00BD154D" w:rsidRPr="00C73BDC"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99196F">
              <w:rPr>
                <w:rFonts w:asciiTheme="minorHAnsi" w:eastAsia="Times New Roman" w:hAnsiTheme="minorHAnsi" w:cstheme="minorHAnsi"/>
                <w:color w:val="000000"/>
                <w:sz w:val="18"/>
                <w:szCs w:val="18"/>
                <w:lang w:eastAsia="en-GB"/>
              </w:rPr>
              <w:t>YES</w:t>
            </w:r>
          </w:p>
        </w:tc>
      </w:tr>
      <w:tr w:rsidR="00BD154D" w:rsidRPr="0034029F" w14:paraId="1D07FA77" w14:textId="77777777" w:rsidTr="00DF2591">
        <w:trPr>
          <w:trHeight w:val="517"/>
        </w:trPr>
        <w:tc>
          <w:tcPr>
            <w:tcW w:w="496" w:type="pct"/>
            <w:tcBorders>
              <w:top w:val="nil"/>
              <w:left w:val="single" w:sz="4" w:space="0" w:color="CAC9D9"/>
              <w:bottom w:val="single" w:sz="4" w:space="0" w:color="CAC9D9"/>
              <w:right w:val="single" w:sz="4" w:space="0" w:color="CAC9D9"/>
            </w:tcBorders>
            <w:shd w:val="clear" w:color="FFFFFF" w:fill="FFFFFF"/>
            <w:noWrap/>
            <w:vAlign w:val="center"/>
            <w:hideMark/>
          </w:tcPr>
          <w:p w14:paraId="2247A636"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eastAsia="Times New Roman" w:hAnsiTheme="minorHAnsi" w:cstheme="minorHAnsi"/>
                <w:color w:val="000000"/>
                <w:sz w:val="18"/>
                <w:szCs w:val="18"/>
                <w:lang w:eastAsia="en-GB"/>
              </w:rPr>
              <w:t>700101</w:t>
            </w:r>
          </w:p>
        </w:tc>
        <w:tc>
          <w:tcPr>
            <w:tcW w:w="523" w:type="pct"/>
            <w:tcBorders>
              <w:top w:val="nil"/>
              <w:left w:val="nil"/>
              <w:bottom w:val="single" w:sz="4" w:space="0" w:color="CAC9D9"/>
              <w:right w:val="single" w:sz="4" w:space="0" w:color="CAC9D9"/>
            </w:tcBorders>
            <w:shd w:val="clear" w:color="FFFFFF" w:fill="FFFFFF"/>
            <w:noWrap/>
            <w:vAlign w:val="center"/>
            <w:hideMark/>
          </w:tcPr>
          <w:p w14:paraId="31C036B1"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eastAsia="Times New Roman" w:hAnsiTheme="minorHAnsi" w:cstheme="minorHAnsi"/>
                <w:color w:val="000000"/>
                <w:sz w:val="18"/>
                <w:szCs w:val="18"/>
                <w:lang w:eastAsia="en-GB"/>
              </w:rPr>
              <w:t>Giantleap</w:t>
            </w:r>
          </w:p>
        </w:tc>
        <w:tc>
          <w:tcPr>
            <w:tcW w:w="2144" w:type="pct"/>
            <w:tcBorders>
              <w:top w:val="nil"/>
              <w:left w:val="nil"/>
              <w:bottom w:val="single" w:sz="4" w:space="0" w:color="CAC9D9"/>
              <w:right w:val="single" w:sz="4" w:space="0" w:color="CAC9D9"/>
            </w:tcBorders>
            <w:shd w:val="clear" w:color="FFFFFF" w:fill="FFFFFF"/>
            <w:noWrap/>
            <w:vAlign w:val="center"/>
            <w:hideMark/>
          </w:tcPr>
          <w:p w14:paraId="35FEF7CF" w14:textId="77777777" w:rsidR="00BD154D" w:rsidRPr="0080542E" w:rsidRDefault="00BD154D" w:rsidP="00DF2591">
            <w:pPr>
              <w:spacing w:after="0" w:line="240" w:lineRule="auto"/>
              <w:jc w:val="center"/>
              <w:rPr>
                <w:rFonts w:asciiTheme="minorHAnsi" w:eastAsia="Times New Roman" w:hAnsiTheme="minorHAnsi" w:cstheme="minorHAnsi"/>
                <w:color w:val="000000"/>
                <w:sz w:val="18"/>
                <w:szCs w:val="18"/>
                <w:lang w:val="nl-BE" w:eastAsia="en-GB"/>
              </w:rPr>
            </w:pPr>
            <w:r w:rsidRPr="0080542E">
              <w:rPr>
                <w:rFonts w:asciiTheme="minorHAnsi" w:eastAsia="Times New Roman" w:hAnsiTheme="minorHAnsi" w:cstheme="minorHAnsi"/>
                <w:color w:val="000000"/>
                <w:sz w:val="18"/>
                <w:szCs w:val="18"/>
                <w:lang w:val="nl-BE" w:eastAsia="en-GB"/>
              </w:rPr>
              <w:t>Inrichting voor het koppelen van een trekkend voertuig met een te trekken voertuig</w:t>
            </w:r>
          </w:p>
        </w:tc>
        <w:tc>
          <w:tcPr>
            <w:tcW w:w="806" w:type="pct"/>
            <w:tcBorders>
              <w:top w:val="nil"/>
              <w:left w:val="nil"/>
              <w:bottom w:val="single" w:sz="4" w:space="0" w:color="CAC9D9"/>
              <w:right w:val="single" w:sz="4" w:space="0" w:color="CAC9D9"/>
            </w:tcBorders>
            <w:shd w:val="clear" w:color="FFFFFF" w:fill="FFFFFF"/>
            <w:noWrap/>
            <w:vAlign w:val="center"/>
            <w:hideMark/>
          </w:tcPr>
          <w:p w14:paraId="117597AE" w14:textId="77777777" w:rsidR="00BD154D" w:rsidRPr="005D1AA3" w:rsidRDefault="00BD154D" w:rsidP="00DF2591">
            <w:pPr>
              <w:spacing w:after="0" w:line="240" w:lineRule="auto"/>
              <w:jc w:val="center"/>
              <w:rPr>
                <w:rFonts w:asciiTheme="minorHAnsi" w:eastAsia="Times New Roman" w:hAnsiTheme="minorHAnsi" w:cstheme="minorHAnsi"/>
                <w:color w:val="000000"/>
                <w:sz w:val="16"/>
                <w:szCs w:val="18"/>
                <w:lang w:eastAsia="en-GB"/>
              </w:rPr>
            </w:pPr>
            <w:r w:rsidRPr="005D1AA3">
              <w:rPr>
                <w:rFonts w:asciiTheme="minorHAnsi" w:eastAsia="Times New Roman" w:hAnsiTheme="minorHAnsi" w:cstheme="minorHAnsi"/>
                <w:color w:val="000000"/>
                <w:sz w:val="16"/>
                <w:szCs w:val="18"/>
                <w:lang w:eastAsia="en-GB"/>
              </w:rPr>
              <w:t>V</w:t>
            </w:r>
            <w:r>
              <w:rPr>
                <w:rFonts w:asciiTheme="minorHAnsi" w:eastAsia="Times New Roman" w:hAnsiTheme="minorHAnsi" w:cstheme="minorHAnsi"/>
                <w:color w:val="000000"/>
                <w:sz w:val="16"/>
                <w:szCs w:val="18"/>
                <w:lang w:eastAsia="en-GB"/>
              </w:rPr>
              <w:t>DL</w:t>
            </w:r>
            <w:r w:rsidRPr="005D1AA3">
              <w:rPr>
                <w:rFonts w:asciiTheme="minorHAnsi" w:eastAsia="Times New Roman" w:hAnsiTheme="minorHAnsi" w:cstheme="minorHAnsi"/>
                <w:color w:val="000000"/>
                <w:sz w:val="16"/>
                <w:szCs w:val="18"/>
                <w:lang w:eastAsia="en-GB"/>
              </w:rPr>
              <w:t xml:space="preserve"> Enabling Transport Solutions B</w:t>
            </w:r>
            <w:r>
              <w:rPr>
                <w:rFonts w:asciiTheme="minorHAnsi" w:eastAsia="Times New Roman" w:hAnsiTheme="minorHAnsi" w:cstheme="minorHAnsi"/>
                <w:color w:val="000000"/>
                <w:sz w:val="16"/>
                <w:szCs w:val="18"/>
                <w:lang w:eastAsia="en-GB"/>
              </w:rPr>
              <w:t>V</w:t>
            </w:r>
          </w:p>
        </w:tc>
        <w:tc>
          <w:tcPr>
            <w:tcW w:w="540" w:type="pct"/>
            <w:tcBorders>
              <w:top w:val="nil"/>
              <w:left w:val="nil"/>
              <w:bottom w:val="single" w:sz="4" w:space="0" w:color="CAC9D9"/>
              <w:right w:val="single" w:sz="4" w:space="0" w:color="CAC9D9"/>
            </w:tcBorders>
            <w:shd w:val="clear" w:color="FFFFFF" w:fill="FFFFFF"/>
            <w:noWrap/>
            <w:vAlign w:val="center"/>
            <w:hideMark/>
          </w:tcPr>
          <w:p w14:paraId="6748B757"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eastAsia="Times New Roman" w:hAnsiTheme="minorHAnsi" w:cstheme="minorHAnsi"/>
                <w:color w:val="000000"/>
                <w:sz w:val="18"/>
                <w:szCs w:val="18"/>
                <w:lang w:eastAsia="en-GB"/>
              </w:rPr>
              <w:t>06/02/2018</w:t>
            </w:r>
          </w:p>
        </w:tc>
        <w:tc>
          <w:tcPr>
            <w:tcW w:w="490" w:type="pct"/>
            <w:tcBorders>
              <w:top w:val="nil"/>
              <w:left w:val="nil"/>
              <w:bottom w:val="single" w:sz="4" w:space="0" w:color="CAC9D9"/>
              <w:right w:val="single" w:sz="4" w:space="0" w:color="CAC9D9"/>
            </w:tcBorders>
            <w:shd w:val="clear" w:color="FFFFFF" w:fill="FFFFFF"/>
            <w:noWrap/>
            <w:vAlign w:val="center"/>
            <w:hideMark/>
          </w:tcPr>
          <w:p w14:paraId="6BAE693B"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99196F">
              <w:rPr>
                <w:rFonts w:asciiTheme="minorHAnsi" w:eastAsia="Times New Roman" w:hAnsiTheme="minorHAnsi" w:cstheme="minorHAnsi"/>
                <w:color w:val="000000"/>
                <w:sz w:val="18"/>
                <w:szCs w:val="18"/>
                <w:lang w:eastAsia="en-GB"/>
              </w:rPr>
              <w:t>YES</w:t>
            </w:r>
          </w:p>
        </w:tc>
      </w:tr>
      <w:tr w:rsidR="00BD154D" w:rsidRPr="0034029F" w14:paraId="1473FD31" w14:textId="77777777" w:rsidTr="00DF2591">
        <w:trPr>
          <w:trHeight w:val="517"/>
        </w:trPr>
        <w:tc>
          <w:tcPr>
            <w:tcW w:w="496" w:type="pct"/>
            <w:tcBorders>
              <w:top w:val="single" w:sz="4" w:space="0" w:color="CAC9D9"/>
              <w:left w:val="single" w:sz="4" w:space="0" w:color="CAC9D9"/>
              <w:bottom w:val="single" w:sz="4" w:space="0" w:color="CAC9D9"/>
              <w:right w:val="single" w:sz="4" w:space="0" w:color="CAC9D9"/>
            </w:tcBorders>
            <w:shd w:val="clear" w:color="auto" w:fill="D9D9D9" w:themeFill="background1" w:themeFillShade="D9"/>
            <w:noWrap/>
            <w:vAlign w:val="center"/>
            <w:hideMark/>
          </w:tcPr>
          <w:p w14:paraId="56206EC9"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eastAsia="Times New Roman" w:hAnsiTheme="minorHAnsi" w:cstheme="minorHAnsi"/>
                <w:color w:val="000000"/>
                <w:sz w:val="18"/>
                <w:szCs w:val="18"/>
                <w:lang w:eastAsia="en-GB"/>
              </w:rPr>
              <w:t>700667</w:t>
            </w:r>
          </w:p>
        </w:tc>
        <w:tc>
          <w:tcPr>
            <w:tcW w:w="523" w:type="pct"/>
            <w:tcBorders>
              <w:top w:val="single" w:sz="4" w:space="0" w:color="CAC9D9"/>
              <w:left w:val="nil"/>
              <w:bottom w:val="single" w:sz="4" w:space="0" w:color="CAC9D9"/>
              <w:right w:val="single" w:sz="4" w:space="0" w:color="CAC9D9"/>
            </w:tcBorders>
            <w:shd w:val="clear" w:color="auto" w:fill="D9D9D9" w:themeFill="background1" w:themeFillShade="D9"/>
            <w:noWrap/>
            <w:vAlign w:val="center"/>
            <w:hideMark/>
          </w:tcPr>
          <w:p w14:paraId="354700C4"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eastAsia="Times New Roman" w:hAnsiTheme="minorHAnsi" w:cstheme="minorHAnsi"/>
                <w:color w:val="000000"/>
                <w:sz w:val="18"/>
                <w:szCs w:val="18"/>
                <w:lang w:eastAsia="en-GB"/>
              </w:rPr>
              <w:t>SOSLeM</w:t>
            </w:r>
          </w:p>
        </w:tc>
        <w:tc>
          <w:tcPr>
            <w:tcW w:w="2144" w:type="pct"/>
            <w:tcBorders>
              <w:top w:val="single" w:sz="4" w:space="0" w:color="CAC9D9"/>
              <w:left w:val="nil"/>
              <w:bottom w:val="single" w:sz="4" w:space="0" w:color="CAC9D9"/>
              <w:right w:val="single" w:sz="4" w:space="0" w:color="CAC9D9"/>
            </w:tcBorders>
            <w:shd w:val="clear" w:color="auto" w:fill="D9D9D9" w:themeFill="background1" w:themeFillShade="D9"/>
            <w:noWrap/>
            <w:vAlign w:val="center"/>
            <w:hideMark/>
          </w:tcPr>
          <w:p w14:paraId="7FF540AE"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eastAsia="Times New Roman" w:hAnsiTheme="minorHAnsi" w:cstheme="minorHAnsi"/>
                <w:color w:val="000000"/>
                <w:sz w:val="18"/>
                <w:szCs w:val="18"/>
                <w:lang w:eastAsia="en-GB"/>
              </w:rPr>
              <w:t>Method for Determining an Operating State of an Electrochemical System</w:t>
            </w:r>
          </w:p>
        </w:tc>
        <w:tc>
          <w:tcPr>
            <w:tcW w:w="806" w:type="pct"/>
            <w:tcBorders>
              <w:top w:val="single" w:sz="4" w:space="0" w:color="CAC9D9"/>
              <w:left w:val="nil"/>
              <w:bottom w:val="single" w:sz="4" w:space="0" w:color="CAC9D9"/>
              <w:right w:val="single" w:sz="4" w:space="0" w:color="CAC9D9"/>
            </w:tcBorders>
            <w:shd w:val="clear" w:color="auto" w:fill="D9D9D9" w:themeFill="background1" w:themeFillShade="D9"/>
            <w:noWrap/>
            <w:vAlign w:val="center"/>
            <w:hideMark/>
          </w:tcPr>
          <w:p w14:paraId="7EBF5F79" w14:textId="77777777" w:rsidR="00BD154D" w:rsidRPr="005D1AA3" w:rsidRDefault="00BD154D" w:rsidP="00DF2591">
            <w:pPr>
              <w:spacing w:after="0" w:line="240" w:lineRule="auto"/>
              <w:jc w:val="center"/>
              <w:rPr>
                <w:rFonts w:asciiTheme="minorHAnsi" w:eastAsia="Times New Roman" w:hAnsiTheme="minorHAnsi" w:cstheme="minorHAnsi"/>
                <w:color w:val="000000"/>
                <w:sz w:val="16"/>
                <w:szCs w:val="18"/>
                <w:lang w:eastAsia="en-GB"/>
              </w:rPr>
            </w:pPr>
            <w:r w:rsidRPr="005D1AA3">
              <w:rPr>
                <w:rFonts w:asciiTheme="minorHAnsi" w:eastAsia="Times New Roman" w:hAnsiTheme="minorHAnsi" w:cstheme="minorHAnsi"/>
                <w:color w:val="000000"/>
                <w:sz w:val="16"/>
                <w:szCs w:val="18"/>
                <w:lang w:eastAsia="en-GB"/>
              </w:rPr>
              <w:t>AVL L</w:t>
            </w:r>
            <w:r>
              <w:rPr>
                <w:rFonts w:asciiTheme="minorHAnsi" w:eastAsia="Times New Roman" w:hAnsiTheme="minorHAnsi" w:cstheme="minorHAnsi"/>
                <w:color w:val="000000"/>
                <w:sz w:val="16"/>
                <w:szCs w:val="18"/>
                <w:lang w:eastAsia="en-GB"/>
              </w:rPr>
              <w:t>ist</w:t>
            </w:r>
            <w:r w:rsidRPr="005D1AA3">
              <w:rPr>
                <w:rFonts w:asciiTheme="minorHAnsi" w:eastAsia="Times New Roman" w:hAnsiTheme="minorHAnsi" w:cstheme="minorHAnsi"/>
                <w:color w:val="000000"/>
                <w:sz w:val="16"/>
                <w:szCs w:val="18"/>
                <w:lang w:eastAsia="en-GB"/>
              </w:rPr>
              <w:t xml:space="preserve"> G</w:t>
            </w:r>
            <w:r>
              <w:rPr>
                <w:rFonts w:asciiTheme="minorHAnsi" w:eastAsia="Times New Roman" w:hAnsiTheme="minorHAnsi" w:cstheme="minorHAnsi"/>
                <w:color w:val="000000"/>
                <w:sz w:val="16"/>
                <w:szCs w:val="18"/>
                <w:lang w:eastAsia="en-GB"/>
              </w:rPr>
              <w:t>mb</w:t>
            </w:r>
            <w:r w:rsidRPr="005D1AA3">
              <w:rPr>
                <w:rFonts w:asciiTheme="minorHAnsi" w:eastAsia="Times New Roman" w:hAnsiTheme="minorHAnsi" w:cstheme="minorHAnsi"/>
                <w:color w:val="000000"/>
                <w:sz w:val="16"/>
                <w:szCs w:val="18"/>
                <w:lang w:eastAsia="en-GB"/>
              </w:rPr>
              <w:t>H</w:t>
            </w:r>
          </w:p>
        </w:tc>
        <w:tc>
          <w:tcPr>
            <w:tcW w:w="540" w:type="pct"/>
            <w:tcBorders>
              <w:top w:val="single" w:sz="4" w:space="0" w:color="CAC9D9"/>
              <w:left w:val="nil"/>
              <w:bottom w:val="single" w:sz="4" w:space="0" w:color="CAC9D9"/>
              <w:right w:val="single" w:sz="4" w:space="0" w:color="CAC9D9"/>
            </w:tcBorders>
            <w:shd w:val="clear" w:color="auto" w:fill="D9D9D9" w:themeFill="background1" w:themeFillShade="D9"/>
            <w:noWrap/>
            <w:vAlign w:val="center"/>
            <w:hideMark/>
          </w:tcPr>
          <w:p w14:paraId="0EBEA65D"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eastAsia="Times New Roman" w:hAnsiTheme="minorHAnsi" w:cstheme="minorHAnsi"/>
                <w:color w:val="000000"/>
                <w:sz w:val="18"/>
                <w:szCs w:val="18"/>
                <w:lang w:eastAsia="en-GB"/>
              </w:rPr>
              <w:t>07/12/2018</w:t>
            </w:r>
          </w:p>
        </w:tc>
        <w:tc>
          <w:tcPr>
            <w:tcW w:w="490" w:type="pct"/>
            <w:tcBorders>
              <w:top w:val="single" w:sz="4" w:space="0" w:color="CAC9D9"/>
              <w:left w:val="nil"/>
              <w:bottom w:val="single" w:sz="4" w:space="0" w:color="CAC9D9"/>
              <w:right w:val="single" w:sz="4" w:space="0" w:color="CAC9D9"/>
            </w:tcBorders>
            <w:shd w:val="clear" w:color="auto" w:fill="D9D9D9" w:themeFill="background1" w:themeFillShade="D9"/>
            <w:noWrap/>
            <w:vAlign w:val="center"/>
            <w:hideMark/>
          </w:tcPr>
          <w:p w14:paraId="4300E592"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99196F">
              <w:rPr>
                <w:rFonts w:asciiTheme="minorHAnsi" w:eastAsia="Times New Roman" w:hAnsiTheme="minorHAnsi" w:cstheme="minorHAnsi"/>
                <w:color w:val="000000"/>
                <w:sz w:val="18"/>
                <w:szCs w:val="18"/>
                <w:lang w:eastAsia="en-GB"/>
              </w:rPr>
              <w:t>YES</w:t>
            </w:r>
          </w:p>
        </w:tc>
      </w:tr>
      <w:tr w:rsidR="00BD154D" w:rsidRPr="0034029F" w14:paraId="01E4DEF9" w14:textId="77777777" w:rsidTr="00DF2591">
        <w:trPr>
          <w:trHeight w:val="517"/>
        </w:trPr>
        <w:tc>
          <w:tcPr>
            <w:tcW w:w="496" w:type="pct"/>
            <w:tcBorders>
              <w:top w:val="single" w:sz="4" w:space="0" w:color="CAC9D9"/>
              <w:left w:val="single" w:sz="4" w:space="0" w:color="CAC9D9"/>
              <w:bottom w:val="single" w:sz="4" w:space="0" w:color="CAC9D9"/>
              <w:right w:val="single" w:sz="4" w:space="0" w:color="CAC9D9"/>
            </w:tcBorders>
            <w:shd w:val="clear" w:color="auto" w:fill="D9D9D9" w:themeFill="background1" w:themeFillShade="D9"/>
            <w:noWrap/>
            <w:vAlign w:val="center"/>
            <w:hideMark/>
          </w:tcPr>
          <w:p w14:paraId="40C4EA89"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eastAsia="Times New Roman" w:hAnsiTheme="minorHAnsi" w:cstheme="minorHAnsi"/>
                <w:color w:val="000000"/>
                <w:sz w:val="18"/>
                <w:szCs w:val="18"/>
                <w:lang w:eastAsia="en-GB"/>
              </w:rPr>
              <w:t>700667</w:t>
            </w:r>
          </w:p>
        </w:tc>
        <w:tc>
          <w:tcPr>
            <w:tcW w:w="523" w:type="pct"/>
            <w:tcBorders>
              <w:top w:val="single" w:sz="4" w:space="0" w:color="CAC9D9"/>
              <w:left w:val="nil"/>
              <w:bottom w:val="single" w:sz="4" w:space="0" w:color="CAC9D9"/>
              <w:right w:val="single" w:sz="4" w:space="0" w:color="CAC9D9"/>
            </w:tcBorders>
            <w:shd w:val="clear" w:color="auto" w:fill="D9D9D9" w:themeFill="background1" w:themeFillShade="D9"/>
            <w:noWrap/>
            <w:vAlign w:val="center"/>
            <w:hideMark/>
          </w:tcPr>
          <w:p w14:paraId="5D666A47"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eastAsia="Times New Roman" w:hAnsiTheme="minorHAnsi" w:cstheme="minorHAnsi"/>
                <w:color w:val="000000"/>
                <w:sz w:val="18"/>
                <w:szCs w:val="18"/>
                <w:lang w:eastAsia="en-GB"/>
              </w:rPr>
              <w:t>SOSLeM</w:t>
            </w:r>
          </w:p>
        </w:tc>
        <w:tc>
          <w:tcPr>
            <w:tcW w:w="2144" w:type="pct"/>
            <w:tcBorders>
              <w:top w:val="single" w:sz="4" w:space="0" w:color="CAC9D9"/>
              <w:left w:val="nil"/>
              <w:bottom w:val="single" w:sz="4" w:space="0" w:color="CAC9D9"/>
              <w:right w:val="single" w:sz="4" w:space="0" w:color="CAC9D9"/>
            </w:tcBorders>
            <w:shd w:val="clear" w:color="auto" w:fill="D9D9D9" w:themeFill="background1" w:themeFillShade="D9"/>
            <w:noWrap/>
            <w:vAlign w:val="center"/>
            <w:hideMark/>
          </w:tcPr>
          <w:p w14:paraId="3D07FDD6"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eastAsia="Times New Roman" w:hAnsiTheme="minorHAnsi" w:cstheme="minorHAnsi"/>
                <w:color w:val="000000"/>
                <w:sz w:val="18"/>
                <w:szCs w:val="18"/>
                <w:lang w:eastAsia="en-GB"/>
              </w:rPr>
              <w:t>Recursive, Time-Series-Based Method for Determining the State of an Electrochemical Reactor</w:t>
            </w:r>
          </w:p>
        </w:tc>
        <w:tc>
          <w:tcPr>
            <w:tcW w:w="806" w:type="pct"/>
            <w:tcBorders>
              <w:top w:val="single" w:sz="4" w:space="0" w:color="CAC9D9"/>
              <w:left w:val="nil"/>
              <w:bottom w:val="single" w:sz="4" w:space="0" w:color="CAC9D9"/>
              <w:right w:val="single" w:sz="4" w:space="0" w:color="CAC9D9"/>
            </w:tcBorders>
            <w:shd w:val="clear" w:color="auto" w:fill="D9D9D9" w:themeFill="background1" w:themeFillShade="D9"/>
            <w:noWrap/>
            <w:vAlign w:val="center"/>
            <w:hideMark/>
          </w:tcPr>
          <w:p w14:paraId="76A1BEA0" w14:textId="77777777" w:rsidR="00BD154D" w:rsidRPr="005D1AA3" w:rsidRDefault="00BD154D" w:rsidP="00DF2591">
            <w:pPr>
              <w:spacing w:after="0" w:line="240" w:lineRule="auto"/>
              <w:jc w:val="center"/>
              <w:rPr>
                <w:rFonts w:asciiTheme="minorHAnsi" w:eastAsia="Times New Roman" w:hAnsiTheme="minorHAnsi" w:cstheme="minorHAnsi"/>
                <w:color w:val="000000"/>
                <w:sz w:val="16"/>
                <w:szCs w:val="18"/>
                <w:lang w:eastAsia="en-GB"/>
              </w:rPr>
            </w:pPr>
            <w:r w:rsidRPr="005D1AA3">
              <w:rPr>
                <w:rFonts w:asciiTheme="minorHAnsi" w:eastAsia="Times New Roman" w:hAnsiTheme="minorHAnsi" w:cstheme="minorHAnsi"/>
                <w:color w:val="000000"/>
                <w:sz w:val="16"/>
                <w:szCs w:val="18"/>
                <w:lang w:eastAsia="en-GB"/>
              </w:rPr>
              <w:t>AVL L</w:t>
            </w:r>
            <w:r>
              <w:rPr>
                <w:rFonts w:asciiTheme="minorHAnsi" w:eastAsia="Times New Roman" w:hAnsiTheme="minorHAnsi" w:cstheme="minorHAnsi"/>
                <w:color w:val="000000"/>
                <w:sz w:val="16"/>
                <w:szCs w:val="18"/>
                <w:lang w:eastAsia="en-GB"/>
              </w:rPr>
              <w:t>ist</w:t>
            </w:r>
            <w:r w:rsidRPr="005D1AA3">
              <w:rPr>
                <w:rFonts w:asciiTheme="minorHAnsi" w:eastAsia="Times New Roman" w:hAnsiTheme="minorHAnsi" w:cstheme="minorHAnsi"/>
                <w:color w:val="000000"/>
                <w:sz w:val="16"/>
                <w:szCs w:val="18"/>
                <w:lang w:eastAsia="en-GB"/>
              </w:rPr>
              <w:t xml:space="preserve"> G</w:t>
            </w:r>
            <w:r>
              <w:rPr>
                <w:rFonts w:asciiTheme="minorHAnsi" w:eastAsia="Times New Roman" w:hAnsiTheme="minorHAnsi" w:cstheme="minorHAnsi"/>
                <w:color w:val="000000"/>
                <w:sz w:val="16"/>
                <w:szCs w:val="18"/>
                <w:lang w:eastAsia="en-GB"/>
              </w:rPr>
              <w:t>mb</w:t>
            </w:r>
            <w:r w:rsidRPr="005D1AA3">
              <w:rPr>
                <w:rFonts w:asciiTheme="minorHAnsi" w:eastAsia="Times New Roman" w:hAnsiTheme="minorHAnsi" w:cstheme="minorHAnsi"/>
                <w:color w:val="000000"/>
                <w:sz w:val="16"/>
                <w:szCs w:val="18"/>
                <w:lang w:eastAsia="en-GB"/>
              </w:rPr>
              <w:t>H</w:t>
            </w:r>
          </w:p>
        </w:tc>
        <w:tc>
          <w:tcPr>
            <w:tcW w:w="540" w:type="pct"/>
            <w:tcBorders>
              <w:top w:val="single" w:sz="4" w:space="0" w:color="CAC9D9"/>
              <w:left w:val="nil"/>
              <w:bottom w:val="single" w:sz="4" w:space="0" w:color="CAC9D9"/>
              <w:right w:val="single" w:sz="4" w:space="0" w:color="CAC9D9"/>
            </w:tcBorders>
            <w:shd w:val="clear" w:color="auto" w:fill="D9D9D9" w:themeFill="background1" w:themeFillShade="D9"/>
            <w:noWrap/>
            <w:vAlign w:val="center"/>
            <w:hideMark/>
          </w:tcPr>
          <w:p w14:paraId="361AEFB2"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eastAsia="Times New Roman" w:hAnsiTheme="minorHAnsi" w:cstheme="minorHAnsi"/>
                <w:color w:val="000000"/>
                <w:sz w:val="18"/>
                <w:szCs w:val="18"/>
                <w:lang w:eastAsia="en-GB"/>
              </w:rPr>
              <w:t>27/11/2018</w:t>
            </w:r>
          </w:p>
        </w:tc>
        <w:tc>
          <w:tcPr>
            <w:tcW w:w="490" w:type="pct"/>
            <w:tcBorders>
              <w:top w:val="single" w:sz="4" w:space="0" w:color="CAC9D9"/>
              <w:left w:val="nil"/>
              <w:bottom w:val="single" w:sz="4" w:space="0" w:color="CAC9D9"/>
              <w:right w:val="single" w:sz="4" w:space="0" w:color="CAC9D9"/>
            </w:tcBorders>
            <w:shd w:val="clear" w:color="auto" w:fill="D9D9D9" w:themeFill="background1" w:themeFillShade="D9"/>
            <w:noWrap/>
            <w:vAlign w:val="center"/>
            <w:hideMark/>
          </w:tcPr>
          <w:p w14:paraId="426A44F9"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99196F">
              <w:rPr>
                <w:rFonts w:asciiTheme="minorHAnsi" w:eastAsia="Times New Roman" w:hAnsiTheme="minorHAnsi" w:cstheme="minorHAnsi"/>
                <w:color w:val="000000"/>
                <w:sz w:val="18"/>
                <w:szCs w:val="18"/>
                <w:lang w:eastAsia="en-GB"/>
              </w:rPr>
              <w:t>YES</w:t>
            </w:r>
          </w:p>
        </w:tc>
      </w:tr>
      <w:tr w:rsidR="00BD154D" w:rsidRPr="0034029F" w14:paraId="493034AA" w14:textId="77777777" w:rsidTr="00DF2591">
        <w:trPr>
          <w:trHeight w:val="517"/>
        </w:trPr>
        <w:tc>
          <w:tcPr>
            <w:tcW w:w="496" w:type="pct"/>
            <w:tcBorders>
              <w:top w:val="single" w:sz="4" w:space="0" w:color="CAC9D9"/>
              <w:left w:val="single" w:sz="4" w:space="0" w:color="CAC9D9"/>
              <w:bottom w:val="single" w:sz="4" w:space="0" w:color="CAC9D9"/>
              <w:right w:val="single" w:sz="4" w:space="0" w:color="CAC9D9"/>
            </w:tcBorders>
            <w:shd w:val="clear" w:color="auto" w:fill="FFFFFF" w:themeFill="background1"/>
            <w:noWrap/>
            <w:vAlign w:val="center"/>
            <w:hideMark/>
          </w:tcPr>
          <w:p w14:paraId="444ABA1E"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eastAsia="Times New Roman" w:hAnsiTheme="minorHAnsi" w:cstheme="minorHAnsi"/>
                <w:color w:val="000000"/>
                <w:sz w:val="18"/>
                <w:szCs w:val="18"/>
                <w:lang w:eastAsia="en-GB"/>
              </w:rPr>
              <w:t>779644</w:t>
            </w:r>
          </w:p>
        </w:tc>
        <w:tc>
          <w:tcPr>
            <w:tcW w:w="523" w:type="pct"/>
            <w:tcBorders>
              <w:top w:val="single" w:sz="4" w:space="0" w:color="CAC9D9"/>
              <w:left w:val="nil"/>
              <w:bottom w:val="single" w:sz="4" w:space="0" w:color="CAC9D9"/>
              <w:right w:val="single" w:sz="4" w:space="0" w:color="CAC9D9"/>
            </w:tcBorders>
            <w:shd w:val="clear" w:color="auto" w:fill="FFFFFF" w:themeFill="background1"/>
            <w:noWrap/>
            <w:vAlign w:val="center"/>
            <w:hideMark/>
          </w:tcPr>
          <w:p w14:paraId="01D2EB91"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eastAsia="Times New Roman" w:hAnsiTheme="minorHAnsi" w:cstheme="minorHAnsi"/>
                <w:color w:val="000000"/>
                <w:sz w:val="18"/>
                <w:szCs w:val="18"/>
                <w:lang w:eastAsia="en-GB"/>
              </w:rPr>
              <w:t>TAHYA</w:t>
            </w:r>
          </w:p>
        </w:tc>
        <w:tc>
          <w:tcPr>
            <w:tcW w:w="2144" w:type="pct"/>
            <w:tcBorders>
              <w:top w:val="single" w:sz="4" w:space="0" w:color="CAC9D9"/>
              <w:left w:val="nil"/>
              <w:bottom w:val="single" w:sz="4" w:space="0" w:color="CAC9D9"/>
              <w:right w:val="single" w:sz="4" w:space="0" w:color="CAC9D9"/>
            </w:tcBorders>
            <w:shd w:val="clear" w:color="auto" w:fill="FFFFFF" w:themeFill="background1"/>
            <w:noWrap/>
            <w:vAlign w:val="center"/>
            <w:hideMark/>
          </w:tcPr>
          <w:p w14:paraId="13A3DBEA"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eastAsia="Times New Roman" w:hAnsiTheme="minorHAnsi" w:cstheme="minorHAnsi"/>
                <w:color w:val="000000"/>
                <w:sz w:val="18"/>
                <w:szCs w:val="18"/>
                <w:lang w:eastAsia="en-GB"/>
              </w:rPr>
              <w:t>Composite Pressure Vessel with Reinforced Inner Liner and Process for the Production Thereof</w:t>
            </w:r>
          </w:p>
        </w:tc>
        <w:tc>
          <w:tcPr>
            <w:tcW w:w="806" w:type="pct"/>
            <w:tcBorders>
              <w:top w:val="single" w:sz="4" w:space="0" w:color="CAC9D9"/>
              <w:left w:val="nil"/>
              <w:bottom w:val="single" w:sz="4" w:space="0" w:color="CAC9D9"/>
              <w:right w:val="single" w:sz="4" w:space="0" w:color="CAC9D9"/>
            </w:tcBorders>
            <w:shd w:val="clear" w:color="auto" w:fill="FFFFFF" w:themeFill="background1"/>
            <w:noWrap/>
            <w:vAlign w:val="center"/>
            <w:hideMark/>
          </w:tcPr>
          <w:p w14:paraId="1038695E" w14:textId="77777777" w:rsidR="00BD154D" w:rsidRPr="00302A43" w:rsidRDefault="00BD154D" w:rsidP="00DF2591">
            <w:pPr>
              <w:spacing w:after="0" w:line="240" w:lineRule="auto"/>
              <w:jc w:val="center"/>
              <w:rPr>
                <w:rFonts w:asciiTheme="minorHAnsi" w:eastAsia="Times New Roman" w:hAnsiTheme="minorHAnsi" w:cstheme="minorHAnsi"/>
                <w:color w:val="000000"/>
                <w:sz w:val="16"/>
                <w:szCs w:val="18"/>
                <w:lang w:eastAsia="en-GB"/>
              </w:rPr>
            </w:pPr>
            <w:r w:rsidRPr="00302A43">
              <w:rPr>
                <w:rFonts w:asciiTheme="minorHAnsi" w:eastAsia="Times New Roman" w:hAnsiTheme="minorHAnsi" w:cstheme="minorHAnsi"/>
                <w:color w:val="000000"/>
                <w:sz w:val="16"/>
                <w:szCs w:val="18"/>
                <w:lang w:eastAsia="en-GB"/>
              </w:rPr>
              <w:t>Optimum CPV</w:t>
            </w:r>
          </w:p>
        </w:tc>
        <w:tc>
          <w:tcPr>
            <w:tcW w:w="540" w:type="pct"/>
            <w:tcBorders>
              <w:top w:val="single" w:sz="4" w:space="0" w:color="CAC9D9"/>
              <w:left w:val="nil"/>
              <w:bottom w:val="single" w:sz="4" w:space="0" w:color="CAC9D9"/>
              <w:right w:val="single" w:sz="4" w:space="0" w:color="CAC9D9"/>
            </w:tcBorders>
            <w:shd w:val="clear" w:color="auto" w:fill="FFFFFF" w:themeFill="background1"/>
            <w:noWrap/>
            <w:vAlign w:val="center"/>
            <w:hideMark/>
          </w:tcPr>
          <w:p w14:paraId="5F2EFEF5"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eastAsia="Times New Roman" w:hAnsiTheme="minorHAnsi" w:cstheme="minorHAnsi"/>
                <w:color w:val="000000"/>
                <w:sz w:val="18"/>
                <w:szCs w:val="18"/>
                <w:lang w:eastAsia="en-GB"/>
              </w:rPr>
              <w:t>26/06/2019</w:t>
            </w:r>
          </w:p>
        </w:tc>
        <w:tc>
          <w:tcPr>
            <w:tcW w:w="490" w:type="pct"/>
            <w:tcBorders>
              <w:top w:val="single" w:sz="4" w:space="0" w:color="CAC9D9"/>
              <w:left w:val="nil"/>
              <w:bottom w:val="single" w:sz="4" w:space="0" w:color="CAC9D9"/>
              <w:right w:val="single" w:sz="4" w:space="0" w:color="CAC9D9"/>
            </w:tcBorders>
            <w:shd w:val="clear" w:color="auto" w:fill="FFFFFF" w:themeFill="background1"/>
            <w:noWrap/>
            <w:vAlign w:val="center"/>
            <w:hideMark/>
          </w:tcPr>
          <w:p w14:paraId="28F7E59B" w14:textId="77777777" w:rsidR="00BD154D" w:rsidRPr="00C73BDC"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78076F">
              <w:rPr>
                <w:rFonts w:asciiTheme="minorHAnsi" w:eastAsia="Times New Roman" w:hAnsiTheme="minorHAnsi" w:cstheme="minorHAnsi"/>
                <w:color w:val="000000"/>
                <w:sz w:val="18"/>
                <w:szCs w:val="18"/>
                <w:lang w:eastAsia="en-GB"/>
              </w:rPr>
              <w:t>YES</w:t>
            </w:r>
          </w:p>
        </w:tc>
      </w:tr>
      <w:tr w:rsidR="00BD154D" w:rsidRPr="0034029F" w14:paraId="2C66157F" w14:textId="77777777" w:rsidTr="00DF2591">
        <w:trPr>
          <w:trHeight w:val="517"/>
        </w:trPr>
        <w:tc>
          <w:tcPr>
            <w:tcW w:w="496" w:type="pct"/>
            <w:tcBorders>
              <w:top w:val="single" w:sz="4" w:space="0" w:color="CAC9D9"/>
              <w:left w:val="single" w:sz="4" w:space="0" w:color="CAC9D9"/>
              <w:bottom w:val="single" w:sz="4" w:space="0" w:color="CAC9D9"/>
              <w:right w:val="single" w:sz="4" w:space="0" w:color="CAC9D9"/>
            </w:tcBorders>
            <w:shd w:val="clear" w:color="auto" w:fill="FFFFFF" w:themeFill="background1"/>
            <w:noWrap/>
            <w:vAlign w:val="center"/>
            <w:hideMark/>
          </w:tcPr>
          <w:p w14:paraId="596130ED"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eastAsia="Times New Roman" w:hAnsiTheme="minorHAnsi" w:cstheme="minorHAnsi"/>
                <w:color w:val="000000"/>
                <w:sz w:val="18"/>
                <w:szCs w:val="18"/>
                <w:lang w:eastAsia="en-GB"/>
              </w:rPr>
              <w:t>779644</w:t>
            </w:r>
          </w:p>
        </w:tc>
        <w:tc>
          <w:tcPr>
            <w:tcW w:w="523" w:type="pct"/>
            <w:tcBorders>
              <w:top w:val="single" w:sz="4" w:space="0" w:color="CAC9D9"/>
              <w:left w:val="nil"/>
              <w:bottom w:val="single" w:sz="4" w:space="0" w:color="CAC9D9"/>
              <w:right w:val="single" w:sz="4" w:space="0" w:color="CAC9D9"/>
            </w:tcBorders>
            <w:shd w:val="clear" w:color="auto" w:fill="FFFFFF" w:themeFill="background1"/>
            <w:noWrap/>
            <w:vAlign w:val="center"/>
            <w:hideMark/>
          </w:tcPr>
          <w:p w14:paraId="009EE5C5"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eastAsia="Times New Roman" w:hAnsiTheme="minorHAnsi" w:cstheme="minorHAnsi"/>
                <w:color w:val="000000"/>
                <w:sz w:val="18"/>
                <w:szCs w:val="18"/>
                <w:lang w:eastAsia="en-GB"/>
              </w:rPr>
              <w:t>TAHYA</w:t>
            </w:r>
          </w:p>
        </w:tc>
        <w:tc>
          <w:tcPr>
            <w:tcW w:w="2144" w:type="pct"/>
            <w:tcBorders>
              <w:top w:val="single" w:sz="4" w:space="0" w:color="CAC9D9"/>
              <w:left w:val="nil"/>
              <w:bottom w:val="single" w:sz="4" w:space="0" w:color="CAC9D9"/>
              <w:right w:val="single" w:sz="4" w:space="0" w:color="CAC9D9"/>
            </w:tcBorders>
            <w:shd w:val="clear" w:color="auto" w:fill="FFFFFF" w:themeFill="background1"/>
            <w:noWrap/>
            <w:vAlign w:val="center"/>
            <w:hideMark/>
          </w:tcPr>
          <w:p w14:paraId="6AE158BB"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eastAsia="Times New Roman" w:hAnsiTheme="minorHAnsi" w:cstheme="minorHAnsi"/>
                <w:color w:val="000000"/>
                <w:sz w:val="18"/>
                <w:szCs w:val="18"/>
                <w:lang w:eastAsia="en-GB"/>
              </w:rPr>
              <w:t>Composite Pressure Vessel with Boss Connector</w:t>
            </w:r>
          </w:p>
        </w:tc>
        <w:tc>
          <w:tcPr>
            <w:tcW w:w="806" w:type="pct"/>
            <w:tcBorders>
              <w:top w:val="single" w:sz="4" w:space="0" w:color="CAC9D9"/>
              <w:left w:val="nil"/>
              <w:bottom w:val="single" w:sz="4" w:space="0" w:color="CAC9D9"/>
              <w:right w:val="single" w:sz="4" w:space="0" w:color="CAC9D9"/>
            </w:tcBorders>
            <w:shd w:val="clear" w:color="auto" w:fill="FFFFFF" w:themeFill="background1"/>
            <w:noWrap/>
            <w:vAlign w:val="center"/>
            <w:hideMark/>
          </w:tcPr>
          <w:p w14:paraId="6215F78B" w14:textId="77777777" w:rsidR="00BD154D" w:rsidRPr="00302A43" w:rsidRDefault="00BD154D" w:rsidP="00DF2591">
            <w:pPr>
              <w:spacing w:after="0" w:line="240" w:lineRule="auto"/>
              <w:jc w:val="center"/>
              <w:rPr>
                <w:rFonts w:asciiTheme="minorHAnsi" w:eastAsia="Times New Roman" w:hAnsiTheme="minorHAnsi" w:cstheme="minorHAnsi"/>
                <w:color w:val="000000"/>
                <w:sz w:val="16"/>
                <w:szCs w:val="18"/>
                <w:lang w:eastAsia="en-GB"/>
              </w:rPr>
            </w:pPr>
            <w:r w:rsidRPr="00302A43">
              <w:rPr>
                <w:rFonts w:asciiTheme="minorHAnsi" w:eastAsia="Times New Roman" w:hAnsiTheme="minorHAnsi" w:cstheme="minorHAnsi"/>
                <w:color w:val="000000"/>
                <w:sz w:val="16"/>
                <w:szCs w:val="18"/>
                <w:lang w:eastAsia="en-GB"/>
              </w:rPr>
              <w:t>Optimum CPV</w:t>
            </w:r>
          </w:p>
        </w:tc>
        <w:tc>
          <w:tcPr>
            <w:tcW w:w="540" w:type="pct"/>
            <w:tcBorders>
              <w:top w:val="single" w:sz="4" w:space="0" w:color="CAC9D9"/>
              <w:left w:val="nil"/>
              <w:bottom w:val="single" w:sz="4" w:space="0" w:color="CAC9D9"/>
              <w:right w:val="single" w:sz="4" w:space="0" w:color="CAC9D9"/>
            </w:tcBorders>
            <w:shd w:val="clear" w:color="auto" w:fill="FFFFFF" w:themeFill="background1"/>
            <w:noWrap/>
            <w:vAlign w:val="center"/>
            <w:hideMark/>
          </w:tcPr>
          <w:p w14:paraId="7FC66D61"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eastAsia="Times New Roman" w:hAnsiTheme="minorHAnsi" w:cstheme="minorHAnsi"/>
                <w:color w:val="000000"/>
                <w:sz w:val="18"/>
                <w:szCs w:val="18"/>
                <w:lang w:eastAsia="en-GB"/>
              </w:rPr>
              <w:t>26/06/2019</w:t>
            </w:r>
          </w:p>
        </w:tc>
        <w:tc>
          <w:tcPr>
            <w:tcW w:w="490" w:type="pct"/>
            <w:tcBorders>
              <w:top w:val="single" w:sz="4" w:space="0" w:color="CAC9D9"/>
              <w:left w:val="nil"/>
              <w:bottom w:val="single" w:sz="4" w:space="0" w:color="CAC9D9"/>
              <w:right w:val="single" w:sz="4" w:space="0" w:color="CAC9D9"/>
            </w:tcBorders>
            <w:shd w:val="clear" w:color="auto" w:fill="FFFFFF" w:themeFill="background1"/>
            <w:noWrap/>
            <w:vAlign w:val="center"/>
            <w:hideMark/>
          </w:tcPr>
          <w:p w14:paraId="7A5F12ED" w14:textId="77777777" w:rsidR="00BD154D" w:rsidRPr="00C73BDC"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78076F">
              <w:rPr>
                <w:rFonts w:asciiTheme="minorHAnsi" w:eastAsia="Times New Roman" w:hAnsiTheme="minorHAnsi" w:cstheme="minorHAnsi"/>
                <w:color w:val="000000"/>
                <w:sz w:val="18"/>
                <w:szCs w:val="18"/>
                <w:lang w:eastAsia="en-GB"/>
              </w:rPr>
              <w:t>YES</w:t>
            </w:r>
          </w:p>
        </w:tc>
      </w:tr>
      <w:tr w:rsidR="00BD154D" w:rsidRPr="0034029F" w14:paraId="192EB57F" w14:textId="77777777" w:rsidTr="00DF2591">
        <w:trPr>
          <w:trHeight w:val="517"/>
        </w:trPr>
        <w:tc>
          <w:tcPr>
            <w:tcW w:w="496" w:type="pct"/>
            <w:tcBorders>
              <w:top w:val="single" w:sz="4" w:space="0" w:color="CAC9D9"/>
              <w:left w:val="single" w:sz="4" w:space="0" w:color="CAC9D9"/>
              <w:bottom w:val="single" w:sz="4" w:space="0" w:color="CAC9D9"/>
              <w:right w:val="single" w:sz="4" w:space="0" w:color="CAC9D9"/>
            </w:tcBorders>
            <w:shd w:val="clear" w:color="auto" w:fill="FFFFFF" w:themeFill="background1"/>
            <w:noWrap/>
            <w:vAlign w:val="center"/>
            <w:hideMark/>
          </w:tcPr>
          <w:p w14:paraId="6353654D"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eastAsia="Times New Roman" w:hAnsiTheme="minorHAnsi" w:cstheme="minorHAnsi"/>
                <w:color w:val="000000"/>
                <w:sz w:val="18"/>
                <w:szCs w:val="18"/>
                <w:lang w:eastAsia="en-GB"/>
              </w:rPr>
              <w:t>779644</w:t>
            </w:r>
          </w:p>
        </w:tc>
        <w:tc>
          <w:tcPr>
            <w:tcW w:w="523" w:type="pct"/>
            <w:tcBorders>
              <w:top w:val="single" w:sz="4" w:space="0" w:color="CAC9D9"/>
              <w:left w:val="nil"/>
              <w:bottom w:val="single" w:sz="4" w:space="0" w:color="CAC9D9"/>
              <w:right w:val="single" w:sz="4" w:space="0" w:color="CAC9D9"/>
            </w:tcBorders>
            <w:shd w:val="clear" w:color="auto" w:fill="FFFFFF" w:themeFill="background1"/>
            <w:noWrap/>
            <w:vAlign w:val="center"/>
            <w:hideMark/>
          </w:tcPr>
          <w:p w14:paraId="116235B5"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eastAsia="Times New Roman" w:hAnsiTheme="minorHAnsi" w:cstheme="minorHAnsi"/>
                <w:color w:val="000000"/>
                <w:sz w:val="18"/>
                <w:szCs w:val="18"/>
                <w:lang w:eastAsia="en-GB"/>
              </w:rPr>
              <w:t>TAHYA</w:t>
            </w:r>
          </w:p>
        </w:tc>
        <w:tc>
          <w:tcPr>
            <w:tcW w:w="2144" w:type="pct"/>
            <w:tcBorders>
              <w:top w:val="single" w:sz="4" w:space="0" w:color="CAC9D9"/>
              <w:left w:val="nil"/>
              <w:bottom w:val="single" w:sz="4" w:space="0" w:color="CAC9D9"/>
              <w:right w:val="single" w:sz="4" w:space="0" w:color="CAC9D9"/>
            </w:tcBorders>
            <w:shd w:val="clear" w:color="auto" w:fill="FFFFFF" w:themeFill="background1"/>
            <w:noWrap/>
            <w:vAlign w:val="center"/>
            <w:hideMark/>
          </w:tcPr>
          <w:p w14:paraId="7FB32875"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eastAsia="Times New Roman" w:hAnsiTheme="minorHAnsi" w:cstheme="minorHAnsi"/>
                <w:color w:val="000000"/>
                <w:sz w:val="18"/>
                <w:szCs w:val="18"/>
                <w:lang w:eastAsia="en-GB"/>
              </w:rPr>
              <w:t>Tank Liner Having Two Cylindrical Sections</w:t>
            </w:r>
          </w:p>
        </w:tc>
        <w:tc>
          <w:tcPr>
            <w:tcW w:w="806" w:type="pct"/>
            <w:tcBorders>
              <w:top w:val="single" w:sz="4" w:space="0" w:color="CAC9D9"/>
              <w:left w:val="nil"/>
              <w:bottom w:val="single" w:sz="4" w:space="0" w:color="CAC9D9"/>
              <w:right w:val="single" w:sz="4" w:space="0" w:color="CAC9D9"/>
            </w:tcBorders>
            <w:shd w:val="clear" w:color="auto" w:fill="FFFFFF" w:themeFill="background1"/>
            <w:noWrap/>
            <w:vAlign w:val="center"/>
            <w:hideMark/>
          </w:tcPr>
          <w:p w14:paraId="17240A31" w14:textId="77777777" w:rsidR="00BD154D" w:rsidRPr="00302A43" w:rsidRDefault="00BD154D" w:rsidP="00DF2591">
            <w:pPr>
              <w:spacing w:after="0" w:line="240" w:lineRule="auto"/>
              <w:jc w:val="center"/>
              <w:rPr>
                <w:rFonts w:asciiTheme="minorHAnsi" w:eastAsia="Times New Roman" w:hAnsiTheme="minorHAnsi" w:cstheme="minorHAnsi"/>
                <w:color w:val="000000"/>
                <w:sz w:val="16"/>
                <w:szCs w:val="18"/>
                <w:lang w:eastAsia="en-GB"/>
              </w:rPr>
            </w:pPr>
            <w:r w:rsidRPr="00302A43">
              <w:rPr>
                <w:rFonts w:asciiTheme="minorHAnsi" w:eastAsia="Times New Roman" w:hAnsiTheme="minorHAnsi" w:cstheme="minorHAnsi"/>
                <w:color w:val="000000"/>
                <w:sz w:val="16"/>
                <w:szCs w:val="18"/>
                <w:lang w:eastAsia="en-GB"/>
              </w:rPr>
              <w:t>Optimum CPV</w:t>
            </w:r>
          </w:p>
        </w:tc>
        <w:tc>
          <w:tcPr>
            <w:tcW w:w="540" w:type="pct"/>
            <w:tcBorders>
              <w:top w:val="single" w:sz="4" w:space="0" w:color="CAC9D9"/>
              <w:left w:val="nil"/>
              <w:bottom w:val="single" w:sz="4" w:space="0" w:color="CAC9D9"/>
              <w:right w:val="single" w:sz="4" w:space="0" w:color="CAC9D9"/>
            </w:tcBorders>
            <w:shd w:val="clear" w:color="auto" w:fill="FFFFFF" w:themeFill="background1"/>
            <w:noWrap/>
            <w:vAlign w:val="center"/>
            <w:hideMark/>
          </w:tcPr>
          <w:p w14:paraId="5CA7ACAD"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eastAsia="Times New Roman" w:hAnsiTheme="minorHAnsi" w:cstheme="minorHAnsi"/>
                <w:color w:val="000000"/>
                <w:sz w:val="18"/>
                <w:szCs w:val="18"/>
                <w:lang w:eastAsia="en-GB"/>
              </w:rPr>
              <w:t>26/06/2019</w:t>
            </w:r>
          </w:p>
        </w:tc>
        <w:tc>
          <w:tcPr>
            <w:tcW w:w="490" w:type="pct"/>
            <w:tcBorders>
              <w:top w:val="single" w:sz="4" w:space="0" w:color="CAC9D9"/>
              <w:left w:val="nil"/>
              <w:bottom w:val="single" w:sz="4" w:space="0" w:color="CAC9D9"/>
              <w:right w:val="single" w:sz="4" w:space="0" w:color="CAC9D9"/>
            </w:tcBorders>
            <w:shd w:val="clear" w:color="auto" w:fill="FFFFFF" w:themeFill="background1"/>
            <w:noWrap/>
            <w:vAlign w:val="center"/>
            <w:hideMark/>
          </w:tcPr>
          <w:p w14:paraId="27984F80" w14:textId="77777777" w:rsidR="00BD154D" w:rsidRPr="00C73BDC"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78076F">
              <w:rPr>
                <w:rFonts w:asciiTheme="minorHAnsi" w:eastAsia="Times New Roman" w:hAnsiTheme="minorHAnsi" w:cstheme="minorHAnsi"/>
                <w:color w:val="000000"/>
                <w:sz w:val="18"/>
                <w:szCs w:val="18"/>
                <w:lang w:eastAsia="en-GB"/>
              </w:rPr>
              <w:t>YES</w:t>
            </w:r>
          </w:p>
        </w:tc>
      </w:tr>
    </w:tbl>
    <w:p w14:paraId="2FF5945E" w14:textId="77777777" w:rsidR="00BD154D" w:rsidRDefault="00BD154D" w:rsidP="002672A0">
      <w:pPr>
        <w:pStyle w:val="ListParagraph"/>
        <w:numPr>
          <w:ilvl w:val="0"/>
          <w:numId w:val="24"/>
        </w:numPr>
        <w:spacing w:before="120" w:after="120"/>
        <w:ind w:left="714" w:hanging="357"/>
      </w:pPr>
      <w:r>
        <w:t>Additional information to CORDA, coming directly from the projects (for H2020)</w:t>
      </w:r>
    </w:p>
    <w:tbl>
      <w:tblPr>
        <w:tblW w:w="0" w:type="auto"/>
        <w:tblLayout w:type="fixed"/>
        <w:tblLook w:val="04A0" w:firstRow="1" w:lastRow="0" w:firstColumn="1" w:lastColumn="0" w:noHBand="0" w:noVBand="1"/>
      </w:tblPr>
      <w:tblGrid>
        <w:gridCol w:w="988"/>
        <w:gridCol w:w="992"/>
        <w:gridCol w:w="4394"/>
        <w:gridCol w:w="1559"/>
        <w:gridCol w:w="1134"/>
        <w:gridCol w:w="986"/>
      </w:tblGrid>
      <w:tr w:rsidR="00BD154D" w:rsidRPr="0034029F" w14:paraId="7DB2A8A5" w14:textId="77777777" w:rsidTr="00DF2591">
        <w:trPr>
          <w:trHeight w:val="654"/>
        </w:trPr>
        <w:tc>
          <w:tcPr>
            <w:tcW w:w="988" w:type="dxa"/>
            <w:tcBorders>
              <w:top w:val="single" w:sz="4" w:space="0" w:color="CACAD9"/>
              <w:left w:val="single" w:sz="4" w:space="0" w:color="CACAD9"/>
              <w:bottom w:val="single" w:sz="4" w:space="0" w:color="CACAD9"/>
              <w:right w:val="single" w:sz="4" w:space="0" w:color="CACAD9"/>
            </w:tcBorders>
            <w:shd w:val="clear" w:color="FFFFFF" w:fill="5175B9"/>
            <w:noWrap/>
            <w:vAlign w:val="center"/>
            <w:hideMark/>
          </w:tcPr>
          <w:p w14:paraId="7B499BB5" w14:textId="77777777" w:rsidR="00BD154D" w:rsidRPr="0034029F" w:rsidRDefault="00BD154D" w:rsidP="00DF2591">
            <w:pPr>
              <w:spacing w:after="0" w:line="240" w:lineRule="auto"/>
              <w:jc w:val="center"/>
              <w:rPr>
                <w:rFonts w:ascii="Arial" w:eastAsia="Times New Roman" w:hAnsi="Arial" w:cs="Arial"/>
                <w:b/>
                <w:bCs/>
                <w:color w:val="FFFFFF"/>
                <w:sz w:val="18"/>
                <w:szCs w:val="18"/>
                <w:lang w:eastAsia="en-GB"/>
              </w:rPr>
            </w:pPr>
            <w:bookmarkStart w:id="253" w:name="_Hlk97842539"/>
            <w:r w:rsidRPr="0034029F">
              <w:rPr>
                <w:rFonts w:ascii="Arial" w:eastAsia="Times New Roman" w:hAnsi="Arial" w:cs="Arial"/>
                <w:b/>
                <w:bCs/>
                <w:color w:val="FFFFFF"/>
                <w:sz w:val="18"/>
                <w:szCs w:val="18"/>
                <w:lang w:eastAsia="en-GB"/>
              </w:rPr>
              <w:t xml:space="preserve">Project </w:t>
            </w:r>
            <w:r>
              <w:rPr>
                <w:rFonts w:ascii="Arial" w:eastAsia="Times New Roman" w:hAnsi="Arial" w:cs="Arial"/>
                <w:b/>
                <w:bCs/>
                <w:color w:val="FFFFFF"/>
                <w:sz w:val="18"/>
                <w:szCs w:val="18"/>
                <w:lang w:eastAsia="en-GB"/>
              </w:rPr>
              <w:t>n</w:t>
            </w:r>
            <w:r w:rsidRPr="0034029F">
              <w:rPr>
                <w:rFonts w:ascii="Arial" w:eastAsia="Times New Roman" w:hAnsi="Arial" w:cs="Arial"/>
                <w:b/>
                <w:bCs/>
                <w:color w:val="FFFFFF"/>
                <w:sz w:val="18"/>
                <w:szCs w:val="18"/>
                <w:lang w:eastAsia="en-GB"/>
              </w:rPr>
              <w:t>umber</w:t>
            </w:r>
          </w:p>
        </w:tc>
        <w:tc>
          <w:tcPr>
            <w:tcW w:w="992" w:type="dxa"/>
            <w:tcBorders>
              <w:top w:val="single" w:sz="4" w:space="0" w:color="CACAD9"/>
              <w:left w:val="nil"/>
              <w:bottom w:val="single" w:sz="4" w:space="0" w:color="CACAD9"/>
              <w:right w:val="single" w:sz="4" w:space="0" w:color="CACAD9"/>
            </w:tcBorders>
            <w:shd w:val="clear" w:color="FFFFFF" w:fill="5175B9"/>
            <w:noWrap/>
            <w:vAlign w:val="center"/>
            <w:hideMark/>
          </w:tcPr>
          <w:p w14:paraId="51E76C7C" w14:textId="77777777" w:rsidR="00BD154D" w:rsidRPr="0034029F" w:rsidRDefault="00BD154D" w:rsidP="00DF2591">
            <w:pPr>
              <w:spacing w:after="0" w:line="240" w:lineRule="auto"/>
              <w:jc w:val="center"/>
              <w:rPr>
                <w:rFonts w:ascii="Arial" w:eastAsia="Times New Roman" w:hAnsi="Arial" w:cs="Arial"/>
                <w:b/>
                <w:bCs/>
                <w:color w:val="FFFFFF"/>
                <w:sz w:val="18"/>
                <w:szCs w:val="18"/>
                <w:lang w:eastAsia="en-GB"/>
              </w:rPr>
            </w:pPr>
            <w:r w:rsidRPr="0034029F">
              <w:rPr>
                <w:rFonts w:ascii="Arial" w:eastAsia="Times New Roman" w:hAnsi="Arial" w:cs="Arial"/>
                <w:b/>
                <w:bCs/>
                <w:color w:val="FFFFFF"/>
                <w:sz w:val="18"/>
                <w:szCs w:val="18"/>
                <w:lang w:eastAsia="en-GB"/>
              </w:rPr>
              <w:t xml:space="preserve">Project </w:t>
            </w:r>
            <w:r>
              <w:rPr>
                <w:rFonts w:ascii="Arial" w:eastAsia="Times New Roman" w:hAnsi="Arial" w:cs="Arial"/>
                <w:b/>
                <w:bCs/>
                <w:color w:val="FFFFFF"/>
                <w:sz w:val="18"/>
                <w:szCs w:val="18"/>
                <w:lang w:eastAsia="en-GB"/>
              </w:rPr>
              <w:t>a</w:t>
            </w:r>
            <w:r w:rsidRPr="0034029F">
              <w:rPr>
                <w:rFonts w:ascii="Arial" w:eastAsia="Times New Roman" w:hAnsi="Arial" w:cs="Arial"/>
                <w:b/>
                <w:bCs/>
                <w:color w:val="FFFFFF"/>
                <w:sz w:val="18"/>
                <w:szCs w:val="18"/>
                <w:lang w:eastAsia="en-GB"/>
              </w:rPr>
              <w:t>cronym</w:t>
            </w:r>
          </w:p>
        </w:tc>
        <w:tc>
          <w:tcPr>
            <w:tcW w:w="4394" w:type="dxa"/>
            <w:tcBorders>
              <w:top w:val="single" w:sz="4" w:space="0" w:color="CACAD9"/>
              <w:left w:val="nil"/>
              <w:bottom w:val="single" w:sz="4" w:space="0" w:color="CACAD9"/>
              <w:right w:val="single" w:sz="4" w:space="0" w:color="CACAD9"/>
            </w:tcBorders>
            <w:shd w:val="clear" w:color="FFFFFF" w:fill="5175B9"/>
            <w:noWrap/>
            <w:vAlign w:val="center"/>
            <w:hideMark/>
          </w:tcPr>
          <w:p w14:paraId="3639A318" w14:textId="77777777" w:rsidR="00BD154D" w:rsidRPr="0034029F" w:rsidRDefault="00BD154D" w:rsidP="00DF2591">
            <w:pPr>
              <w:spacing w:after="0" w:line="240" w:lineRule="auto"/>
              <w:jc w:val="center"/>
              <w:rPr>
                <w:rFonts w:ascii="Arial" w:eastAsia="Times New Roman" w:hAnsi="Arial" w:cs="Arial"/>
                <w:b/>
                <w:bCs/>
                <w:color w:val="FFFFFF"/>
                <w:sz w:val="18"/>
                <w:szCs w:val="18"/>
                <w:lang w:eastAsia="en-GB"/>
              </w:rPr>
            </w:pPr>
            <w:r w:rsidRPr="0034029F">
              <w:rPr>
                <w:rFonts w:ascii="Arial" w:eastAsia="Times New Roman" w:hAnsi="Arial" w:cs="Arial"/>
                <w:b/>
                <w:bCs/>
                <w:color w:val="FFFFFF"/>
                <w:sz w:val="18"/>
                <w:szCs w:val="18"/>
                <w:lang w:eastAsia="en-GB"/>
              </w:rPr>
              <w:t xml:space="preserve">Patent </w:t>
            </w:r>
            <w:r>
              <w:rPr>
                <w:rFonts w:ascii="Arial" w:eastAsia="Times New Roman" w:hAnsi="Arial" w:cs="Arial"/>
                <w:b/>
                <w:bCs/>
                <w:color w:val="FFFFFF"/>
                <w:sz w:val="18"/>
                <w:szCs w:val="18"/>
                <w:lang w:eastAsia="en-GB"/>
              </w:rPr>
              <w:t>a</w:t>
            </w:r>
            <w:r w:rsidRPr="0034029F">
              <w:rPr>
                <w:rFonts w:ascii="Arial" w:eastAsia="Times New Roman" w:hAnsi="Arial" w:cs="Arial"/>
                <w:b/>
                <w:bCs/>
                <w:color w:val="FFFFFF"/>
                <w:sz w:val="18"/>
                <w:szCs w:val="18"/>
                <w:lang w:eastAsia="en-GB"/>
              </w:rPr>
              <w:t xml:space="preserve">pplication </w:t>
            </w:r>
            <w:r>
              <w:rPr>
                <w:rFonts w:ascii="Arial" w:eastAsia="Times New Roman" w:hAnsi="Arial" w:cs="Arial"/>
                <w:b/>
                <w:bCs/>
                <w:color w:val="FFFFFF"/>
                <w:sz w:val="18"/>
                <w:szCs w:val="18"/>
                <w:lang w:eastAsia="en-GB"/>
              </w:rPr>
              <w:t>t</w:t>
            </w:r>
            <w:r w:rsidRPr="0034029F">
              <w:rPr>
                <w:rFonts w:ascii="Arial" w:eastAsia="Times New Roman" w:hAnsi="Arial" w:cs="Arial"/>
                <w:b/>
                <w:bCs/>
                <w:color w:val="FFFFFF"/>
                <w:sz w:val="18"/>
                <w:szCs w:val="18"/>
                <w:lang w:eastAsia="en-GB"/>
              </w:rPr>
              <w:t>itle</w:t>
            </w:r>
          </w:p>
        </w:tc>
        <w:tc>
          <w:tcPr>
            <w:tcW w:w="1559" w:type="dxa"/>
            <w:tcBorders>
              <w:top w:val="single" w:sz="4" w:space="0" w:color="CACAD9"/>
              <w:left w:val="nil"/>
              <w:bottom w:val="single" w:sz="4" w:space="0" w:color="CACAD9"/>
              <w:right w:val="single" w:sz="4" w:space="0" w:color="CACAD9"/>
            </w:tcBorders>
            <w:shd w:val="clear" w:color="FFFFFF" w:fill="5175B9"/>
            <w:noWrap/>
            <w:vAlign w:val="center"/>
            <w:hideMark/>
          </w:tcPr>
          <w:p w14:paraId="5C32A596" w14:textId="77777777" w:rsidR="00BD154D" w:rsidRPr="0034029F" w:rsidRDefault="00BD154D" w:rsidP="00DF2591">
            <w:pPr>
              <w:spacing w:after="0" w:line="240" w:lineRule="auto"/>
              <w:jc w:val="center"/>
              <w:rPr>
                <w:rFonts w:ascii="Arial" w:eastAsia="Times New Roman" w:hAnsi="Arial" w:cs="Arial"/>
                <w:b/>
                <w:bCs/>
                <w:color w:val="FFFFFF"/>
                <w:sz w:val="18"/>
                <w:szCs w:val="18"/>
                <w:lang w:eastAsia="en-GB"/>
              </w:rPr>
            </w:pPr>
            <w:r w:rsidRPr="0034029F">
              <w:rPr>
                <w:rFonts w:ascii="Arial" w:eastAsia="Times New Roman" w:hAnsi="Arial" w:cs="Arial"/>
                <w:b/>
                <w:bCs/>
                <w:color w:val="FFFFFF"/>
                <w:sz w:val="18"/>
                <w:szCs w:val="18"/>
                <w:lang w:eastAsia="en-GB"/>
              </w:rPr>
              <w:t xml:space="preserve">Patent </w:t>
            </w:r>
            <w:r>
              <w:rPr>
                <w:rFonts w:ascii="Arial" w:eastAsia="Times New Roman" w:hAnsi="Arial" w:cs="Arial"/>
                <w:b/>
                <w:bCs/>
                <w:color w:val="FFFFFF"/>
                <w:sz w:val="18"/>
                <w:szCs w:val="18"/>
                <w:lang w:eastAsia="en-GB"/>
              </w:rPr>
              <w:t>a</w:t>
            </w:r>
            <w:r w:rsidRPr="0034029F">
              <w:rPr>
                <w:rFonts w:ascii="Arial" w:eastAsia="Times New Roman" w:hAnsi="Arial" w:cs="Arial"/>
                <w:b/>
                <w:bCs/>
                <w:color w:val="FFFFFF"/>
                <w:sz w:val="18"/>
                <w:szCs w:val="18"/>
                <w:lang w:eastAsia="en-GB"/>
              </w:rPr>
              <w:t>ppl</w:t>
            </w:r>
            <w:r>
              <w:rPr>
                <w:rFonts w:ascii="Arial" w:eastAsia="Times New Roman" w:hAnsi="Arial" w:cs="Arial"/>
                <w:b/>
                <w:bCs/>
                <w:color w:val="FFFFFF"/>
                <w:sz w:val="18"/>
                <w:szCs w:val="18"/>
                <w:lang w:eastAsia="en-GB"/>
              </w:rPr>
              <w:t>.</w:t>
            </w:r>
            <w:r w:rsidRPr="0034029F">
              <w:rPr>
                <w:rFonts w:ascii="Arial" w:eastAsia="Times New Roman" w:hAnsi="Arial" w:cs="Arial"/>
                <w:b/>
                <w:bCs/>
                <w:color w:val="FFFFFF"/>
                <w:sz w:val="18"/>
                <w:szCs w:val="18"/>
                <w:lang w:eastAsia="en-GB"/>
              </w:rPr>
              <w:t xml:space="preserve"> </w:t>
            </w:r>
            <w:r>
              <w:rPr>
                <w:rFonts w:ascii="Arial" w:eastAsia="Times New Roman" w:hAnsi="Arial" w:cs="Arial"/>
                <w:b/>
                <w:bCs/>
                <w:color w:val="FFFFFF"/>
                <w:sz w:val="18"/>
                <w:szCs w:val="18"/>
                <w:lang w:eastAsia="en-GB"/>
              </w:rPr>
              <w:t>n</w:t>
            </w:r>
            <w:r w:rsidRPr="0034029F">
              <w:rPr>
                <w:rFonts w:ascii="Arial" w:eastAsia="Times New Roman" w:hAnsi="Arial" w:cs="Arial"/>
                <w:b/>
                <w:bCs/>
                <w:color w:val="FFFFFF"/>
                <w:sz w:val="18"/>
                <w:szCs w:val="18"/>
                <w:lang w:eastAsia="en-GB"/>
              </w:rPr>
              <w:t>ame</w:t>
            </w:r>
          </w:p>
        </w:tc>
        <w:tc>
          <w:tcPr>
            <w:tcW w:w="1134" w:type="dxa"/>
            <w:tcBorders>
              <w:top w:val="single" w:sz="4" w:space="0" w:color="CACAD9"/>
              <w:left w:val="nil"/>
              <w:bottom w:val="single" w:sz="4" w:space="0" w:color="CACAD9"/>
              <w:right w:val="single" w:sz="4" w:space="0" w:color="CACAD9"/>
            </w:tcBorders>
            <w:shd w:val="clear" w:color="FFFFFF" w:fill="5175B9"/>
            <w:noWrap/>
            <w:vAlign w:val="center"/>
            <w:hideMark/>
          </w:tcPr>
          <w:p w14:paraId="1E074B7A" w14:textId="77777777" w:rsidR="00BD154D" w:rsidRPr="0034029F" w:rsidRDefault="00BD154D" w:rsidP="00DF2591">
            <w:pPr>
              <w:spacing w:after="0" w:line="240" w:lineRule="auto"/>
              <w:jc w:val="center"/>
              <w:rPr>
                <w:rFonts w:ascii="Arial" w:eastAsia="Times New Roman" w:hAnsi="Arial" w:cs="Arial"/>
                <w:b/>
                <w:bCs/>
                <w:color w:val="FFFFFF"/>
                <w:sz w:val="18"/>
                <w:szCs w:val="18"/>
                <w:lang w:eastAsia="en-GB"/>
              </w:rPr>
            </w:pPr>
            <w:r w:rsidRPr="0034029F">
              <w:rPr>
                <w:rFonts w:ascii="Arial" w:eastAsia="Times New Roman" w:hAnsi="Arial" w:cs="Arial"/>
                <w:b/>
                <w:bCs/>
                <w:color w:val="FFFFFF"/>
                <w:sz w:val="18"/>
                <w:szCs w:val="18"/>
                <w:lang w:eastAsia="en-GB"/>
              </w:rPr>
              <w:t xml:space="preserve">Patent </w:t>
            </w:r>
            <w:r>
              <w:rPr>
                <w:rFonts w:ascii="Arial" w:eastAsia="Times New Roman" w:hAnsi="Arial" w:cs="Arial"/>
                <w:b/>
                <w:bCs/>
                <w:color w:val="FFFFFF"/>
                <w:sz w:val="18"/>
                <w:szCs w:val="18"/>
                <w:lang w:eastAsia="en-GB"/>
              </w:rPr>
              <w:t>a</w:t>
            </w:r>
            <w:r w:rsidRPr="0034029F">
              <w:rPr>
                <w:rFonts w:ascii="Arial" w:eastAsia="Times New Roman" w:hAnsi="Arial" w:cs="Arial"/>
                <w:b/>
                <w:bCs/>
                <w:color w:val="FFFFFF"/>
                <w:sz w:val="18"/>
                <w:szCs w:val="18"/>
                <w:lang w:eastAsia="en-GB"/>
              </w:rPr>
              <w:t>ppl</w:t>
            </w:r>
            <w:r>
              <w:rPr>
                <w:rFonts w:ascii="Arial" w:eastAsia="Times New Roman" w:hAnsi="Arial" w:cs="Arial"/>
                <w:b/>
                <w:bCs/>
                <w:color w:val="FFFFFF"/>
                <w:sz w:val="18"/>
                <w:szCs w:val="18"/>
                <w:lang w:eastAsia="en-GB"/>
              </w:rPr>
              <w:t>.</w:t>
            </w:r>
            <w:r w:rsidRPr="0034029F">
              <w:rPr>
                <w:rFonts w:ascii="Arial" w:eastAsia="Times New Roman" w:hAnsi="Arial" w:cs="Arial"/>
                <w:b/>
                <w:bCs/>
                <w:color w:val="FFFFFF"/>
                <w:sz w:val="18"/>
                <w:szCs w:val="18"/>
                <w:lang w:eastAsia="en-GB"/>
              </w:rPr>
              <w:t xml:space="preserve"> </w:t>
            </w:r>
            <w:r>
              <w:rPr>
                <w:rFonts w:ascii="Arial" w:eastAsia="Times New Roman" w:hAnsi="Arial" w:cs="Arial"/>
                <w:b/>
                <w:bCs/>
                <w:color w:val="FFFFFF"/>
                <w:sz w:val="18"/>
                <w:szCs w:val="18"/>
                <w:lang w:eastAsia="en-GB"/>
              </w:rPr>
              <w:t>d</w:t>
            </w:r>
            <w:r w:rsidRPr="0034029F">
              <w:rPr>
                <w:rFonts w:ascii="Arial" w:eastAsia="Times New Roman" w:hAnsi="Arial" w:cs="Arial"/>
                <w:b/>
                <w:bCs/>
                <w:color w:val="FFFFFF"/>
                <w:sz w:val="18"/>
                <w:szCs w:val="18"/>
                <w:lang w:eastAsia="en-GB"/>
              </w:rPr>
              <w:t>ate</w:t>
            </w:r>
          </w:p>
        </w:tc>
        <w:tc>
          <w:tcPr>
            <w:tcW w:w="986" w:type="dxa"/>
            <w:tcBorders>
              <w:top w:val="single" w:sz="4" w:space="0" w:color="CACAD9"/>
              <w:left w:val="nil"/>
              <w:bottom w:val="single" w:sz="4" w:space="0" w:color="CACAD9"/>
              <w:right w:val="single" w:sz="4" w:space="0" w:color="CACAD9"/>
            </w:tcBorders>
            <w:shd w:val="clear" w:color="FFFFFF" w:fill="5175B9"/>
            <w:noWrap/>
            <w:vAlign w:val="center"/>
            <w:hideMark/>
          </w:tcPr>
          <w:p w14:paraId="18E754F3" w14:textId="77777777" w:rsidR="00BD154D" w:rsidRPr="0034029F" w:rsidRDefault="00BD154D" w:rsidP="00DF2591">
            <w:pPr>
              <w:spacing w:after="0" w:line="240" w:lineRule="auto"/>
              <w:jc w:val="center"/>
              <w:rPr>
                <w:rFonts w:ascii="Arial" w:eastAsia="Times New Roman" w:hAnsi="Arial" w:cs="Arial"/>
                <w:b/>
                <w:bCs/>
                <w:color w:val="FFFFFF"/>
                <w:sz w:val="18"/>
                <w:szCs w:val="18"/>
                <w:lang w:eastAsia="en-GB"/>
              </w:rPr>
            </w:pPr>
            <w:r w:rsidRPr="0034029F">
              <w:rPr>
                <w:rFonts w:ascii="Arial" w:eastAsia="Times New Roman" w:hAnsi="Arial" w:cs="Arial"/>
                <w:b/>
                <w:bCs/>
                <w:color w:val="FFFFFF"/>
                <w:sz w:val="18"/>
                <w:szCs w:val="18"/>
                <w:lang w:eastAsia="en-GB"/>
              </w:rPr>
              <w:t xml:space="preserve">Patent </w:t>
            </w:r>
            <w:r>
              <w:rPr>
                <w:rFonts w:ascii="Arial" w:eastAsia="Times New Roman" w:hAnsi="Arial" w:cs="Arial"/>
                <w:b/>
                <w:bCs/>
                <w:color w:val="FFFFFF"/>
                <w:sz w:val="18"/>
                <w:szCs w:val="18"/>
                <w:lang w:eastAsia="en-GB"/>
              </w:rPr>
              <w:t>a</w:t>
            </w:r>
            <w:r w:rsidRPr="0034029F">
              <w:rPr>
                <w:rFonts w:ascii="Arial" w:eastAsia="Times New Roman" w:hAnsi="Arial" w:cs="Arial"/>
                <w:b/>
                <w:bCs/>
                <w:color w:val="FFFFFF"/>
                <w:sz w:val="18"/>
                <w:szCs w:val="18"/>
                <w:lang w:eastAsia="en-GB"/>
              </w:rPr>
              <w:t>warded</w:t>
            </w:r>
          </w:p>
        </w:tc>
      </w:tr>
      <w:bookmarkEnd w:id="253"/>
      <w:tr w:rsidR="00BD154D" w:rsidRPr="0034029F" w14:paraId="24094C62" w14:textId="77777777" w:rsidTr="00DF2591">
        <w:trPr>
          <w:trHeight w:val="654"/>
        </w:trPr>
        <w:tc>
          <w:tcPr>
            <w:tcW w:w="988" w:type="dxa"/>
            <w:tcBorders>
              <w:top w:val="single" w:sz="4" w:space="0" w:color="CAC9D9"/>
              <w:left w:val="single" w:sz="4" w:space="0" w:color="CAC9D9"/>
              <w:bottom w:val="single" w:sz="4" w:space="0" w:color="CAC9D9"/>
              <w:right w:val="single" w:sz="4" w:space="0" w:color="CAC9D9"/>
            </w:tcBorders>
            <w:shd w:val="clear" w:color="auto" w:fill="D9D9D9" w:themeFill="background1" w:themeFillShade="D9"/>
            <w:noWrap/>
            <w:vAlign w:val="center"/>
            <w:hideMark/>
          </w:tcPr>
          <w:p w14:paraId="49FCAEE3"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hAnsiTheme="minorHAnsi" w:cstheme="minorHAnsi"/>
                <w:color w:val="000000"/>
                <w:sz w:val="18"/>
                <w:szCs w:val="18"/>
                <w:lang w:eastAsia="en-GB"/>
              </w:rPr>
              <w:t>700355</w:t>
            </w:r>
          </w:p>
        </w:tc>
        <w:tc>
          <w:tcPr>
            <w:tcW w:w="992" w:type="dxa"/>
            <w:tcBorders>
              <w:top w:val="single" w:sz="4" w:space="0" w:color="CAC9D9"/>
              <w:left w:val="nil"/>
              <w:bottom w:val="single" w:sz="4" w:space="0" w:color="CAC9D9"/>
              <w:right w:val="single" w:sz="4" w:space="0" w:color="CAC9D9"/>
            </w:tcBorders>
            <w:shd w:val="clear" w:color="auto" w:fill="D9D9D9" w:themeFill="background1" w:themeFillShade="D9"/>
            <w:noWrap/>
            <w:vAlign w:val="center"/>
            <w:hideMark/>
          </w:tcPr>
          <w:p w14:paraId="7DCE187F"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hAnsiTheme="minorHAnsi" w:cstheme="minorHAnsi"/>
                <w:color w:val="000000"/>
                <w:sz w:val="18"/>
                <w:szCs w:val="18"/>
                <w:lang w:eastAsia="en-GB"/>
              </w:rPr>
              <w:t>Hy</w:t>
            </w:r>
            <w:r>
              <w:rPr>
                <w:rFonts w:asciiTheme="minorHAnsi" w:hAnsiTheme="minorHAnsi" w:cstheme="minorHAnsi"/>
                <w:color w:val="000000"/>
                <w:sz w:val="18"/>
                <w:szCs w:val="18"/>
                <w:lang w:eastAsia="en-GB"/>
              </w:rPr>
              <w:t>G</w:t>
            </w:r>
            <w:r w:rsidRPr="005D1AA3">
              <w:rPr>
                <w:rFonts w:asciiTheme="minorHAnsi" w:hAnsiTheme="minorHAnsi" w:cstheme="minorHAnsi"/>
                <w:color w:val="000000"/>
                <w:sz w:val="18"/>
                <w:szCs w:val="18"/>
                <w:lang w:eastAsia="en-GB"/>
              </w:rPr>
              <w:t>rid</w:t>
            </w:r>
          </w:p>
        </w:tc>
        <w:tc>
          <w:tcPr>
            <w:tcW w:w="4394" w:type="dxa"/>
            <w:tcBorders>
              <w:top w:val="single" w:sz="4" w:space="0" w:color="CAC9D9"/>
              <w:left w:val="nil"/>
              <w:bottom w:val="single" w:sz="4" w:space="0" w:color="CAC9D9"/>
              <w:right w:val="single" w:sz="4" w:space="0" w:color="CAC9D9"/>
            </w:tcBorders>
            <w:shd w:val="clear" w:color="auto" w:fill="D9D9D9" w:themeFill="background1" w:themeFillShade="D9"/>
            <w:noWrap/>
            <w:vAlign w:val="center"/>
            <w:hideMark/>
          </w:tcPr>
          <w:p w14:paraId="668EBEC3"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hAnsiTheme="minorHAnsi" w:cstheme="minorHAnsi"/>
                <w:color w:val="000000"/>
                <w:sz w:val="18"/>
                <w:szCs w:val="18"/>
                <w:lang w:eastAsia="en-GB"/>
              </w:rPr>
              <w:t>Carbon molecular sieve membrane and its use in separation processes</w:t>
            </w:r>
          </w:p>
        </w:tc>
        <w:tc>
          <w:tcPr>
            <w:tcW w:w="1559" w:type="dxa"/>
            <w:tcBorders>
              <w:top w:val="single" w:sz="4" w:space="0" w:color="CAC9D9"/>
              <w:left w:val="nil"/>
              <w:bottom w:val="single" w:sz="4" w:space="0" w:color="CAC9D9"/>
              <w:right w:val="single" w:sz="4" w:space="0" w:color="CAC9D9"/>
            </w:tcBorders>
            <w:shd w:val="clear" w:color="auto" w:fill="D9D9D9" w:themeFill="background1" w:themeFillShade="D9"/>
            <w:noWrap/>
            <w:vAlign w:val="center"/>
            <w:hideMark/>
          </w:tcPr>
          <w:p w14:paraId="0D393E25"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hAnsiTheme="minorHAnsi" w:cstheme="minorHAnsi"/>
                <w:color w:val="000000"/>
                <w:sz w:val="18"/>
                <w:szCs w:val="18"/>
                <w:lang w:eastAsia="en-GB"/>
              </w:rPr>
              <w:t>TUE Tecnalia</w:t>
            </w:r>
          </w:p>
        </w:tc>
        <w:tc>
          <w:tcPr>
            <w:tcW w:w="1134" w:type="dxa"/>
            <w:tcBorders>
              <w:top w:val="single" w:sz="4" w:space="0" w:color="CAC9D9"/>
              <w:left w:val="nil"/>
              <w:bottom w:val="single" w:sz="4" w:space="0" w:color="CAC9D9"/>
              <w:right w:val="single" w:sz="4" w:space="0" w:color="CAC9D9"/>
            </w:tcBorders>
            <w:shd w:val="clear" w:color="auto" w:fill="D9D9D9" w:themeFill="background1" w:themeFillShade="D9"/>
            <w:noWrap/>
            <w:vAlign w:val="center"/>
            <w:hideMark/>
          </w:tcPr>
          <w:p w14:paraId="6811DC38"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hAnsiTheme="minorHAnsi" w:cstheme="minorHAnsi"/>
                <w:color w:val="000000"/>
                <w:sz w:val="18"/>
                <w:szCs w:val="18"/>
                <w:lang w:val="en-US" w:eastAsia="en-GB"/>
              </w:rPr>
              <w:t>2019</w:t>
            </w:r>
          </w:p>
        </w:tc>
        <w:tc>
          <w:tcPr>
            <w:tcW w:w="986" w:type="dxa"/>
            <w:tcBorders>
              <w:top w:val="single" w:sz="4" w:space="0" w:color="CAC9D9"/>
              <w:left w:val="nil"/>
              <w:bottom w:val="single" w:sz="4" w:space="0" w:color="CAC9D9"/>
              <w:right w:val="single" w:sz="4" w:space="0" w:color="CAC9D9"/>
            </w:tcBorders>
            <w:shd w:val="clear" w:color="auto" w:fill="D9D9D9" w:themeFill="background1" w:themeFillShade="D9"/>
            <w:noWrap/>
            <w:vAlign w:val="center"/>
          </w:tcPr>
          <w:p w14:paraId="103A34D3"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eastAsia="Times New Roman" w:hAnsiTheme="minorHAnsi" w:cstheme="minorHAnsi"/>
                <w:color w:val="000000"/>
                <w:sz w:val="18"/>
                <w:szCs w:val="18"/>
                <w:lang w:eastAsia="en-GB"/>
              </w:rPr>
              <w:t>YES</w:t>
            </w:r>
          </w:p>
        </w:tc>
      </w:tr>
      <w:tr w:rsidR="00BD154D" w:rsidRPr="0034029F" w14:paraId="15156B47" w14:textId="77777777" w:rsidTr="00DF2591">
        <w:trPr>
          <w:trHeight w:val="654"/>
        </w:trPr>
        <w:tc>
          <w:tcPr>
            <w:tcW w:w="988" w:type="dxa"/>
            <w:tcBorders>
              <w:top w:val="single" w:sz="4" w:space="0" w:color="CAC9D9"/>
              <w:left w:val="single" w:sz="4" w:space="0" w:color="CAC9D9"/>
              <w:bottom w:val="single" w:sz="4" w:space="0" w:color="CAC9D9"/>
              <w:right w:val="single" w:sz="4" w:space="0" w:color="CAC9D9"/>
            </w:tcBorders>
            <w:shd w:val="clear" w:color="auto" w:fill="D9D9D9" w:themeFill="background1" w:themeFillShade="D9"/>
            <w:noWrap/>
            <w:vAlign w:val="center"/>
            <w:hideMark/>
          </w:tcPr>
          <w:p w14:paraId="13C41B41"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hAnsiTheme="minorHAnsi" w:cstheme="minorHAnsi"/>
                <w:color w:val="000000"/>
                <w:sz w:val="18"/>
                <w:szCs w:val="18"/>
                <w:lang w:eastAsia="en-GB"/>
              </w:rPr>
              <w:t>700355</w:t>
            </w:r>
          </w:p>
        </w:tc>
        <w:tc>
          <w:tcPr>
            <w:tcW w:w="992" w:type="dxa"/>
            <w:tcBorders>
              <w:top w:val="single" w:sz="4" w:space="0" w:color="CAC9D9"/>
              <w:left w:val="nil"/>
              <w:bottom w:val="single" w:sz="4" w:space="0" w:color="CAC9D9"/>
              <w:right w:val="single" w:sz="4" w:space="0" w:color="CAC9D9"/>
            </w:tcBorders>
            <w:shd w:val="clear" w:color="auto" w:fill="D9D9D9" w:themeFill="background1" w:themeFillShade="D9"/>
            <w:noWrap/>
            <w:vAlign w:val="center"/>
            <w:hideMark/>
          </w:tcPr>
          <w:p w14:paraId="6556434F"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hAnsiTheme="minorHAnsi" w:cstheme="minorHAnsi"/>
                <w:color w:val="000000"/>
                <w:sz w:val="18"/>
                <w:szCs w:val="18"/>
                <w:lang w:eastAsia="en-GB"/>
              </w:rPr>
              <w:t>Hy</w:t>
            </w:r>
            <w:r>
              <w:rPr>
                <w:rFonts w:asciiTheme="minorHAnsi" w:hAnsiTheme="minorHAnsi" w:cstheme="minorHAnsi"/>
                <w:color w:val="000000"/>
                <w:sz w:val="18"/>
                <w:szCs w:val="18"/>
                <w:lang w:eastAsia="en-GB"/>
              </w:rPr>
              <w:t>G</w:t>
            </w:r>
            <w:r w:rsidRPr="005D1AA3">
              <w:rPr>
                <w:rFonts w:asciiTheme="minorHAnsi" w:hAnsiTheme="minorHAnsi" w:cstheme="minorHAnsi"/>
                <w:color w:val="000000"/>
                <w:sz w:val="18"/>
                <w:szCs w:val="18"/>
                <w:lang w:eastAsia="en-GB"/>
              </w:rPr>
              <w:t>rid</w:t>
            </w:r>
          </w:p>
        </w:tc>
        <w:tc>
          <w:tcPr>
            <w:tcW w:w="4394" w:type="dxa"/>
            <w:tcBorders>
              <w:top w:val="single" w:sz="4" w:space="0" w:color="CAC9D9"/>
              <w:left w:val="nil"/>
              <w:bottom w:val="single" w:sz="4" w:space="0" w:color="CAC9D9"/>
              <w:right w:val="single" w:sz="4" w:space="0" w:color="CAC9D9"/>
            </w:tcBorders>
            <w:shd w:val="clear" w:color="auto" w:fill="D9D9D9" w:themeFill="background1" w:themeFillShade="D9"/>
            <w:noWrap/>
            <w:vAlign w:val="center"/>
            <w:hideMark/>
          </w:tcPr>
          <w:p w14:paraId="39611E78"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hAnsiTheme="minorHAnsi" w:cstheme="minorHAnsi"/>
                <w:color w:val="000000"/>
                <w:sz w:val="18"/>
                <w:szCs w:val="18"/>
                <w:lang w:eastAsia="en-GB"/>
              </w:rPr>
              <w:t>Method for low hydrogen content separation from a natural gas mixture</w:t>
            </w:r>
          </w:p>
        </w:tc>
        <w:tc>
          <w:tcPr>
            <w:tcW w:w="1559" w:type="dxa"/>
            <w:tcBorders>
              <w:top w:val="single" w:sz="4" w:space="0" w:color="CAC9D9"/>
              <w:left w:val="nil"/>
              <w:bottom w:val="single" w:sz="4" w:space="0" w:color="CAC9D9"/>
              <w:right w:val="single" w:sz="4" w:space="0" w:color="CAC9D9"/>
            </w:tcBorders>
            <w:shd w:val="clear" w:color="auto" w:fill="D9D9D9" w:themeFill="background1" w:themeFillShade="D9"/>
            <w:noWrap/>
            <w:vAlign w:val="center"/>
            <w:hideMark/>
          </w:tcPr>
          <w:p w14:paraId="5DDAA33B"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hAnsiTheme="minorHAnsi" w:cstheme="minorHAnsi"/>
                <w:color w:val="000000"/>
                <w:sz w:val="18"/>
                <w:szCs w:val="18"/>
                <w:lang w:eastAsia="en-GB"/>
              </w:rPr>
              <w:t>TUE Tecnalia</w:t>
            </w:r>
          </w:p>
        </w:tc>
        <w:tc>
          <w:tcPr>
            <w:tcW w:w="1134" w:type="dxa"/>
            <w:tcBorders>
              <w:top w:val="single" w:sz="4" w:space="0" w:color="CAC9D9"/>
              <w:left w:val="nil"/>
              <w:bottom w:val="single" w:sz="4" w:space="0" w:color="CAC9D9"/>
              <w:right w:val="single" w:sz="4" w:space="0" w:color="CAC9D9"/>
            </w:tcBorders>
            <w:shd w:val="clear" w:color="auto" w:fill="D9D9D9" w:themeFill="background1" w:themeFillShade="D9"/>
            <w:noWrap/>
            <w:vAlign w:val="center"/>
            <w:hideMark/>
          </w:tcPr>
          <w:p w14:paraId="27B4ECC5"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hAnsiTheme="minorHAnsi" w:cstheme="minorHAnsi"/>
                <w:color w:val="000000"/>
                <w:sz w:val="18"/>
                <w:szCs w:val="18"/>
                <w:lang w:val="en-US" w:eastAsia="en-GB"/>
              </w:rPr>
              <w:t>12/2018</w:t>
            </w:r>
          </w:p>
        </w:tc>
        <w:tc>
          <w:tcPr>
            <w:tcW w:w="986" w:type="dxa"/>
            <w:tcBorders>
              <w:top w:val="single" w:sz="4" w:space="0" w:color="CAC9D9"/>
              <w:left w:val="nil"/>
              <w:bottom w:val="single" w:sz="4" w:space="0" w:color="CAC9D9"/>
              <w:right w:val="single" w:sz="4" w:space="0" w:color="CAC9D9"/>
            </w:tcBorders>
            <w:shd w:val="clear" w:color="auto" w:fill="D9D9D9" w:themeFill="background1" w:themeFillShade="D9"/>
            <w:noWrap/>
            <w:vAlign w:val="center"/>
          </w:tcPr>
          <w:p w14:paraId="62EC0F57"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eastAsia="Times New Roman" w:hAnsiTheme="minorHAnsi" w:cstheme="minorHAnsi"/>
                <w:color w:val="000000"/>
                <w:sz w:val="18"/>
                <w:szCs w:val="18"/>
                <w:lang w:eastAsia="en-GB"/>
              </w:rPr>
              <w:t>YES</w:t>
            </w:r>
          </w:p>
        </w:tc>
      </w:tr>
      <w:tr w:rsidR="00BD154D" w:rsidRPr="0034029F" w14:paraId="2F0412C0" w14:textId="77777777" w:rsidTr="00DF2591">
        <w:trPr>
          <w:trHeight w:val="654"/>
        </w:trPr>
        <w:tc>
          <w:tcPr>
            <w:tcW w:w="988" w:type="dxa"/>
            <w:tcBorders>
              <w:top w:val="single" w:sz="4" w:space="0" w:color="CACAD9"/>
              <w:left w:val="single" w:sz="4" w:space="0" w:color="CAC9D9"/>
              <w:bottom w:val="single" w:sz="4" w:space="0" w:color="CAC9D9"/>
              <w:right w:val="single" w:sz="4" w:space="0" w:color="CAC9D9"/>
            </w:tcBorders>
            <w:shd w:val="clear" w:color="FFFFFF" w:fill="FFFFFF" w:themeFill="background1"/>
            <w:noWrap/>
            <w:vAlign w:val="center"/>
          </w:tcPr>
          <w:p w14:paraId="71C14121"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bookmarkStart w:id="254" w:name="_Hlk97842631"/>
            <w:r w:rsidRPr="005D1AA3">
              <w:rPr>
                <w:rFonts w:asciiTheme="minorHAnsi" w:hAnsiTheme="minorHAnsi" w:cstheme="minorHAnsi"/>
                <w:color w:val="000000"/>
                <w:sz w:val="18"/>
                <w:szCs w:val="18"/>
                <w:lang w:eastAsia="en-GB"/>
              </w:rPr>
              <w:t>621181</w:t>
            </w:r>
          </w:p>
        </w:tc>
        <w:tc>
          <w:tcPr>
            <w:tcW w:w="992" w:type="dxa"/>
            <w:tcBorders>
              <w:top w:val="single" w:sz="4" w:space="0" w:color="CACAD9"/>
              <w:left w:val="nil"/>
              <w:bottom w:val="single" w:sz="4" w:space="0" w:color="CAC9D9"/>
              <w:right w:val="single" w:sz="4" w:space="0" w:color="CAC9D9"/>
            </w:tcBorders>
            <w:shd w:val="clear" w:color="FFFFFF" w:fill="FFFFFF" w:themeFill="background1"/>
            <w:noWrap/>
            <w:vAlign w:val="center"/>
          </w:tcPr>
          <w:p w14:paraId="1DEC93FD"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hAnsiTheme="minorHAnsi" w:cstheme="minorHAnsi"/>
                <w:color w:val="000000"/>
                <w:sz w:val="18"/>
                <w:szCs w:val="18"/>
                <w:lang w:eastAsia="en-GB"/>
              </w:rPr>
              <w:t>FERRET</w:t>
            </w:r>
          </w:p>
        </w:tc>
        <w:tc>
          <w:tcPr>
            <w:tcW w:w="4394" w:type="dxa"/>
            <w:tcBorders>
              <w:top w:val="single" w:sz="4" w:space="0" w:color="CACAD9"/>
              <w:left w:val="nil"/>
              <w:bottom w:val="single" w:sz="4" w:space="0" w:color="CAC9D9"/>
              <w:right w:val="single" w:sz="4" w:space="0" w:color="CAC9D9"/>
            </w:tcBorders>
            <w:shd w:val="clear" w:color="FFFFFF" w:fill="FFFFFF" w:themeFill="background1"/>
            <w:noWrap/>
            <w:vAlign w:val="center"/>
          </w:tcPr>
          <w:p w14:paraId="17F61446"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hAnsiTheme="minorHAnsi" w:cstheme="minorHAnsi"/>
                <w:color w:val="000000"/>
                <w:sz w:val="18"/>
                <w:szCs w:val="18"/>
                <w:lang w:eastAsia="en-GB"/>
              </w:rPr>
              <w:t>Advanced double skin membranes for membrane reactors</w:t>
            </w:r>
          </w:p>
        </w:tc>
        <w:tc>
          <w:tcPr>
            <w:tcW w:w="1559" w:type="dxa"/>
            <w:tcBorders>
              <w:top w:val="single" w:sz="4" w:space="0" w:color="CACAD9"/>
              <w:left w:val="nil"/>
              <w:bottom w:val="single" w:sz="4" w:space="0" w:color="CAC9D9"/>
              <w:right w:val="single" w:sz="4" w:space="0" w:color="CAC9D9"/>
            </w:tcBorders>
            <w:shd w:val="clear" w:color="FFFFFF" w:fill="FFFFFF" w:themeFill="background1"/>
            <w:noWrap/>
            <w:vAlign w:val="center"/>
          </w:tcPr>
          <w:p w14:paraId="56748038"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hAnsiTheme="minorHAnsi" w:cstheme="minorHAnsi"/>
                <w:color w:val="000000"/>
                <w:sz w:val="18"/>
                <w:szCs w:val="18"/>
                <w:lang w:eastAsia="en-GB"/>
              </w:rPr>
              <w:t>TUE Tecnalia</w:t>
            </w:r>
          </w:p>
        </w:tc>
        <w:tc>
          <w:tcPr>
            <w:tcW w:w="1134" w:type="dxa"/>
            <w:tcBorders>
              <w:top w:val="single" w:sz="4" w:space="0" w:color="CACAD9"/>
              <w:left w:val="nil"/>
              <w:bottom w:val="single" w:sz="4" w:space="0" w:color="CAC9D9"/>
              <w:right w:val="single" w:sz="4" w:space="0" w:color="CAC9D9"/>
            </w:tcBorders>
            <w:shd w:val="clear" w:color="FFFFFF" w:fill="FFFFFF" w:themeFill="background1"/>
            <w:noWrap/>
            <w:vAlign w:val="center"/>
          </w:tcPr>
          <w:p w14:paraId="4E67C66D"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hAnsiTheme="minorHAnsi" w:cstheme="minorHAnsi"/>
                <w:color w:val="000000"/>
                <w:sz w:val="18"/>
                <w:szCs w:val="18"/>
                <w:lang w:val="en-US" w:eastAsia="en-GB"/>
              </w:rPr>
              <w:t>2017</w:t>
            </w:r>
          </w:p>
        </w:tc>
        <w:tc>
          <w:tcPr>
            <w:tcW w:w="986" w:type="dxa"/>
            <w:tcBorders>
              <w:top w:val="single" w:sz="4" w:space="0" w:color="CACAD9"/>
              <w:left w:val="nil"/>
              <w:bottom w:val="single" w:sz="4" w:space="0" w:color="CAC9D9"/>
              <w:right w:val="single" w:sz="4" w:space="0" w:color="CAC9D9"/>
            </w:tcBorders>
            <w:shd w:val="clear" w:color="FFFFFF" w:fill="FFFFFF" w:themeFill="background1"/>
            <w:noWrap/>
            <w:vAlign w:val="center"/>
          </w:tcPr>
          <w:p w14:paraId="7E341484"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5D1AA3">
              <w:rPr>
                <w:rFonts w:asciiTheme="minorHAnsi" w:hAnsiTheme="minorHAnsi" w:cstheme="minorHAnsi"/>
                <w:color w:val="000000"/>
                <w:sz w:val="18"/>
                <w:szCs w:val="18"/>
                <w:lang w:eastAsia="en-GB"/>
              </w:rPr>
              <w:t>YES</w:t>
            </w:r>
          </w:p>
        </w:tc>
      </w:tr>
      <w:tr w:rsidR="00BD154D" w:rsidRPr="00302A43" w14:paraId="3CCA0647" w14:textId="77777777" w:rsidTr="00DF2591">
        <w:trPr>
          <w:trHeight w:val="654"/>
        </w:trPr>
        <w:tc>
          <w:tcPr>
            <w:tcW w:w="988" w:type="dxa"/>
            <w:tcBorders>
              <w:top w:val="single" w:sz="4" w:space="0" w:color="CAC9D9"/>
              <w:left w:val="single" w:sz="4" w:space="0" w:color="CAC9D9"/>
              <w:bottom w:val="single" w:sz="4" w:space="0" w:color="CAC9D9"/>
              <w:right w:val="single" w:sz="4" w:space="0" w:color="CAC9D9"/>
            </w:tcBorders>
            <w:shd w:val="clear" w:color="auto" w:fill="D9D9D9" w:themeFill="background1" w:themeFillShade="D9"/>
            <w:noWrap/>
            <w:vAlign w:val="center"/>
          </w:tcPr>
          <w:p w14:paraId="4A5020E6" w14:textId="77777777" w:rsidR="00BD154D" w:rsidRPr="00302A43" w:rsidRDefault="00BD154D" w:rsidP="00DF2591">
            <w:pPr>
              <w:spacing w:after="0" w:line="240" w:lineRule="auto"/>
              <w:jc w:val="center"/>
              <w:rPr>
                <w:rFonts w:asciiTheme="minorHAnsi" w:eastAsia="Times New Roman" w:hAnsiTheme="minorHAnsi" w:cstheme="minorHAnsi"/>
                <w:color w:val="000000"/>
                <w:sz w:val="18"/>
                <w:szCs w:val="18"/>
                <w:lang w:eastAsia="en-GB"/>
              </w:rPr>
            </w:pPr>
            <w:bookmarkStart w:id="255" w:name="_Toc1731205"/>
            <w:bookmarkEnd w:id="254"/>
            <w:r w:rsidRPr="00302A43">
              <w:rPr>
                <w:rFonts w:asciiTheme="minorHAnsi" w:eastAsia="Times New Roman" w:hAnsiTheme="minorHAnsi" w:cstheme="minorHAnsi"/>
                <w:color w:val="000000"/>
                <w:sz w:val="18"/>
                <w:szCs w:val="18"/>
                <w:lang w:eastAsia="en-GB"/>
              </w:rPr>
              <w:t>700266</w:t>
            </w:r>
          </w:p>
        </w:tc>
        <w:tc>
          <w:tcPr>
            <w:tcW w:w="992" w:type="dxa"/>
            <w:tcBorders>
              <w:top w:val="single" w:sz="4" w:space="0" w:color="CAC9D9"/>
              <w:left w:val="nil"/>
              <w:bottom w:val="single" w:sz="4" w:space="0" w:color="CAC9D9"/>
              <w:right w:val="single" w:sz="4" w:space="0" w:color="CAC9D9"/>
            </w:tcBorders>
            <w:shd w:val="clear" w:color="auto" w:fill="D9D9D9" w:themeFill="background1" w:themeFillShade="D9"/>
            <w:noWrap/>
            <w:vAlign w:val="center"/>
          </w:tcPr>
          <w:p w14:paraId="7F0AE687" w14:textId="77777777" w:rsidR="00BD154D" w:rsidRPr="00302A4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302A43">
              <w:rPr>
                <w:rFonts w:asciiTheme="minorHAnsi" w:eastAsia="Times New Roman" w:hAnsiTheme="minorHAnsi" w:cstheme="minorHAnsi"/>
                <w:color w:val="000000"/>
                <w:sz w:val="18"/>
                <w:szCs w:val="18"/>
                <w:lang w:eastAsia="en-GB"/>
              </w:rPr>
              <w:t>Cell3Ditor</w:t>
            </w:r>
          </w:p>
        </w:tc>
        <w:tc>
          <w:tcPr>
            <w:tcW w:w="4394" w:type="dxa"/>
            <w:tcBorders>
              <w:top w:val="single" w:sz="4" w:space="0" w:color="CAC9D9"/>
              <w:left w:val="nil"/>
              <w:bottom w:val="single" w:sz="4" w:space="0" w:color="CAC9D9"/>
              <w:right w:val="single" w:sz="4" w:space="0" w:color="CAC9D9"/>
            </w:tcBorders>
            <w:shd w:val="clear" w:color="auto" w:fill="D9D9D9" w:themeFill="background1" w:themeFillShade="D9"/>
            <w:noWrap/>
            <w:vAlign w:val="center"/>
          </w:tcPr>
          <w:p w14:paraId="603AB41D" w14:textId="77777777" w:rsidR="00BD154D" w:rsidRPr="00302A4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302A43">
              <w:rPr>
                <w:rFonts w:asciiTheme="minorHAnsi" w:eastAsia="Times New Roman" w:hAnsiTheme="minorHAnsi" w:cstheme="minorHAnsi"/>
                <w:color w:val="000000"/>
                <w:sz w:val="18"/>
                <w:szCs w:val="18"/>
                <w:lang w:eastAsia="en-GB"/>
              </w:rPr>
              <w:t>Method and device for Manufacturing of Ceramic or Metallic Pieces by Additive Manufacturing</w:t>
            </w:r>
          </w:p>
        </w:tc>
        <w:tc>
          <w:tcPr>
            <w:tcW w:w="1559" w:type="dxa"/>
            <w:tcBorders>
              <w:top w:val="single" w:sz="4" w:space="0" w:color="CAC9D9"/>
              <w:left w:val="nil"/>
              <w:bottom w:val="single" w:sz="4" w:space="0" w:color="CAC9D9"/>
              <w:right w:val="single" w:sz="4" w:space="0" w:color="CAC9D9"/>
            </w:tcBorders>
            <w:shd w:val="clear" w:color="auto" w:fill="D9D9D9" w:themeFill="background1" w:themeFillShade="D9"/>
            <w:noWrap/>
            <w:vAlign w:val="center"/>
          </w:tcPr>
          <w:p w14:paraId="471CAC1A" w14:textId="77777777" w:rsidR="00BD154D" w:rsidRPr="00302A4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302A43">
              <w:rPr>
                <w:rFonts w:asciiTheme="minorHAnsi" w:eastAsia="Times New Roman" w:hAnsiTheme="minorHAnsi" w:cstheme="minorHAnsi"/>
                <w:color w:val="000000"/>
                <w:sz w:val="18"/>
                <w:szCs w:val="18"/>
                <w:lang w:eastAsia="en-GB"/>
              </w:rPr>
              <w:t>3DCERAM</w:t>
            </w:r>
          </w:p>
        </w:tc>
        <w:tc>
          <w:tcPr>
            <w:tcW w:w="1134" w:type="dxa"/>
            <w:tcBorders>
              <w:top w:val="single" w:sz="4" w:space="0" w:color="CAC9D9"/>
              <w:left w:val="nil"/>
              <w:bottom w:val="single" w:sz="4" w:space="0" w:color="CAC9D9"/>
              <w:right w:val="single" w:sz="4" w:space="0" w:color="CAC9D9"/>
            </w:tcBorders>
            <w:shd w:val="clear" w:color="auto" w:fill="D9D9D9" w:themeFill="background1" w:themeFillShade="D9"/>
            <w:noWrap/>
            <w:vAlign w:val="center"/>
          </w:tcPr>
          <w:p w14:paraId="32034D0B" w14:textId="77777777" w:rsidR="00BD154D" w:rsidRPr="00302A4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302A43">
              <w:rPr>
                <w:rFonts w:asciiTheme="minorHAnsi" w:eastAsia="Times New Roman" w:hAnsiTheme="minorHAnsi" w:cstheme="minorHAnsi"/>
                <w:color w:val="000000"/>
                <w:sz w:val="18"/>
                <w:szCs w:val="18"/>
                <w:lang w:eastAsia="en-GB"/>
              </w:rPr>
              <w:t>20/06/2018</w:t>
            </w:r>
          </w:p>
        </w:tc>
        <w:tc>
          <w:tcPr>
            <w:tcW w:w="986" w:type="dxa"/>
            <w:tcBorders>
              <w:top w:val="single" w:sz="4" w:space="0" w:color="CAC9D9"/>
              <w:left w:val="nil"/>
              <w:bottom w:val="single" w:sz="4" w:space="0" w:color="CAC9D9"/>
              <w:right w:val="single" w:sz="4" w:space="0" w:color="CAC9D9"/>
            </w:tcBorders>
            <w:shd w:val="clear" w:color="auto" w:fill="D9D9D9" w:themeFill="background1" w:themeFillShade="D9"/>
            <w:noWrap/>
            <w:vAlign w:val="center"/>
          </w:tcPr>
          <w:p w14:paraId="43AF728B" w14:textId="77777777" w:rsidR="00BD154D" w:rsidRPr="00302A4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302A43">
              <w:rPr>
                <w:rFonts w:asciiTheme="minorHAnsi" w:eastAsia="Times New Roman" w:hAnsiTheme="minorHAnsi" w:cstheme="minorHAnsi"/>
                <w:color w:val="000000"/>
                <w:sz w:val="18"/>
                <w:szCs w:val="18"/>
                <w:lang w:eastAsia="en-GB"/>
              </w:rPr>
              <w:t>NO</w:t>
            </w:r>
          </w:p>
        </w:tc>
      </w:tr>
      <w:tr w:rsidR="00BD154D" w:rsidRPr="00302A43" w14:paraId="7B44EBFD" w14:textId="77777777" w:rsidTr="00DF2591">
        <w:trPr>
          <w:trHeight w:val="654"/>
        </w:trPr>
        <w:tc>
          <w:tcPr>
            <w:tcW w:w="988" w:type="dxa"/>
            <w:tcBorders>
              <w:top w:val="single" w:sz="4" w:space="0" w:color="CAC9D9"/>
              <w:left w:val="single" w:sz="4" w:space="0" w:color="CAC9D9"/>
              <w:bottom w:val="single" w:sz="4" w:space="0" w:color="CAC9D9"/>
              <w:right w:val="single" w:sz="4" w:space="0" w:color="CAC9D9"/>
            </w:tcBorders>
            <w:shd w:val="clear" w:color="auto" w:fill="D9D9D9" w:themeFill="background1" w:themeFillShade="D9"/>
            <w:noWrap/>
            <w:vAlign w:val="center"/>
          </w:tcPr>
          <w:p w14:paraId="2D5FAC15" w14:textId="77777777" w:rsidR="00BD154D" w:rsidRPr="00302A4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302A43">
              <w:rPr>
                <w:rFonts w:asciiTheme="minorHAnsi" w:eastAsia="Times New Roman" w:hAnsiTheme="minorHAnsi" w:cstheme="minorHAnsi"/>
                <w:color w:val="000000"/>
                <w:sz w:val="18"/>
                <w:szCs w:val="18"/>
                <w:lang w:eastAsia="en-GB"/>
              </w:rPr>
              <w:t>700266</w:t>
            </w:r>
          </w:p>
        </w:tc>
        <w:tc>
          <w:tcPr>
            <w:tcW w:w="992" w:type="dxa"/>
            <w:tcBorders>
              <w:top w:val="single" w:sz="4" w:space="0" w:color="CAC9D9"/>
              <w:left w:val="nil"/>
              <w:bottom w:val="single" w:sz="4" w:space="0" w:color="CAC9D9"/>
              <w:right w:val="single" w:sz="4" w:space="0" w:color="CAC9D9"/>
            </w:tcBorders>
            <w:shd w:val="clear" w:color="auto" w:fill="D9D9D9" w:themeFill="background1" w:themeFillShade="D9"/>
            <w:noWrap/>
            <w:vAlign w:val="center"/>
          </w:tcPr>
          <w:p w14:paraId="4A5976BF" w14:textId="77777777" w:rsidR="00BD154D" w:rsidRPr="00302A4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302A43">
              <w:rPr>
                <w:rFonts w:asciiTheme="minorHAnsi" w:eastAsia="Times New Roman" w:hAnsiTheme="minorHAnsi" w:cstheme="minorHAnsi"/>
                <w:color w:val="000000"/>
                <w:sz w:val="18"/>
                <w:szCs w:val="18"/>
                <w:lang w:eastAsia="en-GB"/>
              </w:rPr>
              <w:t>Cell3Ditor</w:t>
            </w:r>
          </w:p>
        </w:tc>
        <w:tc>
          <w:tcPr>
            <w:tcW w:w="4394" w:type="dxa"/>
            <w:tcBorders>
              <w:top w:val="single" w:sz="4" w:space="0" w:color="CAC9D9"/>
              <w:left w:val="nil"/>
              <w:bottom w:val="single" w:sz="4" w:space="0" w:color="CAC9D9"/>
              <w:right w:val="single" w:sz="4" w:space="0" w:color="CAC9D9"/>
            </w:tcBorders>
            <w:shd w:val="clear" w:color="auto" w:fill="D9D9D9" w:themeFill="background1" w:themeFillShade="D9"/>
            <w:noWrap/>
            <w:vAlign w:val="center"/>
          </w:tcPr>
          <w:p w14:paraId="652D6469" w14:textId="77777777" w:rsidR="00BD154D" w:rsidRPr="00302A4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302A43">
              <w:rPr>
                <w:rFonts w:asciiTheme="minorHAnsi" w:eastAsia="Times New Roman" w:hAnsiTheme="minorHAnsi" w:cstheme="minorHAnsi"/>
                <w:color w:val="000000"/>
                <w:sz w:val="18"/>
                <w:szCs w:val="18"/>
                <w:lang w:eastAsia="en-GB"/>
              </w:rPr>
              <w:t>Method and device for manufacturing at least one piece of at least ceramic and/or metallic material by additive manufacturing</w:t>
            </w:r>
          </w:p>
        </w:tc>
        <w:tc>
          <w:tcPr>
            <w:tcW w:w="1559" w:type="dxa"/>
            <w:tcBorders>
              <w:top w:val="single" w:sz="4" w:space="0" w:color="CAC9D9"/>
              <w:left w:val="nil"/>
              <w:bottom w:val="single" w:sz="4" w:space="0" w:color="CAC9D9"/>
              <w:right w:val="single" w:sz="4" w:space="0" w:color="CAC9D9"/>
            </w:tcBorders>
            <w:shd w:val="clear" w:color="auto" w:fill="D9D9D9" w:themeFill="background1" w:themeFillShade="D9"/>
            <w:noWrap/>
            <w:vAlign w:val="center"/>
          </w:tcPr>
          <w:p w14:paraId="197206FC" w14:textId="77777777" w:rsidR="00BD154D" w:rsidRPr="00302A4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302A43">
              <w:rPr>
                <w:rFonts w:asciiTheme="minorHAnsi" w:eastAsia="Times New Roman" w:hAnsiTheme="minorHAnsi" w:cstheme="minorHAnsi"/>
                <w:color w:val="000000"/>
                <w:sz w:val="18"/>
                <w:szCs w:val="18"/>
                <w:lang w:eastAsia="en-GB"/>
              </w:rPr>
              <w:t>3DCERAM</w:t>
            </w:r>
          </w:p>
        </w:tc>
        <w:tc>
          <w:tcPr>
            <w:tcW w:w="1134" w:type="dxa"/>
            <w:tcBorders>
              <w:top w:val="single" w:sz="4" w:space="0" w:color="CAC9D9"/>
              <w:left w:val="nil"/>
              <w:bottom w:val="single" w:sz="4" w:space="0" w:color="CAC9D9"/>
              <w:right w:val="single" w:sz="4" w:space="0" w:color="CAC9D9"/>
            </w:tcBorders>
            <w:shd w:val="clear" w:color="auto" w:fill="D9D9D9" w:themeFill="background1" w:themeFillShade="D9"/>
            <w:noWrap/>
            <w:vAlign w:val="center"/>
          </w:tcPr>
          <w:p w14:paraId="4682A82B" w14:textId="77777777" w:rsidR="00BD154D" w:rsidRPr="00302A4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302A43">
              <w:rPr>
                <w:rFonts w:asciiTheme="minorHAnsi" w:eastAsia="Times New Roman" w:hAnsiTheme="minorHAnsi" w:cstheme="minorHAnsi"/>
                <w:color w:val="000000"/>
                <w:sz w:val="18"/>
                <w:szCs w:val="18"/>
                <w:lang w:eastAsia="en-GB"/>
              </w:rPr>
              <w:t>20/06/2018</w:t>
            </w:r>
          </w:p>
        </w:tc>
        <w:tc>
          <w:tcPr>
            <w:tcW w:w="986" w:type="dxa"/>
            <w:tcBorders>
              <w:top w:val="single" w:sz="4" w:space="0" w:color="CAC9D9"/>
              <w:left w:val="nil"/>
              <w:bottom w:val="single" w:sz="4" w:space="0" w:color="CAC9D9"/>
              <w:right w:val="single" w:sz="4" w:space="0" w:color="CAC9D9"/>
            </w:tcBorders>
            <w:shd w:val="clear" w:color="auto" w:fill="D9D9D9" w:themeFill="background1" w:themeFillShade="D9"/>
            <w:noWrap/>
            <w:vAlign w:val="center"/>
          </w:tcPr>
          <w:p w14:paraId="1D7A636C" w14:textId="77777777" w:rsidR="00BD154D" w:rsidRPr="00302A4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302A43">
              <w:rPr>
                <w:rFonts w:asciiTheme="minorHAnsi" w:eastAsia="Times New Roman" w:hAnsiTheme="minorHAnsi" w:cstheme="minorHAnsi"/>
                <w:color w:val="000000"/>
                <w:sz w:val="18"/>
                <w:szCs w:val="18"/>
                <w:lang w:eastAsia="en-GB"/>
              </w:rPr>
              <w:t>NO</w:t>
            </w:r>
          </w:p>
        </w:tc>
      </w:tr>
      <w:tr w:rsidR="00BD154D" w:rsidRPr="00302A43" w14:paraId="52828A63" w14:textId="77777777" w:rsidTr="00DF2591">
        <w:trPr>
          <w:trHeight w:val="654"/>
        </w:trPr>
        <w:tc>
          <w:tcPr>
            <w:tcW w:w="988" w:type="dxa"/>
            <w:tcBorders>
              <w:top w:val="single" w:sz="4" w:space="0" w:color="CAC9D9"/>
              <w:left w:val="single" w:sz="4" w:space="0" w:color="CAC9D9"/>
              <w:bottom w:val="single" w:sz="4" w:space="0" w:color="CAC9D9"/>
              <w:right w:val="single" w:sz="4" w:space="0" w:color="CAC9D9"/>
            </w:tcBorders>
            <w:shd w:val="clear" w:color="auto" w:fill="D9D9D9" w:themeFill="background1" w:themeFillShade="D9"/>
            <w:noWrap/>
            <w:vAlign w:val="center"/>
          </w:tcPr>
          <w:p w14:paraId="1E1E4D3C" w14:textId="77777777" w:rsidR="00BD154D" w:rsidRPr="00302A4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302A43">
              <w:rPr>
                <w:rFonts w:asciiTheme="minorHAnsi" w:eastAsia="Times New Roman" w:hAnsiTheme="minorHAnsi" w:cstheme="minorHAnsi"/>
                <w:color w:val="000000"/>
                <w:sz w:val="18"/>
                <w:szCs w:val="18"/>
                <w:lang w:eastAsia="en-GB"/>
              </w:rPr>
              <w:t>700266</w:t>
            </w:r>
          </w:p>
        </w:tc>
        <w:tc>
          <w:tcPr>
            <w:tcW w:w="992" w:type="dxa"/>
            <w:tcBorders>
              <w:top w:val="single" w:sz="4" w:space="0" w:color="CAC9D9"/>
              <w:left w:val="nil"/>
              <w:bottom w:val="single" w:sz="4" w:space="0" w:color="CAC9D9"/>
              <w:right w:val="single" w:sz="4" w:space="0" w:color="CAC9D9"/>
            </w:tcBorders>
            <w:shd w:val="clear" w:color="auto" w:fill="D9D9D9" w:themeFill="background1" w:themeFillShade="D9"/>
            <w:noWrap/>
            <w:vAlign w:val="center"/>
          </w:tcPr>
          <w:p w14:paraId="0B85C83F" w14:textId="77777777" w:rsidR="00BD154D" w:rsidRPr="00302A4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302A43">
              <w:rPr>
                <w:rFonts w:asciiTheme="minorHAnsi" w:eastAsia="Times New Roman" w:hAnsiTheme="minorHAnsi" w:cstheme="minorHAnsi"/>
                <w:color w:val="000000"/>
                <w:sz w:val="18"/>
                <w:szCs w:val="18"/>
                <w:lang w:eastAsia="en-GB"/>
              </w:rPr>
              <w:t>Cell3Ditor</w:t>
            </w:r>
          </w:p>
        </w:tc>
        <w:tc>
          <w:tcPr>
            <w:tcW w:w="4394" w:type="dxa"/>
            <w:tcBorders>
              <w:top w:val="single" w:sz="4" w:space="0" w:color="CAC9D9"/>
              <w:left w:val="nil"/>
              <w:bottom w:val="single" w:sz="4" w:space="0" w:color="CAC9D9"/>
              <w:right w:val="single" w:sz="4" w:space="0" w:color="CAC9D9"/>
            </w:tcBorders>
            <w:shd w:val="clear" w:color="auto" w:fill="D9D9D9" w:themeFill="background1" w:themeFillShade="D9"/>
            <w:noWrap/>
            <w:vAlign w:val="center"/>
          </w:tcPr>
          <w:p w14:paraId="265FDD60" w14:textId="77777777" w:rsidR="00BD154D" w:rsidRPr="00302A4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302A43">
              <w:rPr>
                <w:rFonts w:asciiTheme="minorHAnsi" w:eastAsia="Times New Roman" w:hAnsiTheme="minorHAnsi" w:cstheme="minorHAnsi"/>
                <w:color w:val="000000"/>
                <w:sz w:val="18"/>
                <w:szCs w:val="18"/>
                <w:lang w:eastAsia="en-GB"/>
              </w:rPr>
              <w:t>Method of manufacturing pieces by the technique of additive manufacturing by pasty process with an improved supply of paste and manufacturing machine for implementing the method</w:t>
            </w:r>
          </w:p>
        </w:tc>
        <w:tc>
          <w:tcPr>
            <w:tcW w:w="1559" w:type="dxa"/>
            <w:tcBorders>
              <w:top w:val="single" w:sz="4" w:space="0" w:color="CAC9D9"/>
              <w:left w:val="nil"/>
              <w:bottom w:val="single" w:sz="4" w:space="0" w:color="CAC9D9"/>
              <w:right w:val="single" w:sz="4" w:space="0" w:color="CAC9D9"/>
            </w:tcBorders>
            <w:shd w:val="clear" w:color="auto" w:fill="D9D9D9" w:themeFill="background1" w:themeFillShade="D9"/>
            <w:noWrap/>
            <w:vAlign w:val="center"/>
          </w:tcPr>
          <w:p w14:paraId="46BC601A" w14:textId="77777777" w:rsidR="00BD154D" w:rsidRPr="00302A4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302A43">
              <w:rPr>
                <w:rFonts w:asciiTheme="minorHAnsi" w:eastAsia="Times New Roman" w:hAnsiTheme="minorHAnsi" w:cstheme="minorHAnsi"/>
                <w:color w:val="000000"/>
                <w:sz w:val="18"/>
                <w:szCs w:val="18"/>
                <w:lang w:eastAsia="en-GB"/>
              </w:rPr>
              <w:t>3DCERAM</w:t>
            </w:r>
          </w:p>
        </w:tc>
        <w:tc>
          <w:tcPr>
            <w:tcW w:w="1134" w:type="dxa"/>
            <w:tcBorders>
              <w:top w:val="single" w:sz="4" w:space="0" w:color="CAC9D9"/>
              <w:left w:val="nil"/>
              <w:bottom w:val="single" w:sz="4" w:space="0" w:color="CAC9D9"/>
              <w:right w:val="single" w:sz="4" w:space="0" w:color="CAC9D9"/>
            </w:tcBorders>
            <w:shd w:val="clear" w:color="auto" w:fill="D9D9D9" w:themeFill="background1" w:themeFillShade="D9"/>
            <w:noWrap/>
            <w:vAlign w:val="center"/>
          </w:tcPr>
          <w:p w14:paraId="43BF9013" w14:textId="77777777" w:rsidR="00BD154D" w:rsidRPr="00302A4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302A43">
              <w:rPr>
                <w:rFonts w:asciiTheme="minorHAnsi" w:eastAsia="Times New Roman" w:hAnsiTheme="minorHAnsi" w:cstheme="minorHAnsi"/>
                <w:color w:val="000000"/>
                <w:sz w:val="18"/>
                <w:szCs w:val="18"/>
                <w:lang w:eastAsia="en-GB"/>
              </w:rPr>
              <w:t>20/06/2018</w:t>
            </w:r>
          </w:p>
        </w:tc>
        <w:tc>
          <w:tcPr>
            <w:tcW w:w="986" w:type="dxa"/>
            <w:tcBorders>
              <w:top w:val="single" w:sz="4" w:space="0" w:color="CAC9D9"/>
              <w:left w:val="nil"/>
              <w:bottom w:val="single" w:sz="4" w:space="0" w:color="CAC9D9"/>
              <w:right w:val="single" w:sz="4" w:space="0" w:color="CAC9D9"/>
            </w:tcBorders>
            <w:shd w:val="clear" w:color="auto" w:fill="D9D9D9" w:themeFill="background1" w:themeFillShade="D9"/>
            <w:noWrap/>
            <w:vAlign w:val="center"/>
          </w:tcPr>
          <w:p w14:paraId="2706FF72" w14:textId="77777777" w:rsidR="00BD154D" w:rsidRPr="00302A4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302A43">
              <w:rPr>
                <w:rFonts w:asciiTheme="minorHAnsi" w:eastAsia="Times New Roman" w:hAnsiTheme="minorHAnsi" w:cstheme="minorHAnsi"/>
                <w:color w:val="000000"/>
                <w:sz w:val="18"/>
                <w:szCs w:val="18"/>
                <w:lang w:eastAsia="en-GB"/>
              </w:rPr>
              <w:t>NO</w:t>
            </w:r>
          </w:p>
        </w:tc>
      </w:tr>
      <w:tr w:rsidR="00BD154D" w:rsidRPr="00302A43" w14:paraId="29DA4ED0" w14:textId="77777777" w:rsidTr="00DF2591">
        <w:trPr>
          <w:trHeight w:val="654"/>
        </w:trPr>
        <w:tc>
          <w:tcPr>
            <w:tcW w:w="988" w:type="dxa"/>
            <w:tcBorders>
              <w:top w:val="single" w:sz="4" w:space="0" w:color="CAC9D9"/>
              <w:left w:val="single" w:sz="4" w:space="0" w:color="CAC9D9"/>
              <w:bottom w:val="single" w:sz="4" w:space="0" w:color="CAC9D9"/>
              <w:right w:val="single" w:sz="4" w:space="0" w:color="CAC9D9"/>
            </w:tcBorders>
            <w:shd w:val="clear" w:color="auto" w:fill="D9D9D9" w:themeFill="background1" w:themeFillShade="D9"/>
            <w:noWrap/>
            <w:vAlign w:val="center"/>
          </w:tcPr>
          <w:p w14:paraId="7503C6DD" w14:textId="77777777" w:rsidR="00BD154D" w:rsidRPr="00302A4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302A43">
              <w:rPr>
                <w:rFonts w:asciiTheme="minorHAnsi" w:eastAsia="Times New Roman" w:hAnsiTheme="minorHAnsi" w:cstheme="minorHAnsi"/>
                <w:color w:val="000000"/>
                <w:sz w:val="18"/>
                <w:szCs w:val="18"/>
                <w:lang w:eastAsia="en-GB"/>
              </w:rPr>
              <w:t>700266</w:t>
            </w:r>
          </w:p>
        </w:tc>
        <w:tc>
          <w:tcPr>
            <w:tcW w:w="992" w:type="dxa"/>
            <w:tcBorders>
              <w:top w:val="single" w:sz="4" w:space="0" w:color="CAC9D9"/>
              <w:left w:val="nil"/>
              <w:bottom w:val="single" w:sz="4" w:space="0" w:color="CAC9D9"/>
              <w:right w:val="single" w:sz="4" w:space="0" w:color="CAC9D9"/>
            </w:tcBorders>
            <w:shd w:val="clear" w:color="auto" w:fill="D9D9D9" w:themeFill="background1" w:themeFillShade="D9"/>
            <w:noWrap/>
            <w:vAlign w:val="center"/>
          </w:tcPr>
          <w:p w14:paraId="2CF0F064" w14:textId="77777777" w:rsidR="00BD154D" w:rsidRPr="00302A4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302A43">
              <w:rPr>
                <w:rFonts w:asciiTheme="minorHAnsi" w:eastAsia="Times New Roman" w:hAnsiTheme="minorHAnsi" w:cstheme="minorHAnsi"/>
                <w:color w:val="000000"/>
                <w:sz w:val="18"/>
                <w:szCs w:val="18"/>
                <w:lang w:eastAsia="en-GB"/>
              </w:rPr>
              <w:t>Cell3Ditor</w:t>
            </w:r>
          </w:p>
        </w:tc>
        <w:tc>
          <w:tcPr>
            <w:tcW w:w="4394" w:type="dxa"/>
            <w:tcBorders>
              <w:top w:val="single" w:sz="4" w:space="0" w:color="CAC9D9"/>
              <w:left w:val="nil"/>
              <w:bottom w:val="single" w:sz="4" w:space="0" w:color="CAC9D9"/>
              <w:right w:val="single" w:sz="4" w:space="0" w:color="CAC9D9"/>
            </w:tcBorders>
            <w:shd w:val="clear" w:color="auto" w:fill="D9D9D9" w:themeFill="background1" w:themeFillShade="D9"/>
            <w:noWrap/>
            <w:vAlign w:val="center"/>
          </w:tcPr>
          <w:p w14:paraId="3242F995" w14:textId="77777777" w:rsidR="00BD154D" w:rsidRPr="00302A4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302A43">
              <w:rPr>
                <w:rFonts w:asciiTheme="minorHAnsi" w:eastAsia="Times New Roman" w:hAnsiTheme="minorHAnsi" w:cstheme="minorHAnsi"/>
                <w:color w:val="000000"/>
                <w:sz w:val="18"/>
                <w:szCs w:val="18"/>
                <w:lang w:eastAsia="en-GB"/>
              </w:rPr>
              <w:t>Electrochemical cell device for use in a SOFC and/or a SOEC and methods for operating a SOFC or a SOEC by using thereof</w:t>
            </w:r>
          </w:p>
        </w:tc>
        <w:tc>
          <w:tcPr>
            <w:tcW w:w="1559" w:type="dxa"/>
            <w:tcBorders>
              <w:top w:val="single" w:sz="4" w:space="0" w:color="CAC9D9"/>
              <w:left w:val="nil"/>
              <w:bottom w:val="single" w:sz="4" w:space="0" w:color="CAC9D9"/>
              <w:right w:val="single" w:sz="4" w:space="0" w:color="CAC9D9"/>
            </w:tcBorders>
            <w:shd w:val="clear" w:color="auto" w:fill="D9D9D9" w:themeFill="background1" w:themeFillShade="D9"/>
            <w:noWrap/>
            <w:vAlign w:val="center"/>
          </w:tcPr>
          <w:p w14:paraId="4E6D8705" w14:textId="77777777" w:rsidR="00BD154D" w:rsidRPr="00302A4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302A43">
              <w:rPr>
                <w:rFonts w:asciiTheme="minorHAnsi" w:eastAsia="Times New Roman" w:hAnsiTheme="minorHAnsi" w:cstheme="minorHAnsi"/>
                <w:color w:val="000000"/>
                <w:sz w:val="18"/>
                <w:szCs w:val="18"/>
                <w:lang w:eastAsia="en-GB"/>
              </w:rPr>
              <w:t>3DCERAM</w:t>
            </w:r>
          </w:p>
        </w:tc>
        <w:tc>
          <w:tcPr>
            <w:tcW w:w="1134" w:type="dxa"/>
            <w:tcBorders>
              <w:top w:val="single" w:sz="4" w:space="0" w:color="CAC9D9"/>
              <w:left w:val="nil"/>
              <w:bottom w:val="single" w:sz="4" w:space="0" w:color="CAC9D9"/>
              <w:right w:val="single" w:sz="4" w:space="0" w:color="CAC9D9"/>
            </w:tcBorders>
            <w:shd w:val="clear" w:color="auto" w:fill="D9D9D9" w:themeFill="background1" w:themeFillShade="D9"/>
            <w:noWrap/>
            <w:vAlign w:val="center"/>
          </w:tcPr>
          <w:p w14:paraId="5AE1A601" w14:textId="77777777" w:rsidR="00BD154D" w:rsidRPr="00302A4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302A43">
              <w:rPr>
                <w:rFonts w:asciiTheme="minorHAnsi" w:eastAsia="Times New Roman" w:hAnsiTheme="minorHAnsi" w:cstheme="minorHAnsi"/>
                <w:color w:val="000000"/>
                <w:sz w:val="18"/>
                <w:szCs w:val="18"/>
                <w:lang w:eastAsia="en-GB"/>
              </w:rPr>
              <w:t>20/06/2018</w:t>
            </w:r>
          </w:p>
        </w:tc>
        <w:tc>
          <w:tcPr>
            <w:tcW w:w="986" w:type="dxa"/>
            <w:tcBorders>
              <w:top w:val="single" w:sz="4" w:space="0" w:color="CAC9D9"/>
              <w:left w:val="nil"/>
              <w:bottom w:val="single" w:sz="4" w:space="0" w:color="CAC9D9"/>
              <w:right w:val="single" w:sz="4" w:space="0" w:color="CAC9D9"/>
            </w:tcBorders>
            <w:shd w:val="clear" w:color="auto" w:fill="D9D9D9" w:themeFill="background1" w:themeFillShade="D9"/>
            <w:noWrap/>
            <w:vAlign w:val="center"/>
          </w:tcPr>
          <w:p w14:paraId="1DAA5061" w14:textId="77777777" w:rsidR="00BD154D" w:rsidRPr="00302A4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302A43">
              <w:rPr>
                <w:rFonts w:asciiTheme="minorHAnsi" w:eastAsia="Times New Roman" w:hAnsiTheme="minorHAnsi" w:cstheme="minorHAnsi"/>
                <w:color w:val="000000"/>
                <w:sz w:val="18"/>
                <w:szCs w:val="18"/>
                <w:lang w:eastAsia="en-GB"/>
              </w:rPr>
              <w:t>NO</w:t>
            </w:r>
          </w:p>
        </w:tc>
      </w:tr>
      <w:tr w:rsidR="00BD154D" w:rsidRPr="005D1AA3" w14:paraId="06C19B16" w14:textId="77777777" w:rsidTr="00DF2591">
        <w:trPr>
          <w:trHeight w:val="654"/>
        </w:trPr>
        <w:tc>
          <w:tcPr>
            <w:tcW w:w="988" w:type="dxa"/>
            <w:tcBorders>
              <w:top w:val="single" w:sz="4" w:space="0" w:color="CAC9D9"/>
              <w:left w:val="single" w:sz="4" w:space="0" w:color="CAC9D9"/>
              <w:bottom w:val="single" w:sz="4" w:space="0" w:color="CAC9D9"/>
              <w:right w:val="single" w:sz="4" w:space="0" w:color="CAC9D9"/>
            </w:tcBorders>
            <w:shd w:val="clear" w:color="auto" w:fill="FFFFFF" w:themeFill="background1"/>
            <w:noWrap/>
            <w:vAlign w:val="center"/>
          </w:tcPr>
          <w:p w14:paraId="370E5688"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624A84">
              <w:rPr>
                <w:rFonts w:asciiTheme="minorHAnsi" w:eastAsia="Times New Roman" w:hAnsiTheme="minorHAnsi" w:cstheme="minorHAnsi"/>
                <w:color w:val="000000"/>
                <w:sz w:val="18"/>
                <w:szCs w:val="18"/>
                <w:lang w:eastAsia="en-GB"/>
              </w:rPr>
              <w:t>826204</w:t>
            </w:r>
          </w:p>
        </w:tc>
        <w:tc>
          <w:tcPr>
            <w:tcW w:w="992" w:type="dxa"/>
            <w:tcBorders>
              <w:top w:val="single" w:sz="4" w:space="0" w:color="CAC9D9"/>
              <w:left w:val="nil"/>
              <w:bottom w:val="single" w:sz="4" w:space="0" w:color="CAC9D9"/>
              <w:right w:val="single" w:sz="4" w:space="0" w:color="CAC9D9"/>
            </w:tcBorders>
            <w:shd w:val="clear" w:color="auto" w:fill="FFFFFF" w:themeFill="background1"/>
            <w:noWrap/>
            <w:vAlign w:val="center"/>
          </w:tcPr>
          <w:p w14:paraId="3C1A787F"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624A84">
              <w:rPr>
                <w:rFonts w:asciiTheme="minorHAnsi" w:eastAsia="Times New Roman" w:hAnsiTheme="minorHAnsi" w:cstheme="minorHAnsi"/>
                <w:color w:val="000000"/>
                <w:sz w:val="18"/>
                <w:szCs w:val="18"/>
                <w:lang w:eastAsia="en-GB"/>
              </w:rPr>
              <w:t>DOLPHIN</w:t>
            </w:r>
          </w:p>
        </w:tc>
        <w:tc>
          <w:tcPr>
            <w:tcW w:w="4394" w:type="dxa"/>
            <w:tcBorders>
              <w:top w:val="single" w:sz="4" w:space="0" w:color="CAC9D9"/>
              <w:left w:val="nil"/>
              <w:bottom w:val="single" w:sz="4" w:space="0" w:color="CAC9D9"/>
              <w:right w:val="single" w:sz="4" w:space="0" w:color="CAC9D9"/>
            </w:tcBorders>
            <w:shd w:val="clear" w:color="auto" w:fill="FFFFFF" w:themeFill="background1"/>
            <w:noWrap/>
            <w:vAlign w:val="center"/>
          </w:tcPr>
          <w:p w14:paraId="5E8D78DA" w14:textId="77777777" w:rsidR="00BD154D" w:rsidRPr="00624A84" w:rsidRDefault="00BD154D" w:rsidP="00DF2591">
            <w:pPr>
              <w:spacing w:after="0" w:line="240" w:lineRule="auto"/>
              <w:jc w:val="center"/>
              <w:rPr>
                <w:rFonts w:asciiTheme="minorHAnsi" w:eastAsia="Times New Roman" w:hAnsiTheme="minorHAnsi" w:cstheme="minorHAnsi"/>
                <w:color w:val="000000"/>
                <w:sz w:val="18"/>
                <w:szCs w:val="18"/>
                <w:lang w:val="fr-BE" w:eastAsia="en-GB"/>
              </w:rPr>
            </w:pPr>
            <w:r w:rsidRPr="00624A84">
              <w:rPr>
                <w:rFonts w:asciiTheme="minorHAnsi" w:eastAsia="Times New Roman" w:hAnsiTheme="minorHAnsi" w:cstheme="minorHAnsi"/>
                <w:color w:val="000000"/>
                <w:sz w:val="18"/>
                <w:szCs w:val="18"/>
                <w:lang w:val="fr-BE" w:eastAsia="en-GB"/>
              </w:rPr>
              <w:t>Procédé de fabrication d'un guide d'écoulement pour réacteur électrochimique</w:t>
            </w:r>
          </w:p>
        </w:tc>
        <w:tc>
          <w:tcPr>
            <w:tcW w:w="1559" w:type="dxa"/>
            <w:tcBorders>
              <w:top w:val="single" w:sz="4" w:space="0" w:color="CAC9D9"/>
              <w:left w:val="nil"/>
              <w:bottom w:val="single" w:sz="4" w:space="0" w:color="CAC9D9"/>
              <w:right w:val="single" w:sz="4" w:space="0" w:color="CAC9D9"/>
            </w:tcBorders>
            <w:shd w:val="clear" w:color="auto" w:fill="FFFFFF" w:themeFill="background1"/>
            <w:noWrap/>
            <w:vAlign w:val="center"/>
          </w:tcPr>
          <w:p w14:paraId="74621F6E"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624A84">
              <w:rPr>
                <w:rFonts w:asciiTheme="minorHAnsi" w:eastAsia="Times New Roman" w:hAnsiTheme="minorHAnsi" w:cstheme="minorHAnsi"/>
                <w:color w:val="000000"/>
                <w:sz w:val="18"/>
                <w:szCs w:val="18"/>
                <w:lang w:eastAsia="en-GB"/>
              </w:rPr>
              <w:t>CEA</w:t>
            </w:r>
          </w:p>
        </w:tc>
        <w:tc>
          <w:tcPr>
            <w:tcW w:w="1134" w:type="dxa"/>
            <w:tcBorders>
              <w:top w:val="single" w:sz="4" w:space="0" w:color="CAC9D9"/>
              <w:left w:val="nil"/>
              <w:bottom w:val="single" w:sz="4" w:space="0" w:color="CAC9D9"/>
              <w:right w:val="single" w:sz="4" w:space="0" w:color="CAC9D9"/>
            </w:tcBorders>
            <w:shd w:val="clear" w:color="auto" w:fill="FFFFFF" w:themeFill="background1"/>
            <w:noWrap/>
            <w:vAlign w:val="center"/>
          </w:tcPr>
          <w:p w14:paraId="735CAFCD"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624A84">
              <w:rPr>
                <w:rFonts w:asciiTheme="minorHAnsi" w:eastAsia="Times New Roman" w:hAnsiTheme="minorHAnsi" w:cstheme="minorHAnsi"/>
                <w:color w:val="000000"/>
                <w:sz w:val="18"/>
                <w:szCs w:val="18"/>
                <w:lang w:eastAsia="en-GB"/>
              </w:rPr>
              <w:t>2019</w:t>
            </w:r>
          </w:p>
        </w:tc>
        <w:tc>
          <w:tcPr>
            <w:tcW w:w="986" w:type="dxa"/>
            <w:tcBorders>
              <w:top w:val="single" w:sz="4" w:space="0" w:color="CAC9D9"/>
              <w:left w:val="nil"/>
              <w:bottom w:val="single" w:sz="4" w:space="0" w:color="CAC9D9"/>
              <w:right w:val="single" w:sz="4" w:space="0" w:color="CAC9D9"/>
            </w:tcBorders>
            <w:shd w:val="clear" w:color="auto" w:fill="FFFFFF" w:themeFill="background1"/>
            <w:noWrap/>
            <w:vAlign w:val="center"/>
          </w:tcPr>
          <w:p w14:paraId="45D13A97"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Pr>
                <w:rFonts w:asciiTheme="minorHAnsi" w:eastAsia="Times New Roman" w:hAnsiTheme="minorHAnsi" w:cstheme="minorHAnsi"/>
                <w:color w:val="000000"/>
                <w:sz w:val="18"/>
                <w:szCs w:val="18"/>
                <w:lang w:eastAsia="en-GB"/>
              </w:rPr>
              <w:t>YES</w:t>
            </w:r>
          </w:p>
        </w:tc>
      </w:tr>
      <w:tr w:rsidR="00BD154D" w:rsidRPr="005D1AA3" w14:paraId="3D5519C2" w14:textId="77777777" w:rsidTr="00DF2591">
        <w:trPr>
          <w:trHeight w:val="654"/>
        </w:trPr>
        <w:tc>
          <w:tcPr>
            <w:tcW w:w="988" w:type="dxa"/>
            <w:tcBorders>
              <w:top w:val="single" w:sz="4" w:space="0" w:color="CAC9D9"/>
              <w:left w:val="single" w:sz="4" w:space="0" w:color="CAC9D9"/>
              <w:bottom w:val="single" w:sz="4" w:space="0" w:color="CAC9D9"/>
              <w:right w:val="single" w:sz="4" w:space="0" w:color="CAC9D9"/>
            </w:tcBorders>
            <w:shd w:val="clear" w:color="auto" w:fill="D9D9D9" w:themeFill="background1" w:themeFillShade="D9"/>
            <w:noWrap/>
            <w:vAlign w:val="center"/>
          </w:tcPr>
          <w:p w14:paraId="4C674181"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C24CDE">
              <w:rPr>
                <w:rFonts w:asciiTheme="minorHAnsi" w:eastAsia="Times New Roman" w:hAnsiTheme="minorHAnsi" w:cstheme="minorHAnsi"/>
                <w:color w:val="000000"/>
                <w:sz w:val="18"/>
                <w:szCs w:val="18"/>
                <w:lang w:eastAsia="en-GB"/>
              </w:rPr>
              <w:lastRenderedPageBreak/>
              <w:t>875118</w:t>
            </w:r>
          </w:p>
        </w:tc>
        <w:tc>
          <w:tcPr>
            <w:tcW w:w="992" w:type="dxa"/>
            <w:tcBorders>
              <w:top w:val="single" w:sz="4" w:space="0" w:color="CAC9D9"/>
              <w:left w:val="nil"/>
              <w:bottom w:val="single" w:sz="4" w:space="0" w:color="CAC9D9"/>
              <w:right w:val="single" w:sz="4" w:space="0" w:color="CAC9D9"/>
            </w:tcBorders>
            <w:shd w:val="clear" w:color="auto" w:fill="D9D9D9" w:themeFill="background1" w:themeFillShade="D9"/>
            <w:noWrap/>
            <w:vAlign w:val="center"/>
          </w:tcPr>
          <w:p w14:paraId="3048D9A4"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Pr>
                <w:rFonts w:asciiTheme="minorHAnsi" w:eastAsia="Times New Roman" w:hAnsiTheme="minorHAnsi" w:cstheme="minorHAnsi"/>
                <w:color w:val="000000"/>
                <w:sz w:val="18"/>
                <w:szCs w:val="18"/>
                <w:lang w:eastAsia="en-GB"/>
              </w:rPr>
              <w:t>NEWELY</w:t>
            </w:r>
          </w:p>
        </w:tc>
        <w:tc>
          <w:tcPr>
            <w:tcW w:w="4394" w:type="dxa"/>
            <w:tcBorders>
              <w:top w:val="single" w:sz="4" w:space="0" w:color="CAC9D9"/>
              <w:left w:val="nil"/>
              <w:bottom w:val="single" w:sz="4" w:space="0" w:color="CAC9D9"/>
              <w:right w:val="single" w:sz="4" w:space="0" w:color="CAC9D9"/>
            </w:tcBorders>
            <w:shd w:val="clear" w:color="auto" w:fill="D9D9D9" w:themeFill="background1" w:themeFillShade="D9"/>
            <w:noWrap/>
            <w:vAlign w:val="center"/>
          </w:tcPr>
          <w:p w14:paraId="75D23201" w14:textId="77777777" w:rsidR="00BD154D" w:rsidRPr="00BD154D"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BD154D">
              <w:rPr>
                <w:rFonts w:asciiTheme="minorHAnsi" w:eastAsia="Times New Roman" w:hAnsiTheme="minorHAnsi" w:cstheme="minorHAnsi"/>
                <w:color w:val="000000"/>
                <w:sz w:val="18"/>
                <w:szCs w:val="18"/>
                <w:lang w:eastAsia="en-GB"/>
              </w:rPr>
              <w:t> </w:t>
            </w:r>
            <w:r w:rsidRPr="00BD154D">
              <w:rPr>
                <w:rFonts w:asciiTheme="minorHAnsi" w:eastAsia="Times New Roman" w:hAnsiTheme="minorHAnsi" w:cstheme="minorHAnsi" w:hint="eastAsia"/>
                <w:color w:val="000000"/>
                <w:sz w:val="18"/>
                <w:szCs w:val="18"/>
                <w:lang w:eastAsia="en-GB"/>
              </w:rPr>
              <w:t>Composite ion-exchange membrane, method for preparing</w:t>
            </w:r>
          </w:p>
          <w:p w14:paraId="1BD550DE" w14:textId="77777777" w:rsidR="00BD154D" w:rsidRPr="00BD154D"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BD154D">
              <w:rPr>
                <w:rFonts w:asciiTheme="minorHAnsi" w:eastAsia="Times New Roman" w:hAnsiTheme="minorHAnsi" w:cstheme="minorHAnsi" w:hint="eastAsia"/>
                <w:color w:val="000000"/>
                <w:sz w:val="18"/>
                <w:szCs w:val="18"/>
                <w:lang w:eastAsia="en-GB"/>
              </w:rPr>
              <w:t>the same, and use thereof</w:t>
            </w:r>
          </w:p>
        </w:tc>
        <w:tc>
          <w:tcPr>
            <w:tcW w:w="1559" w:type="dxa"/>
            <w:tcBorders>
              <w:top w:val="single" w:sz="4" w:space="0" w:color="CAC9D9"/>
              <w:left w:val="nil"/>
              <w:bottom w:val="single" w:sz="4" w:space="0" w:color="CAC9D9"/>
              <w:right w:val="single" w:sz="4" w:space="0" w:color="CAC9D9"/>
            </w:tcBorders>
            <w:shd w:val="clear" w:color="auto" w:fill="D9D9D9" w:themeFill="background1" w:themeFillShade="D9"/>
            <w:noWrap/>
            <w:vAlign w:val="center"/>
          </w:tcPr>
          <w:p w14:paraId="618C1BE7" w14:textId="77777777" w:rsidR="00BD154D" w:rsidRPr="007A0C31" w:rsidRDefault="00BD154D" w:rsidP="00DF2591">
            <w:pPr>
              <w:spacing w:after="0" w:line="240" w:lineRule="auto"/>
              <w:jc w:val="center"/>
              <w:rPr>
                <w:rFonts w:asciiTheme="minorHAnsi" w:eastAsia="Times New Roman" w:hAnsiTheme="minorHAnsi" w:cstheme="minorHAnsi"/>
                <w:color w:val="000000"/>
                <w:sz w:val="18"/>
                <w:szCs w:val="18"/>
                <w:lang w:val="fr-BE" w:eastAsia="en-GB"/>
              </w:rPr>
            </w:pPr>
            <w:r w:rsidRPr="007A0C31">
              <w:rPr>
                <w:rFonts w:asciiTheme="minorHAnsi" w:eastAsia="Times New Roman" w:hAnsiTheme="minorHAnsi" w:cstheme="minorHAnsi"/>
                <w:color w:val="000000"/>
                <w:sz w:val="18"/>
                <w:szCs w:val="18"/>
                <w:lang w:val="fr-BE" w:eastAsia="en-GB"/>
              </w:rPr>
              <w:t>KIST </w:t>
            </w:r>
          </w:p>
        </w:tc>
        <w:tc>
          <w:tcPr>
            <w:tcW w:w="1134" w:type="dxa"/>
            <w:tcBorders>
              <w:top w:val="single" w:sz="4" w:space="0" w:color="CAC9D9"/>
              <w:left w:val="nil"/>
              <w:bottom w:val="single" w:sz="4" w:space="0" w:color="CAC9D9"/>
              <w:right w:val="single" w:sz="4" w:space="0" w:color="CAC9D9"/>
            </w:tcBorders>
            <w:shd w:val="clear" w:color="auto" w:fill="D9D9D9" w:themeFill="background1" w:themeFillShade="D9"/>
            <w:noWrap/>
            <w:vAlign w:val="center"/>
          </w:tcPr>
          <w:p w14:paraId="57176327" w14:textId="77777777" w:rsidR="00BD154D" w:rsidRPr="007A0C31" w:rsidRDefault="00BD154D" w:rsidP="00DF2591">
            <w:pPr>
              <w:spacing w:after="0" w:line="240" w:lineRule="auto"/>
              <w:jc w:val="center"/>
              <w:rPr>
                <w:rFonts w:asciiTheme="minorHAnsi" w:eastAsia="Times New Roman" w:hAnsiTheme="minorHAnsi" w:cstheme="minorHAnsi"/>
                <w:color w:val="000000"/>
                <w:sz w:val="18"/>
                <w:szCs w:val="18"/>
                <w:lang w:val="fr-BE" w:eastAsia="en-GB"/>
              </w:rPr>
            </w:pPr>
            <w:r>
              <w:rPr>
                <w:rFonts w:asciiTheme="minorHAnsi" w:eastAsia="Times New Roman" w:hAnsiTheme="minorHAnsi" w:cstheme="minorHAnsi"/>
                <w:color w:val="000000"/>
                <w:sz w:val="18"/>
                <w:szCs w:val="18"/>
                <w:lang w:val="fr-BE" w:eastAsia="en-GB"/>
              </w:rPr>
              <w:t>11/06/</w:t>
            </w:r>
            <w:r w:rsidRPr="007A0C31">
              <w:rPr>
                <w:rFonts w:asciiTheme="minorHAnsi" w:eastAsia="Times New Roman" w:hAnsiTheme="minorHAnsi" w:cstheme="minorHAnsi"/>
                <w:color w:val="000000"/>
                <w:sz w:val="18"/>
                <w:szCs w:val="18"/>
                <w:lang w:val="fr-BE" w:eastAsia="en-GB"/>
              </w:rPr>
              <w:t>2020</w:t>
            </w:r>
          </w:p>
        </w:tc>
        <w:tc>
          <w:tcPr>
            <w:tcW w:w="986" w:type="dxa"/>
            <w:tcBorders>
              <w:top w:val="single" w:sz="4" w:space="0" w:color="CAC9D9"/>
              <w:left w:val="nil"/>
              <w:bottom w:val="single" w:sz="4" w:space="0" w:color="CAC9D9"/>
              <w:right w:val="single" w:sz="4" w:space="0" w:color="CAC9D9"/>
            </w:tcBorders>
            <w:shd w:val="clear" w:color="auto" w:fill="D9D9D9" w:themeFill="background1" w:themeFillShade="D9"/>
            <w:noWrap/>
            <w:vAlign w:val="center"/>
          </w:tcPr>
          <w:p w14:paraId="3743C122" w14:textId="77777777" w:rsidR="00BD154D" w:rsidRPr="007A0C31" w:rsidRDefault="00BD154D" w:rsidP="00DF2591">
            <w:pPr>
              <w:spacing w:after="0" w:line="240" w:lineRule="auto"/>
              <w:jc w:val="center"/>
              <w:rPr>
                <w:rFonts w:asciiTheme="minorHAnsi" w:eastAsia="Times New Roman" w:hAnsiTheme="minorHAnsi" w:cstheme="minorHAnsi"/>
                <w:color w:val="000000"/>
                <w:sz w:val="18"/>
                <w:szCs w:val="18"/>
                <w:lang w:val="fr-BE" w:eastAsia="en-GB"/>
              </w:rPr>
            </w:pPr>
            <w:r w:rsidRPr="007A0C31">
              <w:rPr>
                <w:rFonts w:asciiTheme="minorHAnsi" w:eastAsia="Times New Roman" w:hAnsiTheme="minorHAnsi" w:cstheme="minorHAnsi"/>
                <w:color w:val="000000"/>
                <w:sz w:val="18"/>
                <w:szCs w:val="18"/>
                <w:lang w:val="fr-BE" w:eastAsia="en-GB"/>
              </w:rPr>
              <w:t> </w:t>
            </w:r>
            <w:r>
              <w:rPr>
                <w:rFonts w:asciiTheme="minorHAnsi" w:eastAsia="Times New Roman" w:hAnsiTheme="minorHAnsi" w:cstheme="minorHAnsi"/>
                <w:color w:val="000000"/>
                <w:sz w:val="18"/>
                <w:szCs w:val="18"/>
                <w:lang w:val="fr-BE" w:eastAsia="en-GB"/>
              </w:rPr>
              <w:t>YES</w:t>
            </w:r>
          </w:p>
        </w:tc>
      </w:tr>
      <w:tr w:rsidR="00BD154D" w:rsidRPr="005D1AA3" w14:paraId="56968505" w14:textId="77777777" w:rsidTr="00DF2591">
        <w:trPr>
          <w:trHeight w:val="654"/>
        </w:trPr>
        <w:tc>
          <w:tcPr>
            <w:tcW w:w="988" w:type="dxa"/>
            <w:tcBorders>
              <w:top w:val="single" w:sz="4" w:space="0" w:color="CAC9D9"/>
              <w:left w:val="single" w:sz="4" w:space="0" w:color="CAC9D9"/>
              <w:bottom w:val="single" w:sz="4" w:space="0" w:color="CAC9D9"/>
              <w:right w:val="single" w:sz="4" w:space="0" w:color="CAC9D9"/>
            </w:tcBorders>
            <w:shd w:val="clear" w:color="auto" w:fill="D9D9D9" w:themeFill="background1" w:themeFillShade="D9"/>
            <w:noWrap/>
            <w:vAlign w:val="center"/>
          </w:tcPr>
          <w:p w14:paraId="04C9EA3E"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C24CDE">
              <w:rPr>
                <w:rFonts w:asciiTheme="minorHAnsi" w:eastAsia="Times New Roman" w:hAnsiTheme="minorHAnsi" w:cstheme="minorHAnsi"/>
                <w:color w:val="000000"/>
                <w:sz w:val="18"/>
                <w:szCs w:val="18"/>
                <w:lang w:eastAsia="en-GB"/>
              </w:rPr>
              <w:t>875118</w:t>
            </w:r>
          </w:p>
        </w:tc>
        <w:tc>
          <w:tcPr>
            <w:tcW w:w="992" w:type="dxa"/>
            <w:tcBorders>
              <w:top w:val="single" w:sz="4" w:space="0" w:color="CAC9D9"/>
              <w:left w:val="nil"/>
              <w:bottom w:val="single" w:sz="4" w:space="0" w:color="CAC9D9"/>
              <w:right w:val="single" w:sz="4" w:space="0" w:color="CAC9D9"/>
            </w:tcBorders>
            <w:shd w:val="clear" w:color="auto" w:fill="D9D9D9" w:themeFill="background1" w:themeFillShade="D9"/>
            <w:noWrap/>
            <w:vAlign w:val="center"/>
          </w:tcPr>
          <w:p w14:paraId="512BF9EE"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Pr>
                <w:rFonts w:asciiTheme="minorHAnsi" w:eastAsia="Times New Roman" w:hAnsiTheme="minorHAnsi" w:cstheme="minorHAnsi"/>
                <w:color w:val="000000"/>
                <w:sz w:val="18"/>
                <w:szCs w:val="18"/>
                <w:lang w:eastAsia="en-GB"/>
              </w:rPr>
              <w:t>NEWELY</w:t>
            </w:r>
          </w:p>
        </w:tc>
        <w:tc>
          <w:tcPr>
            <w:tcW w:w="4394" w:type="dxa"/>
            <w:tcBorders>
              <w:top w:val="single" w:sz="4" w:space="0" w:color="CAC9D9"/>
              <w:left w:val="nil"/>
              <w:bottom w:val="single" w:sz="4" w:space="0" w:color="CAC9D9"/>
              <w:right w:val="single" w:sz="4" w:space="0" w:color="CAC9D9"/>
            </w:tcBorders>
            <w:shd w:val="clear" w:color="auto" w:fill="D9D9D9" w:themeFill="background1" w:themeFillShade="D9"/>
            <w:noWrap/>
            <w:vAlign w:val="center"/>
          </w:tcPr>
          <w:p w14:paraId="1F1FFC26" w14:textId="77777777" w:rsidR="00BD154D" w:rsidRPr="00BD154D"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BD154D">
              <w:rPr>
                <w:rFonts w:asciiTheme="minorHAnsi" w:eastAsia="Times New Roman" w:hAnsiTheme="minorHAnsi" w:cstheme="minorHAnsi" w:hint="eastAsia"/>
                <w:color w:val="000000"/>
                <w:sz w:val="18"/>
                <w:szCs w:val="18"/>
                <w:lang w:eastAsia="en-GB"/>
              </w:rPr>
              <w:t>Polymer grafted with cationic groups as side chain,</w:t>
            </w:r>
          </w:p>
          <w:p w14:paraId="29190BBB" w14:textId="77777777" w:rsidR="00BD154D" w:rsidRPr="00BD154D"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BD154D">
              <w:rPr>
                <w:rFonts w:asciiTheme="minorHAnsi" w:eastAsia="Times New Roman" w:hAnsiTheme="minorHAnsi" w:cstheme="minorHAnsi" w:hint="eastAsia"/>
                <w:color w:val="000000"/>
                <w:sz w:val="18"/>
                <w:szCs w:val="18"/>
                <w:lang w:eastAsia="en-GB"/>
              </w:rPr>
              <w:t>preparation method thereof, and anion exchange</w:t>
            </w:r>
          </w:p>
          <w:p w14:paraId="40E3DB2D" w14:textId="77777777" w:rsidR="00BD154D" w:rsidRPr="00BD154D"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BD154D">
              <w:rPr>
                <w:rFonts w:asciiTheme="minorHAnsi" w:eastAsia="Times New Roman" w:hAnsiTheme="minorHAnsi" w:cstheme="minorHAnsi" w:hint="eastAsia"/>
                <w:color w:val="000000"/>
                <w:sz w:val="18"/>
                <w:szCs w:val="18"/>
                <w:lang w:eastAsia="en-GB"/>
              </w:rPr>
              <w:t>membrane made of the same</w:t>
            </w:r>
            <w:r w:rsidRPr="00BD154D">
              <w:rPr>
                <w:rFonts w:asciiTheme="minorHAnsi" w:eastAsia="Times New Roman" w:hAnsiTheme="minorHAnsi" w:cstheme="minorHAnsi"/>
                <w:color w:val="000000"/>
                <w:sz w:val="18"/>
                <w:szCs w:val="18"/>
                <w:lang w:eastAsia="en-GB"/>
              </w:rPr>
              <w:t> </w:t>
            </w:r>
          </w:p>
        </w:tc>
        <w:tc>
          <w:tcPr>
            <w:tcW w:w="1559" w:type="dxa"/>
            <w:tcBorders>
              <w:top w:val="single" w:sz="4" w:space="0" w:color="CAC9D9"/>
              <w:left w:val="nil"/>
              <w:bottom w:val="single" w:sz="4" w:space="0" w:color="CAC9D9"/>
              <w:right w:val="single" w:sz="4" w:space="0" w:color="CAC9D9"/>
            </w:tcBorders>
            <w:shd w:val="clear" w:color="auto" w:fill="D9D9D9" w:themeFill="background1" w:themeFillShade="D9"/>
            <w:noWrap/>
            <w:vAlign w:val="center"/>
          </w:tcPr>
          <w:p w14:paraId="005C29D0" w14:textId="77777777" w:rsidR="00BD154D" w:rsidRPr="007A0C31" w:rsidRDefault="00BD154D" w:rsidP="00DF2591">
            <w:pPr>
              <w:spacing w:after="0" w:line="240" w:lineRule="auto"/>
              <w:jc w:val="center"/>
              <w:rPr>
                <w:rFonts w:asciiTheme="minorHAnsi" w:eastAsia="Times New Roman" w:hAnsiTheme="minorHAnsi" w:cstheme="minorHAnsi"/>
                <w:color w:val="000000"/>
                <w:sz w:val="18"/>
                <w:szCs w:val="18"/>
                <w:lang w:val="fr-BE" w:eastAsia="en-GB"/>
              </w:rPr>
            </w:pPr>
            <w:r w:rsidRPr="007A0C31">
              <w:rPr>
                <w:rFonts w:asciiTheme="minorHAnsi" w:eastAsia="Times New Roman" w:hAnsiTheme="minorHAnsi" w:cstheme="minorHAnsi"/>
                <w:color w:val="000000"/>
                <w:sz w:val="18"/>
                <w:szCs w:val="18"/>
                <w:lang w:val="fr-BE" w:eastAsia="en-GB"/>
              </w:rPr>
              <w:t>KIST, Technion </w:t>
            </w:r>
          </w:p>
        </w:tc>
        <w:tc>
          <w:tcPr>
            <w:tcW w:w="1134" w:type="dxa"/>
            <w:tcBorders>
              <w:top w:val="single" w:sz="4" w:space="0" w:color="CAC9D9"/>
              <w:left w:val="nil"/>
              <w:bottom w:val="single" w:sz="4" w:space="0" w:color="CAC9D9"/>
              <w:right w:val="single" w:sz="4" w:space="0" w:color="CAC9D9"/>
            </w:tcBorders>
            <w:shd w:val="clear" w:color="auto" w:fill="D9D9D9" w:themeFill="background1" w:themeFillShade="D9"/>
            <w:noWrap/>
            <w:vAlign w:val="center"/>
          </w:tcPr>
          <w:p w14:paraId="6ABCC995" w14:textId="77777777" w:rsidR="00BD154D" w:rsidRPr="007A0C31" w:rsidRDefault="00BD154D" w:rsidP="00DF2591">
            <w:pPr>
              <w:spacing w:after="0" w:line="240" w:lineRule="auto"/>
              <w:jc w:val="center"/>
              <w:rPr>
                <w:rFonts w:asciiTheme="minorHAnsi" w:eastAsia="Times New Roman" w:hAnsiTheme="minorHAnsi" w:cstheme="minorHAnsi"/>
                <w:color w:val="000000"/>
                <w:sz w:val="18"/>
                <w:szCs w:val="18"/>
                <w:lang w:val="fr-BE" w:eastAsia="en-GB"/>
              </w:rPr>
            </w:pPr>
            <w:r>
              <w:rPr>
                <w:rFonts w:asciiTheme="minorHAnsi" w:eastAsia="Times New Roman" w:hAnsiTheme="minorHAnsi" w:cstheme="minorHAnsi"/>
                <w:color w:val="000000"/>
                <w:sz w:val="18"/>
                <w:szCs w:val="18"/>
                <w:lang w:val="fr-BE" w:eastAsia="en-GB"/>
              </w:rPr>
              <w:t>27/01/</w:t>
            </w:r>
            <w:r w:rsidRPr="007A0C31">
              <w:rPr>
                <w:rFonts w:asciiTheme="minorHAnsi" w:eastAsia="Times New Roman" w:hAnsiTheme="minorHAnsi" w:cstheme="minorHAnsi"/>
                <w:color w:val="000000"/>
                <w:sz w:val="18"/>
                <w:szCs w:val="18"/>
                <w:lang w:val="fr-BE" w:eastAsia="en-GB"/>
              </w:rPr>
              <w:t>2021 </w:t>
            </w:r>
          </w:p>
        </w:tc>
        <w:tc>
          <w:tcPr>
            <w:tcW w:w="986" w:type="dxa"/>
            <w:tcBorders>
              <w:top w:val="single" w:sz="4" w:space="0" w:color="CAC9D9"/>
              <w:left w:val="nil"/>
              <w:bottom w:val="single" w:sz="4" w:space="0" w:color="CAC9D9"/>
              <w:right w:val="single" w:sz="4" w:space="0" w:color="CAC9D9"/>
            </w:tcBorders>
            <w:shd w:val="clear" w:color="auto" w:fill="D9D9D9" w:themeFill="background1" w:themeFillShade="D9"/>
            <w:noWrap/>
            <w:vAlign w:val="center"/>
          </w:tcPr>
          <w:p w14:paraId="678E3BBC" w14:textId="77777777" w:rsidR="00BD154D" w:rsidRPr="007A0C31" w:rsidRDefault="00BD154D" w:rsidP="00DF2591">
            <w:pPr>
              <w:spacing w:after="0" w:line="240" w:lineRule="auto"/>
              <w:jc w:val="center"/>
              <w:rPr>
                <w:rFonts w:asciiTheme="minorHAnsi" w:eastAsia="Times New Roman" w:hAnsiTheme="minorHAnsi" w:cstheme="minorHAnsi"/>
                <w:color w:val="000000"/>
                <w:sz w:val="18"/>
                <w:szCs w:val="18"/>
                <w:lang w:val="fr-BE" w:eastAsia="en-GB"/>
              </w:rPr>
            </w:pPr>
            <w:r>
              <w:rPr>
                <w:rFonts w:asciiTheme="minorHAnsi" w:eastAsia="Times New Roman" w:hAnsiTheme="minorHAnsi" w:cstheme="minorHAnsi"/>
                <w:color w:val="000000"/>
                <w:sz w:val="18"/>
                <w:szCs w:val="18"/>
                <w:lang w:val="fr-BE" w:eastAsia="en-GB"/>
              </w:rPr>
              <w:t>NO</w:t>
            </w:r>
            <w:r w:rsidRPr="007A0C31">
              <w:rPr>
                <w:rFonts w:asciiTheme="minorHAnsi" w:eastAsia="Times New Roman" w:hAnsiTheme="minorHAnsi" w:cstheme="minorHAnsi"/>
                <w:color w:val="000000"/>
                <w:sz w:val="18"/>
                <w:szCs w:val="18"/>
                <w:lang w:val="fr-BE" w:eastAsia="en-GB"/>
              </w:rPr>
              <w:t> </w:t>
            </w:r>
          </w:p>
        </w:tc>
      </w:tr>
      <w:tr w:rsidR="00BD154D" w:rsidRPr="005D1AA3" w14:paraId="262F3404" w14:textId="77777777" w:rsidTr="00DF2591">
        <w:trPr>
          <w:trHeight w:val="654"/>
        </w:trPr>
        <w:tc>
          <w:tcPr>
            <w:tcW w:w="988" w:type="dxa"/>
            <w:tcBorders>
              <w:top w:val="single" w:sz="4" w:space="0" w:color="CAC9D9"/>
              <w:left w:val="single" w:sz="4" w:space="0" w:color="CAC9D9"/>
              <w:bottom w:val="single" w:sz="4" w:space="0" w:color="CAC9D9"/>
              <w:right w:val="single" w:sz="4" w:space="0" w:color="CAC9D9"/>
            </w:tcBorders>
            <w:shd w:val="clear" w:color="auto" w:fill="FFFFFF" w:themeFill="background1"/>
            <w:noWrap/>
            <w:vAlign w:val="center"/>
          </w:tcPr>
          <w:p w14:paraId="6779F5F8"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C24CDE">
              <w:rPr>
                <w:rFonts w:asciiTheme="minorHAnsi" w:eastAsia="Times New Roman" w:hAnsiTheme="minorHAnsi" w:cstheme="minorHAnsi"/>
                <w:color w:val="000000"/>
                <w:sz w:val="18"/>
                <w:szCs w:val="18"/>
                <w:lang w:eastAsia="en-GB"/>
              </w:rPr>
              <w:t>735918</w:t>
            </w:r>
          </w:p>
        </w:tc>
        <w:tc>
          <w:tcPr>
            <w:tcW w:w="992" w:type="dxa"/>
            <w:tcBorders>
              <w:top w:val="single" w:sz="4" w:space="0" w:color="CAC9D9"/>
              <w:left w:val="nil"/>
              <w:bottom w:val="single" w:sz="4" w:space="0" w:color="CAC9D9"/>
              <w:right w:val="single" w:sz="4" w:space="0" w:color="CAC9D9"/>
            </w:tcBorders>
            <w:shd w:val="clear" w:color="auto" w:fill="FFFFFF" w:themeFill="background1"/>
            <w:noWrap/>
            <w:vAlign w:val="center"/>
          </w:tcPr>
          <w:p w14:paraId="4CDE0D2D"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Pr>
                <w:rFonts w:asciiTheme="minorHAnsi" w:eastAsia="Times New Roman" w:hAnsiTheme="minorHAnsi" w:cstheme="minorHAnsi"/>
                <w:color w:val="000000"/>
                <w:sz w:val="18"/>
                <w:szCs w:val="18"/>
                <w:lang w:eastAsia="en-GB"/>
              </w:rPr>
              <w:t>INSIGHT</w:t>
            </w:r>
          </w:p>
        </w:tc>
        <w:tc>
          <w:tcPr>
            <w:tcW w:w="4394" w:type="dxa"/>
            <w:tcBorders>
              <w:top w:val="single" w:sz="4" w:space="0" w:color="CAC9D9"/>
              <w:left w:val="nil"/>
              <w:bottom w:val="single" w:sz="4" w:space="0" w:color="CAC9D9"/>
              <w:right w:val="single" w:sz="4" w:space="0" w:color="CAC9D9"/>
            </w:tcBorders>
            <w:shd w:val="clear" w:color="auto" w:fill="FFFFFF" w:themeFill="background1"/>
            <w:noWrap/>
            <w:vAlign w:val="center"/>
          </w:tcPr>
          <w:p w14:paraId="7DAC4844" w14:textId="77777777" w:rsidR="00BD154D" w:rsidRPr="008A3209"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9D6E1A">
              <w:rPr>
                <w:rFonts w:asciiTheme="minorHAnsi" w:eastAsia="Times New Roman" w:hAnsiTheme="minorHAnsi" w:cstheme="minorHAnsi"/>
                <w:color w:val="000000"/>
                <w:sz w:val="18"/>
                <w:szCs w:val="18"/>
                <w:lang w:eastAsia="en-GB"/>
              </w:rPr>
              <w:t>Stack monitoring by means of stack segments</w:t>
            </w:r>
          </w:p>
        </w:tc>
        <w:tc>
          <w:tcPr>
            <w:tcW w:w="1559" w:type="dxa"/>
            <w:tcBorders>
              <w:top w:val="single" w:sz="4" w:space="0" w:color="CAC9D9"/>
              <w:left w:val="nil"/>
              <w:bottom w:val="single" w:sz="4" w:space="0" w:color="CAC9D9"/>
              <w:right w:val="single" w:sz="4" w:space="0" w:color="CAC9D9"/>
            </w:tcBorders>
            <w:shd w:val="clear" w:color="auto" w:fill="FFFFFF" w:themeFill="background1"/>
            <w:noWrap/>
            <w:vAlign w:val="center"/>
          </w:tcPr>
          <w:p w14:paraId="555D5F80"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p>
        </w:tc>
        <w:tc>
          <w:tcPr>
            <w:tcW w:w="1134" w:type="dxa"/>
            <w:tcBorders>
              <w:top w:val="single" w:sz="4" w:space="0" w:color="CAC9D9"/>
              <w:left w:val="nil"/>
              <w:bottom w:val="single" w:sz="4" w:space="0" w:color="CAC9D9"/>
              <w:right w:val="single" w:sz="4" w:space="0" w:color="CAC9D9"/>
            </w:tcBorders>
            <w:shd w:val="clear" w:color="auto" w:fill="FFFFFF" w:themeFill="background1"/>
            <w:noWrap/>
            <w:vAlign w:val="center"/>
          </w:tcPr>
          <w:p w14:paraId="7A2582A5"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p>
        </w:tc>
        <w:tc>
          <w:tcPr>
            <w:tcW w:w="986" w:type="dxa"/>
            <w:tcBorders>
              <w:top w:val="single" w:sz="4" w:space="0" w:color="CAC9D9"/>
              <w:left w:val="nil"/>
              <w:bottom w:val="single" w:sz="4" w:space="0" w:color="CAC9D9"/>
              <w:right w:val="single" w:sz="4" w:space="0" w:color="CAC9D9"/>
            </w:tcBorders>
            <w:shd w:val="clear" w:color="auto" w:fill="FFFFFF" w:themeFill="background1"/>
            <w:noWrap/>
            <w:vAlign w:val="center"/>
          </w:tcPr>
          <w:p w14:paraId="0C11E948"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Pr>
                <w:rFonts w:asciiTheme="minorHAnsi" w:eastAsia="Times New Roman" w:hAnsiTheme="minorHAnsi" w:cstheme="minorHAnsi"/>
                <w:color w:val="000000"/>
                <w:sz w:val="18"/>
                <w:szCs w:val="18"/>
                <w:lang w:eastAsia="en-GB"/>
              </w:rPr>
              <w:t>NO</w:t>
            </w:r>
          </w:p>
        </w:tc>
      </w:tr>
      <w:tr w:rsidR="00BD154D" w:rsidRPr="005D1AA3" w14:paraId="3BD0C04F" w14:textId="77777777" w:rsidTr="00DF2591">
        <w:trPr>
          <w:trHeight w:val="654"/>
        </w:trPr>
        <w:tc>
          <w:tcPr>
            <w:tcW w:w="988" w:type="dxa"/>
            <w:tcBorders>
              <w:top w:val="single" w:sz="4" w:space="0" w:color="CAC9D9"/>
              <w:left w:val="single" w:sz="4" w:space="0" w:color="CAC9D9"/>
              <w:bottom w:val="single" w:sz="4" w:space="0" w:color="CAC9D9"/>
              <w:right w:val="single" w:sz="4" w:space="0" w:color="CAC9D9"/>
            </w:tcBorders>
            <w:shd w:val="clear" w:color="auto" w:fill="FFFFFF" w:themeFill="background1"/>
            <w:noWrap/>
            <w:vAlign w:val="center"/>
          </w:tcPr>
          <w:p w14:paraId="7BEB5484"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C24CDE">
              <w:rPr>
                <w:rFonts w:asciiTheme="minorHAnsi" w:eastAsia="Times New Roman" w:hAnsiTheme="minorHAnsi" w:cstheme="minorHAnsi"/>
                <w:color w:val="000000"/>
                <w:sz w:val="18"/>
                <w:szCs w:val="18"/>
                <w:lang w:eastAsia="en-GB"/>
              </w:rPr>
              <w:t>735918</w:t>
            </w:r>
          </w:p>
        </w:tc>
        <w:tc>
          <w:tcPr>
            <w:tcW w:w="992" w:type="dxa"/>
            <w:tcBorders>
              <w:top w:val="single" w:sz="4" w:space="0" w:color="CAC9D9"/>
              <w:left w:val="nil"/>
              <w:bottom w:val="single" w:sz="4" w:space="0" w:color="CAC9D9"/>
              <w:right w:val="single" w:sz="4" w:space="0" w:color="CAC9D9"/>
            </w:tcBorders>
            <w:shd w:val="clear" w:color="auto" w:fill="FFFFFF" w:themeFill="background1"/>
            <w:noWrap/>
            <w:vAlign w:val="center"/>
          </w:tcPr>
          <w:p w14:paraId="0E164EB5"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Pr>
                <w:rFonts w:asciiTheme="minorHAnsi" w:eastAsia="Times New Roman" w:hAnsiTheme="minorHAnsi" w:cstheme="minorHAnsi"/>
                <w:color w:val="000000"/>
                <w:sz w:val="18"/>
                <w:szCs w:val="18"/>
                <w:lang w:eastAsia="en-GB"/>
              </w:rPr>
              <w:t>INSIGHT</w:t>
            </w:r>
          </w:p>
        </w:tc>
        <w:tc>
          <w:tcPr>
            <w:tcW w:w="4394" w:type="dxa"/>
            <w:tcBorders>
              <w:top w:val="single" w:sz="4" w:space="0" w:color="CAC9D9"/>
              <w:left w:val="nil"/>
              <w:bottom w:val="single" w:sz="4" w:space="0" w:color="CAC9D9"/>
              <w:right w:val="single" w:sz="4" w:space="0" w:color="CAC9D9"/>
            </w:tcBorders>
            <w:shd w:val="clear" w:color="auto" w:fill="FFFFFF" w:themeFill="background1"/>
            <w:noWrap/>
            <w:vAlign w:val="center"/>
          </w:tcPr>
          <w:p w14:paraId="08D627E2" w14:textId="77777777" w:rsidR="00BD154D" w:rsidRPr="009D6E1A"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9D6E1A">
              <w:rPr>
                <w:rFonts w:asciiTheme="minorHAnsi" w:eastAsia="Times New Roman" w:hAnsiTheme="minorHAnsi" w:cstheme="minorHAnsi"/>
                <w:color w:val="000000"/>
                <w:sz w:val="18"/>
                <w:szCs w:val="18"/>
                <w:lang w:eastAsia="en-GB"/>
              </w:rPr>
              <w:t>Monitoring by periodic non-sinusoidal excitation,</w:t>
            </w:r>
          </w:p>
          <w:p w14:paraId="1AC4D070" w14:textId="77777777" w:rsidR="00BD154D" w:rsidRPr="008A3209"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9D6E1A">
              <w:rPr>
                <w:rFonts w:asciiTheme="minorHAnsi" w:eastAsia="Times New Roman" w:hAnsiTheme="minorHAnsi" w:cstheme="minorHAnsi"/>
                <w:color w:val="000000"/>
                <w:sz w:val="18"/>
                <w:szCs w:val="18"/>
                <w:lang w:eastAsia="en-GB"/>
              </w:rPr>
              <w:t>multi frequency based metric approach</w:t>
            </w:r>
          </w:p>
        </w:tc>
        <w:tc>
          <w:tcPr>
            <w:tcW w:w="1559" w:type="dxa"/>
            <w:tcBorders>
              <w:top w:val="single" w:sz="4" w:space="0" w:color="CAC9D9"/>
              <w:left w:val="nil"/>
              <w:bottom w:val="single" w:sz="4" w:space="0" w:color="CAC9D9"/>
              <w:right w:val="single" w:sz="4" w:space="0" w:color="CAC9D9"/>
            </w:tcBorders>
            <w:shd w:val="clear" w:color="auto" w:fill="FFFFFF" w:themeFill="background1"/>
            <w:noWrap/>
            <w:vAlign w:val="center"/>
          </w:tcPr>
          <w:p w14:paraId="0B7D092B"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p>
        </w:tc>
        <w:tc>
          <w:tcPr>
            <w:tcW w:w="1134" w:type="dxa"/>
            <w:tcBorders>
              <w:top w:val="single" w:sz="4" w:space="0" w:color="CAC9D9"/>
              <w:left w:val="nil"/>
              <w:bottom w:val="single" w:sz="4" w:space="0" w:color="CAC9D9"/>
              <w:right w:val="single" w:sz="4" w:space="0" w:color="CAC9D9"/>
            </w:tcBorders>
            <w:shd w:val="clear" w:color="auto" w:fill="FFFFFF" w:themeFill="background1"/>
            <w:noWrap/>
            <w:vAlign w:val="center"/>
          </w:tcPr>
          <w:p w14:paraId="56D57E1A"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p>
        </w:tc>
        <w:tc>
          <w:tcPr>
            <w:tcW w:w="986" w:type="dxa"/>
            <w:tcBorders>
              <w:top w:val="single" w:sz="4" w:space="0" w:color="CAC9D9"/>
              <w:left w:val="nil"/>
              <w:bottom w:val="single" w:sz="4" w:space="0" w:color="CAC9D9"/>
              <w:right w:val="single" w:sz="4" w:space="0" w:color="CAC9D9"/>
            </w:tcBorders>
            <w:shd w:val="clear" w:color="auto" w:fill="FFFFFF" w:themeFill="background1"/>
            <w:noWrap/>
            <w:vAlign w:val="center"/>
          </w:tcPr>
          <w:p w14:paraId="57539039"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Pr>
                <w:rFonts w:asciiTheme="minorHAnsi" w:eastAsia="Times New Roman" w:hAnsiTheme="minorHAnsi" w:cstheme="minorHAnsi"/>
                <w:color w:val="000000"/>
                <w:sz w:val="18"/>
                <w:szCs w:val="18"/>
                <w:lang w:eastAsia="en-GB"/>
              </w:rPr>
              <w:t>NO</w:t>
            </w:r>
          </w:p>
        </w:tc>
      </w:tr>
      <w:tr w:rsidR="00BD154D" w:rsidRPr="0034029F" w14:paraId="55F8D7C8" w14:textId="77777777" w:rsidTr="00DF2591">
        <w:trPr>
          <w:trHeight w:val="654"/>
        </w:trPr>
        <w:tc>
          <w:tcPr>
            <w:tcW w:w="988" w:type="dxa"/>
            <w:tcBorders>
              <w:top w:val="single" w:sz="4" w:space="0" w:color="CAC9D9"/>
              <w:left w:val="single" w:sz="4" w:space="0" w:color="CAC9D9"/>
              <w:bottom w:val="single" w:sz="4" w:space="0" w:color="CAC9D9"/>
              <w:right w:val="single" w:sz="4" w:space="0" w:color="CAC9D9"/>
            </w:tcBorders>
            <w:shd w:val="clear" w:color="auto" w:fill="D9D9D9" w:themeFill="background1" w:themeFillShade="D9"/>
            <w:noWrap/>
            <w:vAlign w:val="center"/>
          </w:tcPr>
          <w:p w14:paraId="526E7C3A"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696BA3">
              <w:rPr>
                <w:rFonts w:asciiTheme="minorHAnsi" w:eastAsia="Times New Roman" w:hAnsiTheme="minorHAnsi" w:cstheme="minorHAnsi"/>
                <w:color w:val="000000"/>
                <w:sz w:val="18"/>
                <w:szCs w:val="18"/>
                <w:lang w:eastAsia="en-GB"/>
              </w:rPr>
              <w:t>735918</w:t>
            </w:r>
          </w:p>
        </w:tc>
        <w:tc>
          <w:tcPr>
            <w:tcW w:w="992" w:type="dxa"/>
            <w:tcBorders>
              <w:top w:val="single" w:sz="4" w:space="0" w:color="CAC9D9"/>
              <w:left w:val="nil"/>
              <w:bottom w:val="single" w:sz="4" w:space="0" w:color="CAC9D9"/>
              <w:right w:val="single" w:sz="4" w:space="0" w:color="CAC9D9"/>
            </w:tcBorders>
            <w:shd w:val="clear" w:color="auto" w:fill="D9D9D9" w:themeFill="background1" w:themeFillShade="D9"/>
            <w:noWrap/>
            <w:vAlign w:val="center"/>
          </w:tcPr>
          <w:p w14:paraId="73A09BA1"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696BA3">
              <w:rPr>
                <w:rFonts w:asciiTheme="minorHAnsi" w:eastAsia="Times New Roman" w:hAnsiTheme="minorHAnsi" w:cstheme="minorHAnsi"/>
                <w:color w:val="000000"/>
                <w:sz w:val="18"/>
                <w:szCs w:val="18"/>
                <w:lang w:eastAsia="en-GB"/>
              </w:rPr>
              <w:t>INLINE</w:t>
            </w:r>
          </w:p>
        </w:tc>
        <w:tc>
          <w:tcPr>
            <w:tcW w:w="4394" w:type="dxa"/>
            <w:tcBorders>
              <w:top w:val="single" w:sz="4" w:space="0" w:color="CAC9D9"/>
              <w:left w:val="nil"/>
              <w:bottom w:val="single" w:sz="4" w:space="0" w:color="CAC9D9"/>
              <w:right w:val="single" w:sz="4" w:space="0" w:color="CAC9D9"/>
            </w:tcBorders>
            <w:shd w:val="clear" w:color="auto" w:fill="D9D9D9" w:themeFill="background1" w:themeFillShade="D9"/>
            <w:noWrap/>
            <w:vAlign w:val="center"/>
          </w:tcPr>
          <w:p w14:paraId="737F522B" w14:textId="77777777" w:rsidR="00BD154D" w:rsidRPr="007A0C31"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696BA3">
              <w:rPr>
                <w:rFonts w:asciiTheme="minorHAnsi" w:eastAsia="Times New Roman" w:hAnsiTheme="minorHAnsi" w:cstheme="minorHAnsi"/>
                <w:color w:val="000000"/>
                <w:sz w:val="18"/>
                <w:szCs w:val="18"/>
                <w:lang w:eastAsia="en-GB"/>
              </w:rPr>
              <w:t>Kalibrierverfahren für einen Projektor</w:t>
            </w:r>
          </w:p>
        </w:tc>
        <w:tc>
          <w:tcPr>
            <w:tcW w:w="1559" w:type="dxa"/>
            <w:tcBorders>
              <w:top w:val="single" w:sz="4" w:space="0" w:color="CAC9D9"/>
              <w:left w:val="nil"/>
              <w:bottom w:val="single" w:sz="4" w:space="0" w:color="CAC9D9"/>
              <w:right w:val="single" w:sz="4" w:space="0" w:color="CAC9D9"/>
            </w:tcBorders>
            <w:shd w:val="clear" w:color="auto" w:fill="D9D9D9" w:themeFill="background1" w:themeFillShade="D9"/>
            <w:noWrap/>
            <w:vAlign w:val="center"/>
          </w:tcPr>
          <w:p w14:paraId="76801E00" w14:textId="77777777" w:rsidR="00BD154D" w:rsidRPr="007A0C31"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7A0C31">
              <w:rPr>
                <w:rFonts w:asciiTheme="minorHAnsi" w:eastAsia="Times New Roman" w:hAnsiTheme="minorHAnsi" w:cstheme="minorHAnsi"/>
                <w:color w:val="000000"/>
                <w:sz w:val="18"/>
                <w:szCs w:val="18"/>
                <w:lang w:eastAsia="en-GB"/>
              </w:rPr>
              <w:t>Profactor Gmbh</w:t>
            </w:r>
          </w:p>
        </w:tc>
        <w:tc>
          <w:tcPr>
            <w:tcW w:w="1134" w:type="dxa"/>
            <w:tcBorders>
              <w:top w:val="single" w:sz="4" w:space="0" w:color="CAC9D9"/>
              <w:left w:val="nil"/>
              <w:bottom w:val="single" w:sz="4" w:space="0" w:color="CAC9D9"/>
              <w:right w:val="single" w:sz="4" w:space="0" w:color="CAC9D9"/>
            </w:tcBorders>
            <w:shd w:val="clear" w:color="auto" w:fill="D9D9D9" w:themeFill="background1" w:themeFillShade="D9"/>
            <w:noWrap/>
            <w:vAlign w:val="center"/>
          </w:tcPr>
          <w:p w14:paraId="2C0BD2DF" w14:textId="77777777" w:rsidR="00BD154D" w:rsidRPr="005D1AA3"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696BA3">
              <w:rPr>
                <w:rFonts w:asciiTheme="minorHAnsi" w:eastAsia="Times New Roman" w:hAnsiTheme="minorHAnsi" w:cstheme="minorHAnsi"/>
                <w:color w:val="000000"/>
                <w:sz w:val="18"/>
                <w:szCs w:val="18"/>
                <w:lang w:eastAsia="en-GB"/>
              </w:rPr>
              <w:t>07/05/2019</w:t>
            </w:r>
          </w:p>
        </w:tc>
        <w:tc>
          <w:tcPr>
            <w:tcW w:w="986" w:type="dxa"/>
            <w:tcBorders>
              <w:top w:val="single" w:sz="4" w:space="0" w:color="CAC9D9"/>
              <w:left w:val="nil"/>
              <w:bottom w:val="single" w:sz="4" w:space="0" w:color="CAC9D9"/>
              <w:right w:val="single" w:sz="4" w:space="0" w:color="CAC9D9"/>
            </w:tcBorders>
            <w:shd w:val="clear" w:color="auto" w:fill="D9D9D9" w:themeFill="background1" w:themeFillShade="D9"/>
            <w:noWrap/>
            <w:vAlign w:val="center"/>
          </w:tcPr>
          <w:p w14:paraId="5CA58C01" w14:textId="77777777" w:rsidR="00BD154D" w:rsidRPr="0078076F"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78076F">
              <w:rPr>
                <w:rFonts w:asciiTheme="minorHAnsi" w:eastAsia="Times New Roman" w:hAnsiTheme="minorHAnsi" w:cstheme="minorHAnsi"/>
                <w:color w:val="000000"/>
                <w:sz w:val="18"/>
                <w:szCs w:val="18"/>
                <w:lang w:eastAsia="en-GB"/>
              </w:rPr>
              <w:t>YES</w:t>
            </w:r>
          </w:p>
        </w:tc>
      </w:tr>
    </w:tbl>
    <w:p w14:paraId="467AF031" w14:textId="77777777" w:rsidR="00BD154D" w:rsidRDefault="00BD154D" w:rsidP="00BD154D">
      <w:pPr>
        <w:spacing w:after="0" w:line="240" w:lineRule="auto"/>
        <w:rPr>
          <w:rStyle w:val="Heading2Char"/>
          <w:rFonts w:eastAsia="Calibri"/>
          <w:b w:val="0"/>
          <w:bCs w:val="0"/>
          <w:iCs w:val="0"/>
        </w:rPr>
        <w:sectPr w:rsidR="00BD154D" w:rsidSect="00DF2591">
          <w:pgSz w:w="11906" w:h="16838"/>
          <w:pgMar w:top="1417" w:right="1134" w:bottom="1417" w:left="709" w:header="708" w:footer="708" w:gutter="0"/>
          <w:cols w:space="708"/>
          <w:docGrid w:linePitch="360"/>
        </w:sectPr>
      </w:pPr>
    </w:p>
    <w:p w14:paraId="755D6E26" w14:textId="77777777" w:rsidR="00BD154D" w:rsidRPr="00763239" w:rsidRDefault="00BD154D" w:rsidP="00BD154D">
      <w:pPr>
        <w:pStyle w:val="Heading2"/>
        <w:ind w:left="567" w:hanging="576"/>
      </w:pPr>
      <w:bookmarkStart w:id="256" w:name="_Toc98496390"/>
      <w:bookmarkStart w:id="257" w:name="_Toc101516107"/>
      <w:r w:rsidRPr="00763239">
        <w:rPr>
          <w:rStyle w:val="Heading2Char"/>
          <w:b/>
          <w:bCs/>
          <w:iCs/>
        </w:rPr>
        <w:lastRenderedPageBreak/>
        <w:t xml:space="preserve">Annex 5 - </w:t>
      </w:r>
      <w:r w:rsidRPr="00A71890">
        <w:t>Scoreboard</w:t>
      </w:r>
      <w:r w:rsidRPr="00763239">
        <w:rPr>
          <w:rStyle w:val="Heading2Char"/>
          <w:b/>
          <w:bCs/>
          <w:iCs/>
        </w:rPr>
        <w:t xml:space="preserve"> of </w:t>
      </w:r>
      <w:r>
        <w:rPr>
          <w:rStyle w:val="Heading2Char"/>
          <w:b/>
          <w:bCs/>
          <w:iCs/>
        </w:rPr>
        <w:t>H</w:t>
      </w:r>
      <w:r w:rsidRPr="00763239">
        <w:rPr>
          <w:rStyle w:val="Heading2Char"/>
          <w:b/>
          <w:bCs/>
          <w:iCs/>
        </w:rPr>
        <w:t>2020 common KPIs</w:t>
      </w:r>
      <w:r w:rsidRPr="00A01040">
        <w:rPr>
          <w:rStyle w:val="FootnoteReference"/>
        </w:rPr>
        <w:footnoteReference w:id="125"/>
      </w:r>
      <w:bookmarkEnd w:id="255"/>
      <w:bookmarkEnd w:id="256"/>
      <w:bookmarkEnd w:id="25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2"/>
        <w:gridCol w:w="1609"/>
        <w:gridCol w:w="2246"/>
        <w:gridCol w:w="2093"/>
        <w:gridCol w:w="1832"/>
      </w:tblGrid>
      <w:tr w:rsidR="00BD154D" w:rsidRPr="001E7E02" w14:paraId="3CA5026D" w14:textId="77777777" w:rsidTr="00DF2591">
        <w:trPr>
          <w:cantSplit/>
          <w:trHeight w:val="1290"/>
          <w:tblHeader/>
        </w:trPr>
        <w:tc>
          <w:tcPr>
            <w:tcW w:w="247" w:type="pct"/>
            <w:shd w:val="clear" w:color="auto" w:fill="0070C0"/>
            <w:vAlign w:val="center"/>
          </w:tcPr>
          <w:p w14:paraId="1C57ACA8" w14:textId="77777777" w:rsidR="00BD154D" w:rsidRPr="001E7E02" w:rsidRDefault="00BD154D" w:rsidP="00DF2591">
            <w:pPr>
              <w:spacing w:after="0" w:line="240" w:lineRule="auto"/>
              <w:jc w:val="center"/>
              <w:rPr>
                <w:rFonts w:asciiTheme="minorHAnsi" w:eastAsia="Times New Roman" w:hAnsiTheme="minorHAnsi"/>
                <w:b/>
                <w:color w:val="FFFFFF" w:themeColor="background1"/>
                <w:sz w:val="18"/>
                <w:szCs w:val="18"/>
                <w:lang w:eastAsia="en-GB"/>
              </w:rPr>
            </w:pPr>
          </w:p>
        </w:tc>
        <w:tc>
          <w:tcPr>
            <w:tcW w:w="888" w:type="pct"/>
            <w:shd w:val="clear" w:color="auto" w:fill="0070C0"/>
            <w:noWrap/>
            <w:vAlign w:val="center"/>
          </w:tcPr>
          <w:p w14:paraId="6A875E74" w14:textId="77777777" w:rsidR="00BD154D" w:rsidRPr="001E7E02" w:rsidRDefault="00BD154D" w:rsidP="00DF2591">
            <w:pPr>
              <w:spacing w:after="0" w:line="240" w:lineRule="auto"/>
              <w:jc w:val="center"/>
              <w:rPr>
                <w:rFonts w:asciiTheme="minorHAnsi" w:eastAsia="Times New Roman" w:hAnsiTheme="minorHAnsi"/>
                <w:b/>
                <w:color w:val="FFFFFF" w:themeColor="background1"/>
                <w:sz w:val="18"/>
                <w:szCs w:val="18"/>
                <w:lang w:eastAsia="en-GB"/>
              </w:rPr>
            </w:pPr>
            <w:r w:rsidRPr="001E7E02">
              <w:rPr>
                <w:rFonts w:asciiTheme="minorHAnsi" w:eastAsia="Times New Roman" w:hAnsiTheme="minorHAnsi"/>
                <w:b/>
                <w:color w:val="FFFFFF" w:themeColor="background1"/>
                <w:sz w:val="18"/>
                <w:szCs w:val="18"/>
                <w:lang w:eastAsia="en-GB"/>
              </w:rPr>
              <w:t>H2020 KPI number</w:t>
            </w:r>
          </w:p>
        </w:tc>
        <w:tc>
          <w:tcPr>
            <w:tcW w:w="1393" w:type="pct"/>
            <w:shd w:val="clear" w:color="auto" w:fill="0070C0"/>
            <w:vAlign w:val="center"/>
          </w:tcPr>
          <w:p w14:paraId="663F7589" w14:textId="77777777" w:rsidR="00BD154D" w:rsidRPr="001E7E02" w:rsidRDefault="00BD154D" w:rsidP="00DF2591">
            <w:pPr>
              <w:spacing w:after="0" w:line="240" w:lineRule="auto"/>
              <w:jc w:val="center"/>
              <w:rPr>
                <w:rFonts w:asciiTheme="minorHAnsi" w:eastAsia="Times New Roman" w:hAnsiTheme="minorHAnsi"/>
                <w:b/>
                <w:bCs/>
                <w:color w:val="FFFFFF" w:themeColor="background1"/>
                <w:sz w:val="18"/>
                <w:szCs w:val="18"/>
                <w:lang w:eastAsia="en-GB"/>
              </w:rPr>
            </w:pPr>
            <w:r>
              <w:rPr>
                <w:rFonts w:asciiTheme="minorHAnsi" w:eastAsia="Times New Roman" w:hAnsiTheme="minorHAnsi"/>
                <w:b/>
                <w:bCs/>
                <w:color w:val="FFFFFF" w:themeColor="background1"/>
                <w:sz w:val="18"/>
                <w:szCs w:val="18"/>
                <w:lang w:eastAsia="en-GB"/>
              </w:rPr>
              <w:t>KPI</w:t>
            </w:r>
          </w:p>
        </w:tc>
        <w:tc>
          <w:tcPr>
            <w:tcW w:w="1308" w:type="pct"/>
            <w:shd w:val="clear" w:color="auto" w:fill="0070C0"/>
            <w:vAlign w:val="center"/>
          </w:tcPr>
          <w:p w14:paraId="2B8CEA1A" w14:textId="77777777" w:rsidR="00BD154D" w:rsidRPr="001E7E02" w:rsidRDefault="00BD154D" w:rsidP="00DF2591">
            <w:pPr>
              <w:spacing w:after="0" w:line="240" w:lineRule="auto"/>
              <w:jc w:val="center"/>
              <w:rPr>
                <w:rFonts w:asciiTheme="minorHAnsi" w:eastAsia="Times New Roman" w:hAnsiTheme="minorHAnsi"/>
                <w:b/>
                <w:bCs/>
                <w:color w:val="FFFFFF" w:themeColor="background1"/>
                <w:sz w:val="18"/>
                <w:szCs w:val="18"/>
                <w:lang w:eastAsia="en-GB"/>
              </w:rPr>
            </w:pPr>
            <w:r w:rsidRPr="001E7E02">
              <w:rPr>
                <w:rFonts w:asciiTheme="minorHAnsi" w:eastAsia="Times New Roman" w:hAnsiTheme="minorHAnsi"/>
                <w:b/>
                <w:bCs/>
                <w:color w:val="FFFFFF" w:themeColor="background1"/>
                <w:sz w:val="18"/>
                <w:szCs w:val="18"/>
                <w:lang w:eastAsia="en-GB"/>
              </w:rPr>
              <w:t>Type of data required</w:t>
            </w:r>
          </w:p>
        </w:tc>
        <w:tc>
          <w:tcPr>
            <w:tcW w:w="1164" w:type="pct"/>
            <w:shd w:val="clear" w:color="auto" w:fill="0070C0"/>
            <w:vAlign w:val="center"/>
          </w:tcPr>
          <w:p w14:paraId="57FDBF69" w14:textId="77777777" w:rsidR="00BD154D" w:rsidRPr="001E7E02" w:rsidRDefault="00BD154D" w:rsidP="00DF2591">
            <w:pPr>
              <w:spacing w:after="0" w:line="240" w:lineRule="auto"/>
              <w:jc w:val="center"/>
              <w:rPr>
                <w:rFonts w:asciiTheme="minorHAnsi" w:eastAsia="Times New Roman" w:hAnsiTheme="minorHAnsi"/>
                <w:b/>
                <w:bCs/>
                <w:color w:val="FFFFFF" w:themeColor="background1"/>
                <w:sz w:val="18"/>
                <w:szCs w:val="18"/>
                <w:lang w:eastAsia="en-GB"/>
              </w:rPr>
            </w:pPr>
            <w:r w:rsidRPr="001E7E02">
              <w:rPr>
                <w:rFonts w:eastAsia="Times New Roman" w:cs="Calibri"/>
                <w:b/>
                <w:bCs/>
                <w:color w:val="FFFFFF" w:themeColor="background1"/>
                <w:sz w:val="18"/>
                <w:szCs w:val="18"/>
                <w:lang w:eastAsia="en-GB"/>
              </w:rPr>
              <w:t>Results H2020 up to 31 December 2020 (</w:t>
            </w:r>
            <w:r>
              <w:rPr>
                <w:rFonts w:eastAsia="Times New Roman" w:cs="Calibri"/>
                <w:b/>
                <w:bCs/>
                <w:color w:val="FFFFFF" w:themeColor="background1"/>
                <w:sz w:val="18"/>
                <w:szCs w:val="18"/>
                <w:lang w:eastAsia="en-GB"/>
              </w:rPr>
              <w:t>C</w:t>
            </w:r>
            <w:r w:rsidRPr="001E7E02">
              <w:rPr>
                <w:rFonts w:eastAsia="Times New Roman" w:cs="Calibri"/>
                <w:b/>
                <w:bCs/>
                <w:color w:val="FFFFFF" w:themeColor="background1"/>
                <w:sz w:val="18"/>
                <w:szCs w:val="18"/>
                <w:lang w:eastAsia="en-GB"/>
              </w:rPr>
              <w:t>alls 2014-2020)</w:t>
            </w:r>
          </w:p>
        </w:tc>
      </w:tr>
      <w:tr w:rsidR="00BD154D" w:rsidRPr="00090CD7" w14:paraId="08057A65" w14:textId="77777777" w:rsidTr="00DF2591">
        <w:trPr>
          <w:trHeight w:val="1200"/>
        </w:trPr>
        <w:tc>
          <w:tcPr>
            <w:tcW w:w="247" w:type="pct"/>
            <w:vMerge w:val="restart"/>
            <w:shd w:val="clear" w:color="auto" w:fill="auto"/>
            <w:textDirection w:val="btLr"/>
            <w:vAlign w:val="center"/>
          </w:tcPr>
          <w:p w14:paraId="215ADCED" w14:textId="77777777" w:rsidR="00BD154D" w:rsidRPr="00090CD7" w:rsidRDefault="00BD154D" w:rsidP="00DF2591">
            <w:pPr>
              <w:spacing w:after="0" w:line="240" w:lineRule="auto"/>
              <w:ind w:left="113" w:right="113"/>
              <w:jc w:val="center"/>
              <w:rPr>
                <w:rFonts w:asciiTheme="minorHAnsi" w:eastAsia="Times New Roman" w:hAnsiTheme="minorHAnsi"/>
                <w:b/>
                <w:sz w:val="18"/>
                <w:szCs w:val="18"/>
                <w:lang w:eastAsia="en-GB"/>
              </w:rPr>
            </w:pPr>
            <w:r w:rsidRPr="00090CD7">
              <w:rPr>
                <w:rFonts w:asciiTheme="minorHAnsi" w:eastAsia="Times New Roman" w:hAnsiTheme="minorHAnsi"/>
                <w:b/>
                <w:sz w:val="18"/>
                <w:szCs w:val="18"/>
                <w:lang w:eastAsia="en-GB"/>
              </w:rPr>
              <w:t>INDUSTRIAL LEADERSHIP</w:t>
            </w:r>
          </w:p>
        </w:tc>
        <w:tc>
          <w:tcPr>
            <w:tcW w:w="888" w:type="pct"/>
            <w:shd w:val="clear" w:color="auto" w:fill="auto"/>
            <w:noWrap/>
            <w:vAlign w:val="center"/>
          </w:tcPr>
          <w:p w14:paraId="35DA34F5" w14:textId="77777777" w:rsidR="00BD154D" w:rsidRPr="00090CD7" w:rsidRDefault="00BD154D" w:rsidP="00DF2591">
            <w:pPr>
              <w:spacing w:after="0" w:line="240" w:lineRule="auto"/>
              <w:jc w:val="center"/>
              <w:rPr>
                <w:rFonts w:asciiTheme="minorHAnsi" w:eastAsia="Times New Roman" w:hAnsiTheme="minorHAnsi"/>
                <w:sz w:val="18"/>
                <w:szCs w:val="18"/>
                <w:lang w:eastAsia="en-GB"/>
              </w:rPr>
            </w:pPr>
          </w:p>
          <w:p w14:paraId="0F2E7213" w14:textId="77777777" w:rsidR="00BD154D" w:rsidRPr="00090CD7" w:rsidRDefault="00BD154D" w:rsidP="00DF2591">
            <w:pPr>
              <w:spacing w:after="0" w:line="240" w:lineRule="auto"/>
              <w:jc w:val="center"/>
              <w:rPr>
                <w:rFonts w:asciiTheme="minorHAnsi" w:eastAsia="Times New Roman" w:hAnsiTheme="minorHAnsi"/>
                <w:sz w:val="18"/>
                <w:szCs w:val="18"/>
                <w:lang w:eastAsia="en-GB"/>
              </w:rPr>
            </w:pPr>
            <w:r w:rsidRPr="00090CD7">
              <w:rPr>
                <w:rFonts w:asciiTheme="minorHAnsi" w:eastAsia="Times New Roman" w:hAnsiTheme="minorHAnsi"/>
                <w:sz w:val="18"/>
                <w:szCs w:val="18"/>
                <w:lang w:eastAsia="en-GB"/>
              </w:rPr>
              <w:t>12</w:t>
            </w:r>
          </w:p>
        </w:tc>
        <w:tc>
          <w:tcPr>
            <w:tcW w:w="1393" w:type="pct"/>
            <w:shd w:val="clear" w:color="auto" w:fill="auto"/>
            <w:vAlign w:val="center"/>
          </w:tcPr>
          <w:p w14:paraId="03DAF8EE" w14:textId="77777777" w:rsidR="00BD154D" w:rsidRPr="00FB586C" w:rsidRDefault="00BD154D" w:rsidP="00DF2591">
            <w:pPr>
              <w:spacing w:after="0" w:line="240" w:lineRule="auto"/>
              <w:jc w:val="center"/>
              <w:rPr>
                <w:rFonts w:asciiTheme="minorHAnsi" w:eastAsia="Times New Roman" w:hAnsiTheme="minorHAnsi"/>
                <w:sz w:val="18"/>
                <w:szCs w:val="18"/>
                <w:lang w:eastAsia="en-GB"/>
              </w:rPr>
            </w:pPr>
            <w:r w:rsidRPr="00FB586C">
              <w:rPr>
                <w:rFonts w:asciiTheme="minorHAnsi" w:eastAsia="Times New Roman" w:hAnsiTheme="minorHAnsi"/>
                <w:sz w:val="18"/>
                <w:szCs w:val="18"/>
                <w:lang w:eastAsia="en-GB"/>
              </w:rPr>
              <w:t>SME - Share of participating SMEs introducing innovations new to the company or the market (covering the period of the project plus three years)</w:t>
            </w:r>
          </w:p>
        </w:tc>
        <w:tc>
          <w:tcPr>
            <w:tcW w:w="1308" w:type="pct"/>
            <w:shd w:val="clear" w:color="auto" w:fill="auto"/>
            <w:vAlign w:val="center"/>
          </w:tcPr>
          <w:p w14:paraId="028C7484" w14:textId="77777777" w:rsidR="00BD154D" w:rsidRPr="00FB586C" w:rsidRDefault="00BD154D" w:rsidP="00DF2591">
            <w:pPr>
              <w:spacing w:after="0" w:line="240" w:lineRule="auto"/>
              <w:jc w:val="center"/>
              <w:rPr>
                <w:rFonts w:asciiTheme="minorHAnsi" w:eastAsia="Times New Roman" w:hAnsiTheme="minorHAnsi"/>
                <w:sz w:val="18"/>
                <w:szCs w:val="18"/>
                <w:lang w:eastAsia="en-GB"/>
              </w:rPr>
            </w:pPr>
            <w:r w:rsidRPr="00FB586C">
              <w:rPr>
                <w:rFonts w:asciiTheme="minorHAnsi" w:eastAsia="Times New Roman" w:hAnsiTheme="minorHAnsi"/>
                <w:sz w:val="18"/>
                <w:szCs w:val="18"/>
                <w:lang w:eastAsia="en-GB"/>
              </w:rPr>
              <w:t>Number of SMEs that have introduced innovations</w:t>
            </w:r>
          </w:p>
        </w:tc>
        <w:tc>
          <w:tcPr>
            <w:tcW w:w="1164" w:type="pct"/>
            <w:shd w:val="clear" w:color="auto" w:fill="auto"/>
            <w:vAlign w:val="center"/>
          </w:tcPr>
          <w:p w14:paraId="615EAC51" w14:textId="77777777" w:rsidR="00BD154D" w:rsidRPr="00414C0A" w:rsidRDefault="00BD154D" w:rsidP="00DF2591">
            <w:pPr>
              <w:spacing w:after="0" w:line="240" w:lineRule="auto"/>
              <w:jc w:val="center"/>
              <w:rPr>
                <w:rFonts w:asciiTheme="minorHAnsi" w:eastAsia="Times New Roman" w:hAnsiTheme="minorHAnsi"/>
                <w:i/>
                <w:sz w:val="18"/>
                <w:szCs w:val="18"/>
                <w:lang w:eastAsia="en-GB"/>
              </w:rPr>
            </w:pPr>
            <w:r>
              <w:rPr>
                <w:rFonts w:asciiTheme="minorHAnsi" w:eastAsia="Times New Roman" w:hAnsiTheme="minorHAnsi"/>
                <w:i/>
                <w:sz w:val="18"/>
                <w:szCs w:val="18"/>
                <w:lang w:eastAsia="en-GB"/>
              </w:rPr>
              <w:t>96</w:t>
            </w:r>
            <w:r w:rsidRPr="00414C0A">
              <w:rPr>
                <w:rFonts w:asciiTheme="minorHAnsi" w:eastAsia="Times New Roman" w:hAnsiTheme="minorHAnsi"/>
                <w:i/>
                <w:sz w:val="18"/>
                <w:szCs w:val="18"/>
                <w:lang w:eastAsia="en-GB"/>
              </w:rPr>
              <w:t xml:space="preserve"> </w:t>
            </w:r>
          </w:p>
        </w:tc>
      </w:tr>
      <w:tr w:rsidR="00BD154D" w:rsidRPr="00090CD7" w14:paraId="7AF0ED49" w14:textId="77777777" w:rsidTr="00DF2591">
        <w:trPr>
          <w:trHeight w:val="1365"/>
        </w:trPr>
        <w:tc>
          <w:tcPr>
            <w:tcW w:w="247" w:type="pct"/>
            <w:vMerge/>
            <w:shd w:val="clear" w:color="auto" w:fill="auto"/>
            <w:vAlign w:val="center"/>
          </w:tcPr>
          <w:p w14:paraId="55352C70" w14:textId="77777777" w:rsidR="00BD154D" w:rsidRPr="00090CD7" w:rsidRDefault="00BD154D" w:rsidP="00DF2591">
            <w:pPr>
              <w:spacing w:after="0" w:line="240" w:lineRule="auto"/>
              <w:jc w:val="center"/>
              <w:rPr>
                <w:rFonts w:asciiTheme="minorHAnsi" w:eastAsia="Times New Roman" w:hAnsiTheme="minorHAnsi"/>
                <w:b/>
                <w:sz w:val="18"/>
                <w:szCs w:val="18"/>
                <w:lang w:eastAsia="en-GB"/>
              </w:rPr>
            </w:pPr>
          </w:p>
        </w:tc>
        <w:tc>
          <w:tcPr>
            <w:tcW w:w="888" w:type="pct"/>
            <w:shd w:val="clear" w:color="auto" w:fill="auto"/>
            <w:noWrap/>
            <w:vAlign w:val="center"/>
          </w:tcPr>
          <w:p w14:paraId="73F6A3EB" w14:textId="77777777" w:rsidR="00BD154D" w:rsidRPr="00090CD7" w:rsidRDefault="00BD154D" w:rsidP="00DF2591">
            <w:pPr>
              <w:spacing w:after="0" w:line="240" w:lineRule="auto"/>
              <w:jc w:val="center"/>
              <w:rPr>
                <w:rFonts w:asciiTheme="minorHAnsi" w:eastAsia="Times New Roman" w:hAnsiTheme="minorHAnsi"/>
                <w:sz w:val="18"/>
                <w:szCs w:val="18"/>
                <w:lang w:eastAsia="en-GB"/>
              </w:rPr>
            </w:pPr>
            <w:r w:rsidRPr="00090CD7">
              <w:rPr>
                <w:rFonts w:asciiTheme="minorHAnsi" w:eastAsia="Times New Roman" w:hAnsiTheme="minorHAnsi"/>
                <w:sz w:val="18"/>
                <w:szCs w:val="18"/>
                <w:lang w:eastAsia="en-GB"/>
              </w:rPr>
              <w:t>13</w:t>
            </w:r>
          </w:p>
        </w:tc>
        <w:tc>
          <w:tcPr>
            <w:tcW w:w="1393" w:type="pct"/>
            <w:shd w:val="clear" w:color="auto" w:fill="auto"/>
            <w:vAlign w:val="center"/>
          </w:tcPr>
          <w:p w14:paraId="57FB6967" w14:textId="77777777" w:rsidR="00BD154D" w:rsidRPr="00FB586C" w:rsidRDefault="00BD154D" w:rsidP="00DF2591">
            <w:pPr>
              <w:spacing w:after="0" w:line="240" w:lineRule="auto"/>
              <w:jc w:val="center"/>
              <w:rPr>
                <w:rFonts w:asciiTheme="minorHAnsi" w:eastAsia="Times New Roman" w:hAnsiTheme="minorHAnsi"/>
                <w:sz w:val="18"/>
                <w:szCs w:val="18"/>
                <w:lang w:eastAsia="en-GB"/>
              </w:rPr>
            </w:pPr>
            <w:r w:rsidRPr="00A71890">
              <w:rPr>
                <w:rFonts w:asciiTheme="minorHAnsi" w:eastAsia="Times New Roman" w:hAnsiTheme="minorHAnsi"/>
                <w:sz w:val="18"/>
                <w:szCs w:val="18"/>
                <w:lang w:eastAsia="en-GB"/>
              </w:rPr>
              <w:t>SME - Growth</w:t>
            </w:r>
            <w:r w:rsidRPr="00FB586C">
              <w:rPr>
                <w:rFonts w:asciiTheme="minorHAnsi" w:eastAsia="Times New Roman" w:hAnsiTheme="minorHAnsi"/>
                <w:sz w:val="18"/>
                <w:szCs w:val="18"/>
                <w:lang w:eastAsia="en-GB"/>
              </w:rPr>
              <w:t xml:space="preserve"> and job creation in participating SMEs</w:t>
            </w:r>
          </w:p>
        </w:tc>
        <w:tc>
          <w:tcPr>
            <w:tcW w:w="1308" w:type="pct"/>
            <w:shd w:val="clear" w:color="auto" w:fill="auto"/>
            <w:vAlign w:val="center"/>
          </w:tcPr>
          <w:p w14:paraId="63077825" w14:textId="77777777" w:rsidR="00BD154D" w:rsidRPr="00FB586C" w:rsidRDefault="00BD154D" w:rsidP="00DF2591">
            <w:pPr>
              <w:spacing w:after="0" w:line="240" w:lineRule="auto"/>
              <w:jc w:val="center"/>
              <w:rPr>
                <w:rFonts w:asciiTheme="minorHAnsi" w:eastAsia="Times New Roman" w:hAnsiTheme="minorHAnsi"/>
                <w:sz w:val="18"/>
                <w:szCs w:val="18"/>
                <w:lang w:eastAsia="en-GB"/>
              </w:rPr>
            </w:pPr>
            <w:r w:rsidRPr="00FB586C">
              <w:rPr>
                <w:rFonts w:asciiTheme="minorHAnsi" w:eastAsia="Times New Roman" w:hAnsiTheme="minorHAnsi"/>
                <w:sz w:val="18"/>
                <w:szCs w:val="18"/>
                <w:lang w:eastAsia="en-GB"/>
              </w:rPr>
              <w:t>Turnover of company, number of employees</w:t>
            </w:r>
          </w:p>
        </w:tc>
        <w:tc>
          <w:tcPr>
            <w:tcW w:w="1164" w:type="pct"/>
            <w:shd w:val="clear" w:color="auto" w:fill="auto"/>
            <w:vAlign w:val="center"/>
          </w:tcPr>
          <w:p w14:paraId="30991A94" w14:textId="77777777" w:rsidR="00BD154D" w:rsidRPr="001B339D" w:rsidRDefault="00BD154D" w:rsidP="00DF2591">
            <w:pPr>
              <w:spacing w:after="0" w:line="240" w:lineRule="auto"/>
              <w:jc w:val="center"/>
              <w:rPr>
                <w:rFonts w:ascii="Arial" w:hAnsi="Arial" w:cs="Arial"/>
                <w:color w:val="000000"/>
                <w:sz w:val="18"/>
                <w:szCs w:val="18"/>
                <w:lang w:eastAsia="en-GB"/>
              </w:rPr>
            </w:pPr>
            <w:r w:rsidRPr="001B339D">
              <w:rPr>
                <w:rFonts w:asciiTheme="minorHAnsi" w:eastAsia="Times New Roman" w:hAnsiTheme="minorHAnsi"/>
                <w:sz w:val="18"/>
                <w:szCs w:val="18"/>
                <w:lang w:eastAsia="en-GB"/>
              </w:rPr>
              <w:t xml:space="preserve">Turnover of SMEs at most recent reporting: </w:t>
            </w:r>
            <w:r w:rsidRPr="00414C0A">
              <w:rPr>
                <w:rFonts w:asciiTheme="minorHAnsi" w:eastAsia="Times New Roman" w:hAnsiTheme="minorHAnsi"/>
                <w:i/>
                <w:sz w:val="18"/>
                <w:szCs w:val="18"/>
                <w:lang w:eastAsia="en-GB"/>
              </w:rPr>
              <w:t>EUR </w:t>
            </w:r>
            <w:r>
              <w:rPr>
                <w:rFonts w:asciiTheme="minorHAnsi" w:eastAsia="Times New Roman" w:hAnsiTheme="minorHAnsi"/>
                <w:i/>
                <w:sz w:val="18"/>
                <w:szCs w:val="18"/>
                <w:lang w:eastAsia="en-GB"/>
              </w:rPr>
              <w:t>1 261</w:t>
            </w:r>
            <w:r w:rsidRPr="00E251ED">
              <w:rPr>
                <w:rFonts w:asciiTheme="minorHAnsi" w:eastAsia="Times New Roman" w:hAnsiTheme="minorHAnsi"/>
                <w:i/>
                <w:sz w:val="18"/>
                <w:szCs w:val="18"/>
                <w:lang w:eastAsia="en-GB"/>
              </w:rPr>
              <w:t xml:space="preserve"> mil</w:t>
            </w:r>
          </w:p>
          <w:p w14:paraId="7C9D7242" w14:textId="77777777" w:rsidR="00BD154D" w:rsidRPr="001B339D" w:rsidRDefault="00BD154D" w:rsidP="00DF2591">
            <w:pPr>
              <w:spacing w:after="0" w:line="240" w:lineRule="auto"/>
              <w:jc w:val="center"/>
              <w:rPr>
                <w:rFonts w:asciiTheme="minorHAnsi" w:eastAsia="Times New Roman" w:hAnsiTheme="minorHAnsi"/>
                <w:sz w:val="18"/>
                <w:szCs w:val="18"/>
                <w:lang w:eastAsia="en-GB"/>
              </w:rPr>
            </w:pPr>
          </w:p>
          <w:p w14:paraId="3F354DA8" w14:textId="77777777" w:rsidR="00BD154D" w:rsidRPr="00090CD7" w:rsidRDefault="00BD154D" w:rsidP="00DF2591">
            <w:pPr>
              <w:spacing w:after="0" w:line="240" w:lineRule="auto"/>
              <w:jc w:val="center"/>
              <w:rPr>
                <w:rFonts w:asciiTheme="minorHAnsi" w:eastAsia="Times New Roman" w:hAnsiTheme="minorHAnsi"/>
                <w:sz w:val="18"/>
                <w:szCs w:val="18"/>
                <w:lang w:eastAsia="en-GB"/>
              </w:rPr>
            </w:pPr>
            <w:r w:rsidRPr="001B339D">
              <w:rPr>
                <w:rFonts w:asciiTheme="minorHAnsi" w:eastAsia="Times New Roman" w:hAnsiTheme="minorHAnsi"/>
                <w:sz w:val="18"/>
                <w:szCs w:val="18"/>
                <w:lang w:eastAsia="en-GB"/>
              </w:rPr>
              <w:t>No</w:t>
            </w:r>
            <w:r>
              <w:rPr>
                <w:rFonts w:asciiTheme="minorHAnsi" w:eastAsia="Times New Roman" w:hAnsiTheme="minorHAnsi"/>
                <w:sz w:val="18"/>
                <w:szCs w:val="18"/>
                <w:lang w:eastAsia="en-GB"/>
              </w:rPr>
              <w:t>.</w:t>
            </w:r>
            <w:r w:rsidRPr="001B339D">
              <w:rPr>
                <w:rFonts w:asciiTheme="minorHAnsi" w:eastAsia="Times New Roman" w:hAnsiTheme="minorHAnsi"/>
                <w:sz w:val="18"/>
                <w:szCs w:val="18"/>
                <w:lang w:eastAsia="en-GB"/>
              </w:rPr>
              <w:t xml:space="preserve"> of employees </w:t>
            </w:r>
            <w:r>
              <w:rPr>
                <w:rFonts w:asciiTheme="minorHAnsi" w:eastAsia="Times New Roman" w:hAnsiTheme="minorHAnsi"/>
                <w:sz w:val="18"/>
                <w:szCs w:val="18"/>
                <w:lang w:eastAsia="en-GB"/>
              </w:rPr>
              <w:t>in</w:t>
            </w:r>
            <w:r w:rsidRPr="001B339D">
              <w:rPr>
                <w:rFonts w:asciiTheme="minorHAnsi" w:eastAsia="Times New Roman" w:hAnsiTheme="minorHAnsi"/>
                <w:sz w:val="18"/>
                <w:szCs w:val="18"/>
                <w:lang w:eastAsia="en-GB"/>
              </w:rPr>
              <w:t xml:space="preserve"> SMEs at most recent reporting: </w:t>
            </w:r>
            <w:r>
              <w:rPr>
                <w:rFonts w:asciiTheme="minorHAnsi" w:eastAsia="Times New Roman" w:hAnsiTheme="minorHAnsi"/>
                <w:sz w:val="18"/>
                <w:szCs w:val="18"/>
                <w:lang w:eastAsia="en-GB"/>
              </w:rPr>
              <w:t>12</w:t>
            </w:r>
            <w:r>
              <w:rPr>
                <w:rFonts w:asciiTheme="minorHAnsi" w:eastAsia="Times New Roman" w:hAnsiTheme="minorHAnsi"/>
                <w:i/>
                <w:sz w:val="18"/>
                <w:szCs w:val="18"/>
                <w:lang w:eastAsia="en-GB"/>
              </w:rPr>
              <w:t xml:space="preserve"> 791</w:t>
            </w:r>
            <w:r w:rsidRPr="00414C0A">
              <w:rPr>
                <w:rFonts w:asciiTheme="minorHAnsi" w:eastAsia="Times New Roman" w:hAnsiTheme="minorHAnsi"/>
                <w:i/>
                <w:sz w:val="18"/>
                <w:szCs w:val="18"/>
                <w:lang w:eastAsia="en-GB"/>
              </w:rPr>
              <w:t xml:space="preserve"> </w:t>
            </w:r>
          </w:p>
        </w:tc>
      </w:tr>
      <w:tr w:rsidR="00BD154D" w:rsidRPr="00090CD7" w14:paraId="6931BA44" w14:textId="77777777" w:rsidTr="00DF2591">
        <w:trPr>
          <w:trHeight w:val="1554"/>
        </w:trPr>
        <w:tc>
          <w:tcPr>
            <w:tcW w:w="247" w:type="pct"/>
            <w:vMerge w:val="restart"/>
            <w:shd w:val="clear" w:color="auto" w:fill="auto"/>
            <w:textDirection w:val="btLr"/>
            <w:vAlign w:val="center"/>
          </w:tcPr>
          <w:p w14:paraId="07CBFFC3" w14:textId="77777777" w:rsidR="00BD154D" w:rsidRPr="00090CD7" w:rsidRDefault="00BD154D" w:rsidP="00DF2591">
            <w:pPr>
              <w:spacing w:after="0" w:line="240" w:lineRule="auto"/>
              <w:ind w:left="113" w:right="113"/>
              <w:jc w:val="center"/>
              <w:rPr>
                <w:rFonts w:asciiTheme="minorHAnsi" w:eastAsia="Times New Roman" w:hAnsiTheme="minorHAnsi"/>
                <w:b/>
                <w:sz w:val="18"/>
                <w:szCs w:val="18"/>
                <w:lang w:eastAsia="en-GB"/>
              </w:rPr>
            </w:pPr>
            <w:r w:rsidRPr="00090CD7">
              <w:rPr>
                <w:rFonts w:asciiTheme="minorHAnsi" w:eastAsia="Times New Roman" w:hAnsiTheme="minorHAnsi"/>
                <w:b/>
                <w:sz w:val="18"/>
                <w:szCs w:val="18"/>
                <w:lang w:eastAsia="en-GB"/>
              </w:rPr>
              <w:t>SOCIETAL CHALLENGES</w:t>
            </w:r>
          </w:p>
        </w:tc>
        <w:tc>
          <w:tcPr>
            <w:tcW w:w="888" w:type="pct"/>
            <w:shd w:val="clear" w:color="auto" w:fill="auto"/>
            <w:noWrap/>
            <w:vAlign w:val="center"/>
          </w:tcPr>
          <w:p w14:paraId="381F813B" w14:textId="77777777" w:rsidR="00BD154D" w:rsidRPr="00090CD7" w:rsidRDefault="00BD154D" w:rsidP="00DF2591">
            <w:pPr>
              <w:spacing w:after="0" w:line="240" w:lineRule="auto"/>
              <w:jc w:val="center"/>
              <w:rPr>
                <w:rFonts w:asciiTheme="minorHAnsi" w:eastAsia="Times New Roman" w:hAnsiTheme="minorHAnsi"/>
                <w:sz w:val="18"/>
                <w:szCs w:val="18"/>
                <w:lang w:eastAsia="en-GB"/>
              </w:rPr>
            </w:pPr>
            <w:r w:rsidRPr="00090CD7">
              <w:rPr>
                <w:rFonts w:asciiTheme="minorHAnsi" w:eastAsia="Times New Roman" w:hAnsiTheme="minorHAnsi"/>
                <w:sz w:val="18"/>
                <w:szCs w:val="18"/>
                <w:lang w:eastAsia="en-GB"/>
              </w:rPr>
              <w:t>14</w:t>
            </w:r>
          </w:p>
        </w:tc>
        <w:tc>
          <w:tcPr>
            <w:tcW w:w="1393" w:type="pct"/>
            <w:shd w:val="clear" w:color="auto" w:fill="auto"/>
            <w:vAlign w:val="center"/>
          </w:tcPr>
          <w:p w14:paraId="2BAD806A" w14:textId="77777777" w:rsidR="00BD154D" w:rsidRPr="00FB586C" w:rsidRDefault="00BD154D" w:rsidP="00DF2591">
            <w:pPr>
              <w:spacing w:after="0" w:line="240" w:lineRule="auto"/>
              <w:jc w:val="center"/>
              <w:rPr>
                <w:rFonts w:asciiTheme="minorHAnsi" w:eastAsia="Times New Roman" w:hAnsiTheme="minorHAnsi"/>
                <w:sz w:val="18"/>
                <w:szCs w:val="18"/>
                <w:lang w:eastAsia="en-GB"/>
              </w:rPr>
            </w:pPr>
            <w:r w:rsidRPr="00FB586C">
              <w:rPr>
                <w:rFonts w:asciiTheme="minorHAnsi" w:eastAsia="Times New Roman" w:hAnsiTheme="minorHAnsi"/>
                <w:sz w:val="18"/>
                <w:szCs w:val="18"/>
                <w:lang w:eastAsia="en-GB"/>
              </w:rPr>
              <w:t>Publications in peer-reviewed high-impact journals</w:t>
            </w:r>
          </w:p>
        </w:tc>
        <w:tc>
          <w:tcPr>
            <w:tcW w:w="1308" w:type="pct"/>
            <w:shd w:val="clear" w:color="auto" w:fill="auto"/>
            <w:vAlign w:val="center"/>
          </w:tcPr>
          <w:p w14:paraId="3A241D07" w14:textId="77777777" w:rsidR="00BD154D" w:rsidRPr="00FB586C" w:rsidRDefault="00BD154D" w:rsidP="00DF2591">
            <w:pPr>
              <w:spacing w:after="0" w:line="240" w:lineRule="auto"/>
              <w:jc w:val="center"/>
              <w:rPr>
                <w:rFonts w:asciiTheme="minorHAnsi" w:eastAsia="Times New Roman" w:hAnsiTheme="minorHAnsi"/>
                <w:sz w:val="18"/>
                <w:szCs w:val="18"/>
                <w:lang w:eastAsia="en-GB"/>
              </w:rPr>
            </w:pPr>
            <w:r w:rsidRPr="00FB586C">
              <w:rPr>
                <w:rFonts w:asciiTheme="minorHAnsi" w:eastAsia="Times New Roman" w:hAnsiTheme="minorHAnsi"/>
                <w:sz w:val="18"/>
                <w:szCs w:val="18"/>
                <w:lang w:eastAsia="en-GB"/>
              </w:rPr>
              <w:t>Publications from relevant funded projects (DOI: digital object identifiers); journal impact benchmark (ranking) data to be collected by commercially available bibliometric databases</w:t>
            </w:r>
          </w:p>
        </w:tc>
        <w:tc>
          <w:tcPr>
            <w:tcW w:w="1164" w:type="pct"/>
            <w:shd w:val="clear" w:color="auto" w:fill="auto"/>
            <w:vAlign w:val="center"/>
          </w:tcPr>
          <w:p w14:paraId="167A6A11" w14:textId="77777777" w:rsidR="00BD154D" w:rsidRDefault="00BD154D" w:rsidP="00DF2591">
            <w:pPr>
              <w:spacing w:after="0" w:line="240" w:lineRule="auto"/>
              <w:jc w:val="center"/>
              <w:rPr>
                <w:rFonts w:asciiTheme="minorHAnsi" w:eastAsia="Times New Roman" w:hAnsiTheme="minorHAnsi"/>
                <w:sz w:val="18"/>
                <w:szCs w:val="18"/>
                <w:lang w:eastAsia="en-GB"/>
              </w:rPr>
            </w:pPr>
            <w:r>
              <w:rPr>
                <w:rFonts w:asciiTheme="minorHAnsi" w:eastAsia="Times New Roman" w:hAnsiTheme="minorHAnsi"/>
                <w:i/>
                <w:sz w:val="18"/>
                <w:szCs w:val="18"/>
                <w:lang w:eastAsia="en-GB"/>
              </w:rPr>
              <w:t>377</w:t>
            </w:r>
            <w:r w:rsidRPr="007C136C">
              <w:rPr>
                <w:rFonts w:asciiTheme="minorHAnsi" w:eastAsia="Times New Roman" w:hAnsiTheme="minorHAnsi"/>
                <w:i/>
                <w:sz w:val="18"/>
                <w:szCs w:val="18"/>
                <w:lang w:eastAsia="en-GB"/>
              </w:rPr>
              <w:t xml:space="preserve"> publications</w:t>
            </w:r>
          </w:p>
          <w:p w14:paraId="7143BD74" w14:textId="77777777" w:rsidR="00BD154D" w:rsidRPr="00DF4FA2" w:rsidRDefault="00BD154D" w:rsidP="00DF2591">
            <w:pPr>
              <w:spacing w:after="0" w:line="240" w:lineRule="auto"/>
              <w:jc w:val="center"/>
              <w:rPr>
                <w:rFonts w:asciiTheme="minorHAnsi" w:eastAsia="Times New Roman" w:hAnsiTheme="minorHAnsi"/>
                <w:sz w:val="18"/>
                <w:szCs w:val="18"/>
                <w:lang w:eastAsia="en-GB"/>
              </w:rPr>
            </w:pPr>
            <w:r w:rsidRPr="00DF4FA2">
              <w:rPr>
                <w:rFonts w:asciiTheme="minorHAnsi" w:eastAsia="Times New Roman" w:hAnsiTheme="minorHAnsi"/>
                <w:sz w:val="18"/>
                <w:szCs w:val="18"/>
                <w:lang w:eastAsia="en-GB"/>
              </w:rPr>
              <w:t>in peer-reviewed high-impact journals</w:t>
            </w:r>
          </w:p>
          <w:p w14:paraId="4EC7FC95" w14:textId="77777777" w:rsidR="00BD154D" w:rsidRPr="00DF4FA2" w:rsidRDefault="00BD154D" w:rsidP="00DF2591">
            <w:pPr>
              <w:spacing w:after="0" w:line="240" w:lineRule="auto"/>
              <w:jc w:val="center"/>
              <w:rPr>
                <w:rFonts w:asciiTheme="minorHAnsi" w:eastAsia="Times New Roman" w:hAnsiTheme="minorHAnsi"/>
                <w:sz w:val="18"/>
                <w:szCs w:val="18"/>
                <w:lang w:eastAsia="en-GB"/>
              </w:rPr>
            </w:pPr>
          </w:p>
        </w:tc>
      </w:tr>
      <w:tr w:rsidR="00BD154D" w:rsidRPr="00090CD7" w14:paraId="1BE59097" w14:textId="77777777" w:rsidTr="00DF2591">
        <w:trPr>
          <w:trHeight w:val="1500"/>
        </w:trPr>
        <w:tc>
          <w:tcPr>
            <w:tcW w:w="247" w:type="pct"/>
            <w:vMerge/>
            <w:shd w:val="clear" w:color="auto" w:fill="auto"/>
            <w:vAlign w:val="center"/>
          </w:tcPr>
          <w:p w14:paraId="33C3B040" w14:textId="77777777" w:rsidR="00BD154D" w:rsidRPr="00090CD7" w:rsidRDefault="00BD154D" w:rsidP="00DF2591">
            <w:pPr>
              <w:spacing w:after="0" w:line="240" w:lineRule="auto"/>
              <w:jc w:val="center"/>
              <w:rPr>
                <w:rFonts w:asciiTheme="minorHAnsi" w:eastAsia="Times New Roman" w:hAnsiTheme="minorHAnsi"/>
                <w:b/>
                <w:sz w:val="18"/>
                <w:szCs w:val="18"/>
                <w:lang w:eastAsia="en-GB"/>
              </w:rPr>
            </w:pPr>
          </w:p>
        </w:tc>
        <w:tc>
          <w:tcPr>
            <w:tcW w:w="888" w:type="pct"/>
            <w:shd w:val="clear" w:color="auto" w:fill="auto"/>
            <w:noWrap/>
            <w:vAlign w:val="center"/>
          </w:tcPr>
          <w:p w14:paraId="754D5027" w14:textId="77777777" w:rsidR="00BD154D" w:rsidRPr="00090CD7" w:rsidRDefault="00BD154D" w:rsidP="00DF2591">
            <w:pPr>
              <w:spacing w:after="0" w:line="240" w:lineRule="auto"/>
              <w:jc w:val="center"/>
              <w:rPr>
                <w:rFonts w:asciiTheme="minorHAnsi" w:eastAsia="Times New Roman" w:hAnsiTheme="minorHAnsi"/>
                <w:sz w:val="18"/>
                <w:szCs w:val="18"/>
                <w:lang w:eastAsia="en-GB"/>
              </w:rPr>
            </w:pPr>
            <w:r w:rsidRPr="00090CD7">
              <w:rPr>
                <w:rFonts w:asciiTheme="minorHAnsi" w:eastAsia="Times New Roman" w:hAnsiTheme="minorHAnsi"/>
                <w:sz w:val="18"/>
                <w:szCs w:val="18"/>
                <w:lang w:eastAsia="en-GB"/>
              </w:rPr>
              <w:t>15</w:t>
            </w:r>
          </w:p>
        </w:tc>
        <w:tc>
          <w:tcPr>
            <w:tcW w:w="1393" w:type="pct"/>
            <w:shd w:val="clear" w:color="auto" w:fill="auto"/>
            <w:vAlign w:val="center"/>
          </w:tcPr>
          <w:p w14:paraId="3208DE42" w14:textId="77777777" w:rsidR="00BD154D" w:rsidRPr="00090CD7" w:rsidRDefault="00BD154D" w:rsidP="00DF2591">
            <w:pPr>
              <w:spacing w:after="0" w:line="240" w:lineRule="auto"/>
              <w:jc w:val="center"/>
              <w:rPr>
                <w:rFonts w:asciiTheme="minorHAnsi" w:eastAsia="Times New Roman" w:hAnsiTheme="minorHAnsi"/>
                <w:sz w:val="18"/>
                <w:szCs w:val="18"/>
                <w:lang w:eastAsia="en-GB"/>
              </w:rPr>
            </w:pPr>
            <w:r w:rsidRPr="00090CD7">
              <w:rPr>
                <w:rFonts w:asciiTheme="minorHAnsi" w:eastAsia="Times New Roman" w:hAnsiTheme="minorHAnsi"/>
                <w:sz w:val="18"/>
                <w:szCs w:val="18"/>
                <w:lang w:eastAsia="en-GB"/>
              </w:rPr>
              <w:t xml:space="preserve">Patent applications and patents awarded </w:t>
            </w:r>
            <w:proofErr w:type="gramStart"/>
            <w:r w:rsidRPr="00090CD7">
              <w:rPr>
                <w:rFonts w:asciiTheme="minorHAnsi" w:eastAsia="Times New Roman" w:hAnsiTheme="minorHAnsi"/>
                <w:sz w:val="18"/>
                <w:szCs w:val="18"/>
                <w:lang w:eastAsia="en-GB"/>
              </w:rPr>
              <w:t>in the area of</w:t>
            </w:r>
            <w:proofErr w:type="gramEnd"/>
            <w:r w:rsidRPr="00090CD7">
              <w:rPr>
                <w:rFonts w:asciiTheme="minorHAnsi" w:eastAsia="Times New Roman" w:hAnsiTheme="minorHAnsi"/>
                <w:sz w:val="18"/>
                <w:szCs w:val="18"/>
                <w:lang w:eastAsia="en-GB"/>
              </w:rPr>
              <w:t xml:space="preserve"> the JTI</w:t>
            </w:r>
          </w:p>
        </w:tc>
        <w:tc>
          <w:tcPr>
            <w:tcW w:w="1308" w:type="pct"/>
            <w:shd w:val="clear" w:color="auto" w:fill="auto"/>
            <w:vAlign w:val="center"/>
          </w:tcPr>
          <w:p w14:paraId="194347A5" w14:textId="77777777" w:rsidR="00BD154D" w:rsidRPr="00090CD7" w:rsidRDefault="00BD154D" w:rsidP="00DF2591">
            <w:pPr>
              <w:spacing w:after="0" w:line="240" w:lineRule="auto"/>
              <w:jc w:val="center"/>
              <w:rPr>
                <w:rFonts w:asciiTheme="minorHAnsi" w:eastAsia="Times New Roman" w:hAnsiTheme="minorHAnsi"/>
                <w:sz w:val="18"/>
                <w:szCs w:val="18"/>
                <w:lang w:eastAsia="en-GB"/>
              </w:rPr>
            </w:pPr>
            <w:r w:rsidRPr="00090CD7">
              <w:rPr>
                <w:rFonts w:asciiTheme="minorHAnsi" w:eastAsia="Times New Roman" w:hAnsiTheme="minorHAnsi"/>
                <w:sz w:val="18"/>
                <w:szCs w:val="18"/>
                <w:lang w:eastAsia="en-GB"/>
              </w:rPr>
              <w:t>Patent application number</w:t>
            </w:r>
          </w:p>
        </w:tc>
        <w:tc>
          <w:tcPr>
            <w:tcW w:w="1164" w:type="pct"/>
            <w:shd w:val="clear" w:color="auto" w:fill="auto"/>
            <w:vAlign w:val="center"/>
          </w:tcPr>
          <w:p w14:paraId="45204B39" w14:textId="77777777" w:rsidR="00BD154D" w:rsidRPr="00E911D7" w:rsidRDefault="00BD154D" w:rsidP="00DF2591">
            <w:pPr>
              <w:spacing w:after="0" w:line="240" w:lineRule="auto"/>
              <w:jc w:val="center"/>
              <w:rPr>
                <w:rFonts w:asciiTheme="minorHAnsi" w:eastAsia="Times New Roman" w:hAnsiTheme="minorHAnsi"/>
                <w:sz w:val="18"/>
                <w:szCs w:val="18"/>
                <w:lang w:eastAsia="en-GB"/>
              </w:rPr>
            </w:pPr>
            <w:r w:rsidRPr="00E911D7">
              <w:rPr>
                <w:rFonts w:asciiTheme="minorHAnsi" w:eastAsia="Times New Roman" w:hAnsiTheme="minorHAnsi"/>
                <w:i/>
                <w:sz w:val="18"/>
                <w:szCs w:val="18"/>
                <w:lang w:eastAsia="en-GB"/>
              </w:rPr>
              <w:t xml:space="preserve">14 </w:t>
            </w:r>
            <w:r w:rsidRPr="00E911D7">
              <w:rPr>
                <w:rFonts w:asciiTheme="minorHAnsi" w:eastAsia="Times New Roman" w:hAnsiTheme="minorHAnsi"/>
                <w:sz w:val="18"/>
                <w:szCs w:val="18"/>
                <w:lang w:eastAsia="en-GB"/>
              </w:rPr>
              <w:t>patents awarded</w:t>
            </w:r>
          </w:p>
          <w:p w14:paraId="02F2B216" w14:textId="77777777" w:rsidR="00BD154D" w:rsidRPr="00E911D7" w:rsidRDefault="00BD154D" w:rsidP="00DF2591">
            <w:pPr>
              <w:spacing w:after="0" w:line="240" w:lineRule="auto"/>
              <w:jc w:val="center"/>
              <w:rPr>
                <w:rFonts w:asciiTheme="minorHAnsi" w:eastAsia="Times New Roman" w:hAnsiTheme="minorHAnsi"/>
                <w:sz w:val="18"/>
                <w:szCs w:val="18"/>
                <w:lang w:eastAsia="en-GB"/>
              </w:rPr>
            </w:pPr>
            <w:r w:rsidRPr="00E911D7">
              <w:rPr>
                <w:rFonts w:asciiTheme="minorHAnsi" w:eastAsia="Times New Roman" w:hAnsiTheme="minorHAnsi"/>
                <w:iCs/>
                <w:sz w:val="18"/>
                <w:szCs w:val="18"/>
                <w:lang w:eastAsia="en-GB"/>
              </w:rPr>
              <w:t>and</w:t>
            </w:r>
            <w:r w:rsidRPr="00E911D7">
              <w:rPr>
                <w:rFonts w:asciiTheme="minorHAnsi" w:eastAsia="Times New Roman" w:hAnsiTheme="minorHAnsi"/>
                <w:i/>
                <w:sz w:val="18"/>
                <w:szCs w:val="18"/>
                <w:lang w:eastAsia="en-GB"/>
              </w:rPr>
              <w:t xml:space="preserve"> 8 </w:t>
            </w:r>
            <w:r w:rsidRPr="00E911D7">
              <w:rPr>
                <w:rFonts w:asciiTheme="minorHAnsi" w:eastAsia="Times New Roman" w:hAnsiTheme="minorHAnsi"/>
                <w:sz w:val="18"/>
                <w:szCs w:val="18"/>
                <w:lang w:eastAsia="en-GB"/>
              </w:rPr>
              <w:t>patent pending applications</w:t>
            </w:r>
          </w:p>
          <w:p w14:paraId="33A6AA71" w14:textId="77777777" w:rsidR="00BD154D" w:rsidRPr="00EB1CCD" w:rsidRDefault="00BD154D" w:rsidP="00DF2591">
            <w:pPr>
              <w:spacing w:after="0" w:line="240" w:lineRule="auto"/>
              <w:jc w:val="center"/>
              <w:rPr>
                <w:rFonts w:asciiTheme="minorHAnsi" w:eastAsia="Times New Roman" w:hAnsiTheme="minorHAnsi"/>
                <w:sz w:val="18"/>
                <w:szCs w:val="18"/>
                <w:lang w:val="en-IE" w:eastAsia="en-GB"/>
              </w:rPr>
            </w:pPr>
            <w:r w:rsidRPr="00E911D7">
              <w:rPr>
                <w:rFonts w:asciiTheme="minorHAnsi" w:eastAsia="Times New Roman" w:hAnsiTheme="minorHAnsi"/>
                <w:sz w:val="18"/>
                <w:szCs w:val="18"/>
                <w:lang w:eastAsia="en-GB"/>
              </w:rPr>
              <w:t>(</w:t>
            </w:r>
            <w:proofErr w:type="gramStart"/>
            <w:r w:rsidRPr="00E911D7">
              <w:rPr>
                <w:rFonts w:asciiTheme="minorHAnsi" w:eastAsia="Times New Roman" w:hAnsiTheme="minorHAnsi"/>
                <w:sz w:val="18"/>
                <w:szCs w:val="18"/>
                <w:lang w:eastAsia="en-GB"/>
              </w:rPr>
              <w:t>aligned</w:t>
            </w:r>
            <w:proofErr w:type="gramEnd"/>
            <w:r w:rsidRPr="00E911D7">
              <w:rPr>
                <w:rFonts w:asciiTheme="minorHAnsi" w:eastAsia="Times New Roman" w:hAnsiTheme="minorHAnsi"/>
                <w:sz w:val="18"/>
                <w:szCs w:val="18"/>
                <w:lang w:eastAsia="en-GB"/>
              </w:rPr>
              <w:t xml:space="preserve"> with ANNEX 4)</w:t>
            </w:r>
          </w:p>
        </w:tc>
      </w:tr>
      <w:tr w:rsidR="00BD154D" w:rsidRPr="00090CD7" w14:paraId="1B562088" w14:textId="77777777" w:rsidTr="00DF2591">
        <w:trPr>
          <w:trHeight w:val="1110"/>
        </w:trPr>
        <w:tc>
          <w:tcPr>
            <w:tcW w:w="247" w:type="pct"/>
            <w:vMerge/>
            <w:shd w:val="clear" w:color="auto" w:fill="auto"/>
            <w:vAlign w:val="center"/>
          </w:tcPr>
          <w:p w14:paraId="50E8ABAC" w14:textId="77777777" w:rsidR="00BD154D" w:rsidRPr="00090CD7" w:rsidRDefault="00BD154D" w:rsidP="00DF2591">
            <w:pPr>
              <w:spacing w:after="0" w:line="240" w:lineRule="auto"/>
              <w:jc w:val="center"/>
              <w:rPr>
                <w:rFonts w:asciiTheme="minorHAnsi" w:eastAsia="Times New Roman" w:hAnsiTheme="minorHAnsi"/>
                <w:b/>
                <w:sz w:val="18"/>
                <w:szCs w:val="18"/>
                <w:lang w:eastAsia="en-GB"/>
              </w:rPr>
            </w:pPr>
          </w:p>
        </w:tc>
        <w:tc>
          <w:tcPr>
            <w:tcW w:w="888" w:type="pct"/>
            <w:shd w:val="clear" w:color="auto" w:fill="auto"/>
            <w:noWrap/>
            <w:vAlign w:val="center"/>
          </w:tcPr>
          <w:p w14:paraId="090ED5E1" w14:textId="77777777" w:rsidR="00BD154D" w:rsidRPr="00090CD7" w:rsidRDefault="00BD154D" w:rsidP="00DF2591">
            <w:pPr>
              <w:spacing w:after="0" w:line="240" w:lineRule="auto"/>
              <w:jc w:val="center"/>
              <w:rPr>
                <w:rFonts w:asciiTheme="minorHAnsi" w:eastAsia="Times New Roman" w:hAnsiTheme="minorHAnsi"/>
                <w:sz w:val="18"/>
                <w:szCs w:val="18"/>
                <w:lang w:eastAsia="en-GB"/>
              </w:rPr>
            </w:pPr>
            <w:r w:rsidRPr="00090CD7">
              <w:rPr>
                <w:rFonts w:asciiTheme="minorHAnsi" w:eastAsia="Times New Roman" w:hAnsiTheme="minorHAnsi"/>
                <w:sz w:val="18"/>
                <w:szCs w:val="18"/>
                <w:lang w:eastAsia="en-GB"/>
              </w:rPr>
              <w:t>16</w:t>
            </w:r>
          </w:p>
        </w:tc>
        <w:tc>
          <w:tcPr>
            <w:tcW w:w="1393" w:type="pct"/>
            <w:shd w:val="clear" w:color="auto" w:fill="auto"/>
            <w:vAlign w:val="center"/>
          </w:tcPr>
          <w:p w14:paraId="192FDDE6" w14:textId="77777777" w:rsidR="00BD154D" w:rsidRPr="00090CD7" w:rsidRDefault="00BD154D" w:rsidP="00DF2591">
            <w:pPr>
              <w:spacing w:after="0" w:line="240" w:lineRule="auto"/>
              <w:jc w:val="center"/>
              <w:rPr>
                <w:rFonts w:asciiTheme="minorHAnsi" w:eastAsia="Times New Roman" w:hAnsiTheme="minorHAnsi"/>
                <w:sz w:val="18"/>
                <w:szCs w:val="18"/>
                <w:lang w:eastAsia="en-GB"/>
              </w:rPr>
            </w:pPr>
            <w:r w:rsidRPr="00090CD7">
              <w:rPr>
                <w:rFonts w:asciiTheme="minorHAnsi" w:eastAsia="Times New Roman" w:hAnsiTheme="minorHAnsi"/>
                <w:sz w:val="18"/>
                <w:szCs w:val="18"/>
                <w:lang w:eastAsia="en-GB"/>
              </w:rPr>
              <w:t>Number of prototypes testing activities and clinical trials</w:t>
            </w:r>
          </w:p>
        </w:tc>
        <w:tc>
          <w:tcPr>
            <w:tcW w:w="1308" w:type="pct"/>
            <w:shd w:val="clear" w:color="auto" w:fill="auto"/>
            <w:vAlign w:val="center"/>
          </w:tcPr>
          <w:p w14:paraId="5C608D21" w14:textId="77777777" w:rsidR="00BD154D" w:rsidRPr="00090CD7" w:rsidRDefault="00BD154D" w:rsidP="00DF2591">
            <w:pPr>
              <w:spacing w:after="0" w:line="240" w:lineRule="auto"/>
              <w:jc w:val="center"/>
              <w:rPr>
                <w:rFonts w:asciiTheme="minorHAnsi" w:eastAsia="Times New Roman" w:hAnsiTheme="minorHAnsi"/>
                <w:sz w:val="18"/>
                <w:szCs w:val="18"/>
                <w:lang w:eastAsia="en-GB"/>
              </w:rPr>
            </w:pPr>
            <w:r w:rsidRPr="00090CD7">
              <w:rPr>
                <w:rFonts w:asciiTheme="minorHAnsi" w:eastAsia="Times New Roman" w:hAnsiTheme="minorHAnsi"/>
                <w:sz w:val="18"/>
                <w:szCs w:val="18"/>
                <w:lang w:eastAsia="en-GB"/>
              </w:rPr>
              <w:t>Reports on prototypes, and testing activities, clinical trials</w:t>
            </w:r>
          </w:p>
        </w:tc>
        <w:tc>
          <w:tcPr>
            <w:tcW w:w="1164" w:type="pct"/>
            <w:shd w:val="clear" w:color="auto" w:fill="auto"/>
            <w:vAlign w:val="center"/>
          </w:tcPr>
          <w:p w14:paraId="7F131D40" w14:textId="77777777" w:rsidR="00BD154D" w:rsidRPr="00D14AC6" w:rsidRDefault="00BD154D" w:rsidP="00DF2591">
            <w:pPr>
              <w:spacing w:after="0" w:line="240" w:lineRule="auto"/>
              <w:jc w:val="center"/>
              <w:rPr>
                <w:rFonts w:asciiTheme="minorHAnsi" w:eastAsia="Times New Roman" w:hAnsiTheme="minorHAnsi"/>
                <w:sz w:val="18"/>
                <w:szCs w:val="18"/>
                <w:u w:val="single"/>
                <w:lang w:eastAsia="en-GB"/>
              </w:rPr>
            </w:pPr>
            <w:r w:rsidRPr="00D14AC6">
              <w:rPr>
                <w:rFonts w:eastAsia="Times New Roman" w:cs="Calibri"/>
                <w:sz w:val="18"/>
                <w:szCs w:val="18"/>
                <w:lang w:eastAsia="en-GB"/>
              </w:rPr>
              <w:t>Nr of prototypes: 469</w:t>
            </w:r>
            <w:r w:rsidRPr="00D14AC6">
              <w:rPr>
                <w:rStyle w:val="FootnoteReference"/>
                <w:rFonts w:eastAsia="Times New Roman" w:cs="Calibri"/>
                <w:sz w:val="18"/>
                <w:szCs w:val="18"/>
                <w:lang w:eastAsia="en-GB"/>
              </w:rPr>
              <w:footnoteReference w:id="126"/>
            </w:r>
            <w:r w:rsidRPr="00D14AC6">
              <w:rPr>
                <w:rFonts w:eastAsia="Times New Roman" w:cs="Calibri"/>
                <w:sz w:val="18"/>
                <w:szCs w:val="18"/>
                <w:lang w:eastAsia="en-GB"/>
              </w:rPr>
              <w:br/>
              <w:t>Nr of testing activities: 672</w:t>
            </w:r>
            <w:r w:rsidRPr="00D14AC6">
              <w:rPr>
                <w:rFonts w:eastAsia="Times New Roman" w:cs="Calibri"/>
                <w:sz w:val="18"/>
                <w:szCs w:val="18"/>
                <w:lang w:eastAsia="en-GB"/>
              </w:rPr>
              <w:br/>
              <w:t>Nr of clinical trials: 0</w:t>
            </w:r>
          </w:p>
        </w:tc>
      </w:tr>
      <w:tr w:rsidR="00BD154D" w:rsidRPr="00090CD7" w14:paraId="18F333BB" w14:textId="77777777" w:rsidTr="00DF2591">
        <w:trPr>
          <w:trHeight w:val="1365"/>
        </w:trPr>
        <w:tc>
          <w:tcPr>
            <w:tcW w:w="247" w:type="pct"/>
            <w:vMerge/>
            <w:shd w:val="clear" w:color="auto" w:fill="auto"/>
            <w:vAlign w:val="center"/>
          </w:tcPr>
          <w:p w14:paraId="522AB3AF" w14:textId="77777777" w:rsidR="00BD154D" w:rsidRPr="00090CD7" w:rsidRDefault="00BD154D" w:rsidP="00DF2591">
            <w:pPr>
              <w:spacing w:after="0" w:line="240" w:lineRule="auto"/>
              <w:jc w:val="center"/>
              <w:rPr>
                <w:rFonts w:asciiTheme="minorHAnsi" w:eastAsia="Times New Roman" w:hAnsiTheme="minorHAnsi"/>
                <w:b/>
                <w:sz w:val="18"/>
                <w:szCs w:val="18"/>
                <w:lang w:eastAsia="en-GB"/>
              </w:rPr>
            </w:pPr>
          </w:p>
        </w:tc>
        <w:tc>
          <w:tcPr>
            <w:tcW w:w="888" w:type="pct"/>
            <w:shd w:val="clear" w:color="auto" w:fill="auto"/>
            <w:noWrap/>
            <w:vAlign w:val="center"/>
          </w:tcPr>
          <w:p w14:paraId="4B3C15D8" w14:textId="77777777" w:rsidR="00BD154D" w:rsidRPr="00090CD7" w:rsidRDefault="00BD154D" w:rsidP="00DF2591">
            <w:pPr>
              <w:spacing w:after="0" w:line="240" w:lineRule="auto"/>
              <w:jc w:val="center"/>
              <w:rPr>
                <w:rFonts w:asciiTheme="minorHAnsi" w:eastAsia="Times New Roman" w:hAnsiTheme="minorHAnsi"/>
                <w:sz w:val="18"/>
                <w:szCs w:val="18"/>
                <w:lang w:eastAsia="en-GB"/>
              </w:rPr>
            </w:pPr>
            <w:r w:rsidRPr="00090CD7">
              <w:rPr>
                <w:rFonts w:asciiTheme="minorHAnsi" w:eastAsia="Times New Roman" w:hAnsiTheme="minorHAnsi"/>
                <w:sz w:val="18"/>
                <w:szCs w:val="18"/>
                <w:lang w:eastAsia="en-GB"/>
              </w:rPr>
              <w:t>17</w:t>
            </w:r>
          </w:p>
        </w:tc>
        <w:tc>
          <w:tcPr>
            <w:tcW w:w="1393" w:type="pct"/>
            <w:shd w:val="clear" w:color="auto" w:fill="auto"/>
            <w:vAlign w:val="center"/>
          </w:tcPr>
          <w:p w14:paraId="5B1ECE11" w14:textId="77777777" w:rsidR="00BD154D" w:rsidRPr="00090CD7" w:rsidRDefault="00BD154D" w:rsidP="00DF2591">
            <w:pPr>
              <w:spacing w:after="0" w:line="240" w:lineRule="auto"/>
              <w:jc w:val="center"/>
              <w:rPr>
                <w:rFonts w:asciiTheme="minorHAnsi" w:eastAsia="Times New Roman" w:hAnsiTheme="minorHAnsi"/>
                <w:sz w:val="18"/>
                <w:szCs w:val="18"/>
                <w:lang w:eastAsia="en-GB"/>
              </w:rPr>
            </w:pPr>
            <w:r w:rsidRPr="00090CD7">
              <w:rPr>
                <w:rFonts w:asciiTheme="minorHAnsi" w:eastAsia="Times New Roman" w:hAnsiTheme="minorHAnsi"/>
                <w:sz w:val="18"/>
                <w:szCs w:val="18"/>
                <w:lang w:eastAsia="en-GB"/>
              </w:rPr>
              <w:t>Number of joint public-private publications in projects</w:t>
            </w:r>
          </w:p>
        </w:tc>
        <w:tc>
          <w:tcPr>
            <w:tcW w:w="1308" w:type="pct"/>
            <w:shd w:val="clear" w:color="auto" w:fill="auto"/>
            <w:vAlign w:val="center"/>
          </w:tcPr>
          <w:p w14:paraId="47D450C5" w14:textId="77777777" w:rsidR="00BD154D" w:rsidRPr="00090CD7" w:rsidRDefault="00BD154D" w:rsidP="00DF2591">
            <w:pPr>
              <w:spacing w:after="0" w:line="240" w:lineRule="auto"/>
              <w:jc w:val="center"/>
              <w:rPr>
                <w:rFonts w:asciiTheme="minorHAnsi" w:eastAsia="Times New Roman" w:hAnsiTheme="minorHAnsi"/>
                <w:sz w:val="18"/>
                <w:szCs w:val="18"/>
                <w:lang w:eastAsia="en-GB"/>
              </w:rPr>
            </w:pPr>
            <w:r w:rsidRPr="00090CD7">
              <w:rPr>
                <w:rFonts w:asciiTheme="minorHAnsi" w:eastAsia="Times New Roman" w:hAnsiTheme="minorHAnsi"/>
                <w:sz w:val="18"/>
                <w:szCs w:val="18"/>
                <w:lang w:eastAsia="en-GB"/>
              </w:rPr>
              <w:t>Properly flagged publications data (DOI) from relevant funded projects</w:t>
            </w:r>
          </w:p>
        </w:tc>
        <w:tc>
          <w:tcPr>
            <w:tcW w:w="1164" w:type="pct"/>
            <w:shd w:val="clear" w:color="auto" w:fill="auto"/>
            <w:vAlign w:val="center"/>
          </w:tcPr>
          <w:p w14:paraId="372B734D" w14:textId="77777777" w:rsidR="00BD154D" w:rsidRPr="00D14AC6" w:rsidRDefault="00BD154D" w:rsidP="00DF2591">
            <w:pPr>
              <w:spacing w:after="0" w:line="240" w:lineRule="auto"/>
              <w:jc w:val="center"/>
              <w:rPr>
                <w:rFonts w:asciiTheme="minorHAnsi" w:eastAsia="Times New Roman" w:hAnsiTheme="minorHAnsi"/>
                <w:sz w:val="18"/>
                <w:szCs w:val="18"/>
                <w:lang w:eastAsia="en-GB"/>
              </w:rPr>
            </w:pPr>
            <w:r w:rsidRPr="00D14AC6">
              <w:rPr>
                <w:rFonts w:eastAsia="Times New Roman" w:cs="Calibri"/>
                <w:sz w:val="18"/>
                <w:szCs w:val="18"/>
                <w:lang w:eastAsia="en-GB"/>
              </w:rPr>
              <w:t>91 Joint Public/Private</w:t>
            </w:r>
          </w:p>
        </w:tc>
      </w:tr>
      <w:tr w:rsidR="00BD154D" w:rsidRPr="00090CD7" w14:paraId="0C624252" w14:textId="77777777" w:rsidTr="00DF2591">
        <w:trPr>
          <w:trHeight w:val="900"/>
        </w:trPr>
        <w:tc>
          <w:tcPr>
            <w:tcW w:w="247" w:type="pct"/>
            <w:vMerge/>
            <w:tcBorders>
              <w:bottom w:val="single" w:sz="4" w:space="0" w:color="auto"/>
            </w:tcBorders>
            <w:shd w:val="clear" w:color="auto" w:fill="auto"/>
            <w:vAlign w:val="center"/>
          </w:tcPr>
          <w:p w14:paraId="45144FD8" w14:textId="77777777" w:rsidR="00BD154D" w:rsidRPr="00090CD7" w:rsidRDefault="00BD154D" w:rsidP="00DF2591">
            <w:pPr>
              <w:spacing w:after="0" w:line="240" w:lineRule="auto"/>
              <w:jc w:val="center"/>
              <w:rPr>
                <w:rFonts w:asciiTheme="minorHAnsi" w:eastAsia="Times New Roman" w:hAnsiTheme="minorHAnsi"/>
                <w:b/>
                <w:sz w:val="18"/>
                <w:szCs w:val="18"/>
                <w:lang w:eastAsia="en-GB"/>
              </w:rPr>
            </w:pPr>
          </w:p>
        </w:tc>
        <w:tc>
          <w:tcPr>
            <w:tcW w:w="888" w:type="pct"/>
            <w:tcBorders>
              <w:bottom w:val="single" w:sz="4" w:space="0" w:color="auto"/>
            </w:tcBorders>
            <w:shd w:val="clear" w:color="auto" w:fill="auto"/>
            <w:noWrap/>
            <w:vAlign w:val="center"/>
          </w:tcPr>
          <w:p w14:paraId="3747F32D" w14:textId="77777777" w:rsidR="00BD154D" w:rsidRPr="00090CD7" w:rsidRDefault="00BD154D" w:rsidP="00DF2591">
            <w:pPr>
              <w:spacing w:after="0" w:line="240" w:lineRule="auto"/>
              <w:jc w:val="center"/>
              <w:rPr>
                <w:rFonts w:asciiTheme="minorHAnsi" w:eastAsia="Times New Roman" w:hAnsiTheme="minorHAnsi"/>
                <w:sz w:val="18"/>
                <w:szCs w:val="18"/>
                <w:lang w:eastAsia="en-GB"/>
              </w:rPr>
            </w:pPr>
            <w:r w:rsidRPr="00090CD7">
              <w:rPr>
                <w:rFonts w:asciiTheme="minorHAnsi" w:eastAsia="Times New Roman" w:hAnsiTheme="minorHAnsi"/>
                <w:sz w:val="18"/>
                <w:szCs w:val="18"/>
                <w:lang w:eastAsia="en-GB"/>
              </w:rPr>
              <w:t>18</w:t>
            </w:r>
            <w:r>
              <w:rPr>
                <w:rStyle w:val="FootnoteReference"/>
                <w:rFonts w:asciiTheme="minorHAnsi" w:eastAsia="Times New Roman" w:hAnsiTheme="minorHAnsi"/>
                <w:sz w:val="18"/>
                <w:szCs w:val="18"/>
                <w:lang w:eastAsia="en-GB"/>
              </w:rPr>
              <w:footnoteReference w:id="127"/>
            </w:r>
          </w:p>
        </w:tc>
        <w:tc>
          <w:tcPr>
            <w:tcW w:w="1393" w:type="pct"/>
            <w:tcBorders>
              <w:bottom w:val="single" w:sz="4" w:space="0" w:color="auto"/>
            </w:tcBorders>
            <w:shd w:val="clear" w:color="auto" w:fill="auto"/>
            <w:vAlign w:val="center"/>
          </w:tcPr>
          <w:p w14:paraId="5E48D9CA" w14:textId="77777777" w:rsidR="00BD154D" w:rsidRPr="00FB586C" w:rsidRDefault="00BD154D" w:rsidP="00DF2591">
            <w:pPr>
              <w:spacing w:after="0" w:line="240" w:lineRule="auto"/>
              <w:jc w:val="center"/>
              <w:rPr>
                <w:rFonts w:asciiTheme="minorHAnsi" w:eastAsia="Times New Roman" w:hAnsiTheme="minorHAnsi"/>
                <w:sz w:val="18"/>
                <w:szCs w:val="18"/>
                <w:lang w:eastAsia="en-GB"/>
              </w:rPr>
            </w:pPr>
            <w:r w:rsidRPr="00FB586C">
              <w:rPr>
                <w:rFonts w:asciiTheme="minorHAnsi" w:eastAsia="Times New Roman" w:hAnsiTheme="minorHAnsi"/>
                <w:sz w:val="18"/>
                <w:szCs w:val="18"/>
                <w:lang w:eastAsia="en-GB"/>
              </w:rPr>
              <w:t>New products, processes and methods launched on the market</w:t>
            </w:r>
          </w:p>
        </w:tc>
        <w:tc>
          <w:tcPr>
            <w:tcW w:w="1308" w:type="pct"/>
            <w:tcBorders>
              <w:bottom w:val="single" w:sz="4" w:space="0" w:color="auto"/>
            </w:tcBorders>
            <w:shd w:val="clear" w:color="auto" w:fill="auto"/>
            <w:vAlign w:val="center"/>
          </w:tcPr>
          <w:p w14:paraId="2BD80F6C" w14:textId="77777777" w:rsidR="00BD154D" w:rsidRPr="00FB586C" w:rsidRDefault="00BD154D" w:rsidP="00DF2591">
            <w:pPr>
              <w:spacing w:after="0" w:line="240" w:lineRule="auto"/>
              <w:jc w:val="center"/>
              <w:rPr>
                <w:rFonts w:asciiTheme="minorHAnsi" w:eastAsia="Times New Roman" w:hAnsiTheme="minorHAnsi"/>
                <w:sz w:val="18"/>
                <w:szCs w:val="18"/>
                <w:lang w:eastAsia="en-GB"/>
              </w:rPr>
            </w:pPr>
            <w:r w:rsidRPr="00FB586C">
              <w:rPr>
                <w:rFonts w:asciiTheme="minorHAnsi" w:eastAsia="Times New Roman" w:hAnsiTheme="minorHAnsi"/>
                <w:sz w:val="18"/>
                <w:szCs w:val="18"/>
                <w:lang w:eastAsia="en-GB"/>
              </w:rPr>
              <w:t xml:space="preserve">Project count and drop-down list enabling choice of the type of processes, </w:t>
            </w:r>
            <w:proofErr w:type="gramStart"/>
            <w:r w:rsidRPr="00FB586C">
              <w:rPr>
                <w:rFonts w:asciiTheme="minorHAnsi" w:eastAsia="Times New Roman" w:hAnsiTheme="minorHAnsi"/>
                <w:sz w:val="18"/>
                <w:szCs w:val="18"/>
                <w:lang w:eastAsia="en-GB"/>
              </w:rPr>
              <w:t>products</w:t>
            </w:r>
            <w:proofErr w:type="gramEnd"/>
            <w:r w:rsidRPr="00FB586C">
              <w:rPr>
                <w:rFonts w:asciiTheme="minorHAnsi" w:eastAsia="Times New Roman" w:hAnsiTheme="minorHAnsi"/>
                <w:sz w:val="18"/>
                <w:szCs w:val="18"/>
                <w:lang w:eastAsia="en-GB"/>
              </w:rPr>
              <w:t xml:space="preserve"> and methods</w:t>
            </w:r>
          </w:p>
        </w:tc>
        <w:tc>
          <w:tcPr>
            <w:tcW w:w="1164" w:type="pct"/>
            <w:tcBorders>
              <w:bottom w:val="single" w:sz="4" w:space="0" w:color="auto"/>
            </w:tcBorders>
            <w:shd w:val="clear" w:color="auto" w:fill="auto"/>
            <w:vAlign w:val="center"/>
          </w:tcPr>
          <w:p w14:paraId="1AD47170" w14:textId="77777777" w:rsidR="00BD154D" w:rsidRDefault="00BD154D" w:rsidP="00DF2591">
            <w:pPr>
              <w:spacing w:after="0" w:line="240" w:lineRule="auto"/>
              <w:jc w:val="center"/>
              <w:rPr>
                <w:rFonts w:eastAsia="Times New Roman" w:cs="Calibri"/>
                <w:sz w:val="18"/>
                <w:szCs w:val="18"/>
                <w:lang w:eastAsia="en-GB"/>
              </w:rPr>
            </w:pPr>
            <w:r w:rsidRPr="00D14AC6">
              <w:rPr>
                <w:rFonts w:eastAsia="Times New Roman" w:cs="Calibri"/>
                <w:sz w:val="18"/>
                <w:szCs w:val="18"/>
                <w:lang w:eastAsia="en-GB"/>
              </w:rPr>
              <w:t xml:space="preserve">Nr of projects with: </w:t>
            </w:r>
          </w:p>
          <w:p w14:paraId="631088F0" w14:textId="77777777" w:rsidR="00BD154D" w:rsidRPr="00D14AC6" w:rsidRDefault="00BD154D" w:rsidP="00DF2591">
            <w:pPr>
              <w:spacing w:after="0" w:line="240" w:lineRule="auto"/>
              <w:jc w:val="center"/>
              <w:rPr>
                <w:rFonts w:asciiTheme="minorHAnsi" w:eastAsia="Times New Roman" w:hAnsiTheme="minorHAnsi"/>
                <w:sz w:val="18"/>
                <w:szCs w:val="18"/>
                <w:lang w:eastAsia="en-GB"/>
              </w:rPr>
            </w:pPr>
            <w:r w:rsidRPr="00D14AC6">
              <w:rPr>
                <w:rFonts w:eastAsia="Times New Roman" w:cs="Calibri"/>
                <w:sz w:val="18"/>
                <w:szCs w:val="18"/>
                <w:lang w:eastAsia="en-GB"/>
              </w:rPr>
              <w:t>New products: 65</w:t>
            </w:r>
            <w:r w:rsidRPr="00D14AC6">
              <w:rPr>
                <w:rFonts w:eastAsia="Times New Roman" w:cs="Calibri"/>
                <w:sz w:val="18"/>
                <w:szCs w:val="18"/>
                <w:lang w:eastAsia="en-GB"/>
              </w:rPr>
              <w:br/>
              <w:t>New processes: 36</w:t>
            </w:r>
            <w:r w:rsidRPr="00D14AC6">
              <w:rPr>
                <w:rFonts w:eastAsia="Times New Roman" w:cs="Calibri"/>
                <w:sz w:val="18"/>
                <w:szCs w:val="18"/>
                <w:lang w:eastAsia="en-GB"/>
              </w:rPr>
              <w:br/>
              <w:t>New methods: 25</w:t>
            </w:r>
          </w:p>
        </w:tc>
      </w:tr>
      <w:tr w:rsidR="00BD154D" w:rsidRPr="00090CD7" w14:paraId="31F4770D" w14:textId="77777777" w:rsidTr="00DF2591">
        <w:trPr>
          <w:cantSplit/>
          <w:trHeight w:val="1467"/>
        </w:trPr>
        <w:tc>
          <w:tcPr>
            <w:tcW w:w="247" w:type="pct"/>
            <w:vMerge w:val="restart"/>
            <w:shd w:val="clear" w:color="auto" w:fill="FFFFFF" w:themeFill="background1"/>
            <w:textDirection w:val="btLr"/>
            <w:vAlign w:val="center"/>
          </w:tcPr>
          <w:p w14:paraId="3097032E" w14:textId="7B55EEC1" w:rsidR="00BD154D" w:rsidRPr="00090CD7" w:rsidRDefault="00BD154D" w:rsidP="00BD154D">
            <w:pPr>
              <w:spacing w:after="0" w:line="240" w:lineRule="auto"/>
              <w:ind w:left="113" w:right="113"/>
              <w:jc w:val="center"/>
              <w:rPr>
                <w:rFonts w:asciiTheme="minorHAnsi" w:eastAsia="Times New Roman" w:hAnsiTheme="minorHAnsi"/>
                <w:b/>
                <w:sz w:val="18"/>
                <w:szCs w:val="18"/>
                <w:lang w:eastAsia="en-GB"/>
              </w:rPr>
            </w:pPr>
            <w:r w:rsidRPr="006C6CDA">
              <w:rPr>
                <w:rFonts w:eastAsia="Times New Roman" w:cs="Calibri"/>
                <w:b/>
                <w:bCs/>
                <w:color w:val="000000"/>
                <w:sz w:val="18"/>
                <w:szCs w:val="18"/>
                <w:lang w:eastAsia="en-GB"/>
              </w:rPr>
              <w:lastRenderedPageBreak/>
              <w:t>EVALUATION</w:t>
            </w:r>
          </w:p>
        </w:tc>
        <w:tc>
          <w:tcPr>
            <w:tcW w:w="888" w:type="pct"/>
            <w:shd w:val="clear" w:color="auto" w:fill="FFFFFF" w:themeFill="background1"/>
            <w:noWrap/>
            <w:textDirection w:val="btLr"/>
            <w:vAlign w:val="center"/>
          </w:tcPr>
          <w:p w14:paraId="2C61C8D0" w14:textId="08D4CE6B" w:rsidR="00BD154D" w:rsidRPr="00090CD7" w:rsidRDefault="00BD154D" w:rsidP="00BD154D">
            <w:pPr>
              <w:spacing w:after="0" w:line="240" w:lineRule="auto"/>
              <w:ind w:left="113" w:right="113"/>
              <w:jc w:val="center"/>
              <w:rPr>
                <w:rFonts w:asciiTheme="minorHAnsi" w:eastAsia="Times New Roman" w:hAnsiTheme="minorHAnsi"/>
                <w:sz w:val="18"/>
                <w:szCs w:val="18"/>
                <w:lang w:eastAsia="en-GB"/>
              </w:rPr>
            </w:pPr>
            <w:r w:rsidRPr="006C6CDA">
              <w:rPr>
                <w:rFonts w:eastAsia="Times New Roman" w:cs="Calibri"/>
                <w:color w:val="000000"/>
                <w:sz w:val="18"/>
                <w:szCs w:val="18"/>
                <w:lang w:eastAsia="en-GB"/>
              </w:rPr>
              <w:t>NA</w:t>
            </w:r>
          </w:p>
        </w:tc>
        <w:tc>
          <w:tcPr>
            <w:tcW w:w="1393" w:type="pct"/>
            <w:shd w:val="clear" w:color="auto" w:fill="FFFFFF" w:themeFill="background1"/>
            <w:vAlign w:val="center"/>
          </w:tcPr>
          <w:p w14:paraId="3E61A9E1" w14:textId="76FFC218" w:rsidR="00BD154D" w:rsidRPr="00FB586C" w:rsidRDefault="00BD154D" w:rsidP="00BD154D">
            <w:pPr>
              <w:spacing w:after="0" w:line="240" w:lineRule="auto"/>
              <w:jc w:val="center"/>
              <w:rPr>
                <w:rFonts w:asciiTheme="minorHAnsi" w:eastAsia="Times New Roman" w:hAnsiTheme="minorHAnsi"/>
                <w:sz w:val="18"/>
                <w:szCs w:val="18"/>
                <w:lang w:eastAsia="en-GB"/>
              </w:rPr>
            </w:pPr>
            <w:r w:rsidRPr="006C6CDA">
              <w:rPr>
                <w:rFonts w:eastAsia="Times New Roman" w:cs="Calibri"/>
                <w:color w:val="000000"/>
                <w:sz w:val="18"/>
                <w:szCs w:val="18"/>
                <w:lang w:eastAsia="en-GB"/>
              </w:rPr>
              <w:t xml:space="preserve">Time to inform (TTI) </w:t>
            </w:r>
            <w:r w:rsidRPr="006C6CDA">
              <w:rPr>
                <w:rFonts w:eastAsia="Times New Roman" w:cs="Calibri"/>
                <w:color w:val="000000"/>
                <w:sz w:val="18"/>
                <w:szCs w:val="18"/>
                <w:u w:val="single"/>
                <w:lang w:eastAsia="en-GB"/>
              </w:rPr>
              <w:t>all applicants</w:t>
            </w:r>
            <w:r w:rsidRPr="006C6CDA">
              <w:rPr>
                <w:rFonts w:eastAsia="Times New Roman" w:cs="Calibri"/>
                <w:color w:val="000000"/>
                <w:sz w:val="18"/>
                <w:szCs w:val="18"/>
                <w:lang w:eastAsia="en-GB"/>
              </w:rPr>
              <w:t xml:space="preserve"> of the outcome of the evaluation of their application from the final date for submission of completed proposals</w:t>
            </w:r>
          </w:p>
        </w:tc>
        <w:tc>
          <w:tcPr>
            <w:tcW w:w="1308" w:type="pct"/>
            <w:shd w:val="clear" w:color="auto" w:fill="FFFFFF" w:themeFill="background1"/>
            <w:vAlign w:val="center"/>
          </w:tcPr>
          <w:p w14:paraId="4CC60A4E" w14:textId="77777777" w:rsidR="00BD154D" w:rsidRPr="006C6CDA" w:rsidRDefault="00BD154D" w:rsidP="00BD154D">
            <w:pPr>
              <w:spacing w:after="0" w:line="240" w:lineRule="auto"/>
              <w:jc w:val="center"/>
              <w:rPr>
                <w:rFonts w:eastAsia="Times New Roman" w:cs="Calibri"/>
                <w:color w:val="000000"/>
                <w:sz w:val="18"/>
                <w:szCs w:val="18"/>
                <w:lang w:eastAsia="en-GB"/>
              </w:rPr>
            </w:pPr>
            <w:r w:rsidRPr="006C6CDA">
              <w:rPr>
                <w:rFonts w:eastAsia="Times New Roman" w:cs="Calibri"/>
                <w:color w:val="000000"/>
                <w:sz w:val="18"/>
                <w:szCs w:val="18"/>
                <w:lang w:eastAsia="en-GB"/>
              </w:rPr>
              <w:t xml:space="preserve">Number and % of information letters sent to applicants within target </w:t>
            </w:r>
          </w:p>
          <w:p w14:paraId="64862847" w14:textId="77777777" w:rsidR="00BD154D" w:rsidRPr="006C6CDA" w:rsidRDefault="00BD154D" w:rsidP="00BD154D">
            <w:pPr>
              <w:spacing w:after="0" w:line="240" w:lineRule="auto"/>
              <w:jc w:val="center"/>
              <w:rPr>
                <w:rFonts w:eastAsia="Times New Roman" w:cs="Calibri"/>
                <w:color w:val="000000"/>
                <w:sz w:val="18"/>
                <w:szCs w:val="18"/>
                <w:lang w:eastAsia="en-GB"/>
              </w:rPr>
            </w:pPr>
            <w:r w:rsidRPr="006C6CDA">
              <w:rPr>
                <w:rFonts w:eastAsia="Times New Roman" w:cs="Calibri"/>
                <w:color w:val="000000"/>
                <w:sz w:val="18"/>
                <w:szCs w:val="18"/>
                <w:lang w:eastAsia="en-GB"/>
              </w:rPr>
              <w:t>Average TTI (calendar days)</w:t>
            </w:r>
          </w:p>
          <w:p w14:paraId="2BAFC672" w14:textId="09C412C0" w:rsidR="00BD154D" w:rsidRPr="00FB586C" w:rsidRDefault="00BD154D" w:rsidP="00BD154D">
            <w:pPr>
              <w:spacing w:after="0" w:line="240" w:lineRule="auto"/>
              <w:jc w:val="center"/>
              <w:rPr>
                <w:rFonts w:asciiTheme="minorHAnsi" w:eastAsia="Times New Roman" w:hAnsiTheme="minorHAnsi"/>
                <w:sz w:val="18"/>
                <w:szCs w:val="18"/>
                <w:lang w:eastAsia="en-GB"/>
              </w:rPr>
            </w:pPr>
            <w:r w:rsidRPr="006C6CDA">
              <w:rPr>
                <w:rFonts w:eastAsia="Times New Roman" w:cs="Calibri"/>
                <w:color w:val="000000"/>
                <w:sz w:val="18"/>
                <w:szCs w:val="18"/>
                <w:lang w:eastAsia="en-GB"/>
              </w:rPr>
              <w:t>Maximum TTI (calendar days)</w:t>
            </w:r>
          </w:p>
        </w:tc>
        <w:tc>
          <w:tcPr>
            <w:tcW w:w="1164" w:type="pct"/>
            <w:shd w:val="clear" w:color="auto" w:fill="auto"/>
            <w:vAlign w:val="center"/>
          </w:tcPr>
          <w:p w14:paraId="115CD8C3" w14:textId="78E5F5EF" w:rsidR="00BD154D" w:rsidRPr="00905BF2" w:rsidRDefault="00BD154D" w:rsidP="00BD154D">
            <w:pPr>
              <w:spacing w:after="0" w:line="240" w:lineRule="auto"/>
              <w:jc w:val="center"/>
              <w:rPr>
                <w:rFonts w:asciiTheme="minorHAnsi" w:eastAsia="Times New Roman" w:hAnsiTheme="minorHAnsi"/>
                <w:sz w:val="18"/>
                <w:szCs w:val="18"/>
                <w:lang w:eastAsia="en-GB"/>
              </w:rPr>
            </w:pPr>
            <w:r w:rsidRPr="006C6CDA">
              <w:rPr>
                <w:rFonts w:eastAsia="Times New Roman" w:cs="Calibri"/>
                <w:color w:val="000000"/>
                <w:sz w:val="18"/>
                <w:szCs w:val="18"/>
                <w:lang w:eastAsia="en-GB"/>
              </w:rPr>
              <w:t>135 information letters with an average of 107 days (100% within target)</w:t>
            </w:r>
          </w:p>
        </w:tc>
      </w:tr>
      <w:tr w:rsidR="00BD154D" w:rsidRPr="00090CD7" w14:paraId="7A8E2AA3" w14:textId="77777777" w:rsidTr="00DF2591">
        <w:trPr>
          <w:cantSplit/>
          <w:trHeight w:val="1134"/>
        </w:trPr>
        <w:tc>
          <w:tcPr>
            <w:tcW w:w="247" w:type="pct"/>
            <w:vMerge/>
            <w:shd w:val="clear" w:color="auto" w:fill="FFFFFF" w:themeFill="background1"/>
            <w:vAlign w:val="center"/>
          </w:tcPr>
          <w:p w14:paraId="0A87E8C5" w14:textId="77777777" w:rsidR="00BD154D" w:rsidRPr="00090CD7" w:rsidRDefault="00BD154D" w:rsidP="00BD154D">
            <w:pPr>
              <w:spacing w:after="0" w:line="240" w:lineRule="auto"/>
              <w:jc w:val="center"/>
              <w:rPr>
                <w:rFonts w:asciiTheme="minorHAnsi" w:eastAsia="Times New Roman" w:hAnsiTheme="minorHAnsi"/>
                <w:b/>
                <w:sz w:val="18"/>
                <w:szCs w:val="18"/>
                <w:lang w:eastAsia="en-GB"/>
              </w:rPr>
            </w:pPr>
          </w:p>
        </w:tc>
        <w:tc>
          <w:tcPr>
            <w:tcW w:w="888" w:type="pct"/>
            <w:shd w:val="clear" w:color="auto" w:fill="FFFFFF" w:themeFill="background1"/>
            <w:noWrap/>
            <w:textDirection w:val="btLr"/>
            <w:vAlign w:val="center"/>
          </w:tcPr>
          <w:p w14:paraId="1AF98624" w14:textId="34D44F9B" w:rsidR="00BD154D" w:rsidRPr="00090CD7" w:rsidRDefault="00BD154D" w:rsidP="00BD154D">
            <w:pPr>
              <w:spacing w:after="0" w:line="240" w:lineRule="auto"/>
              <w:ind w:left="113" w:right="113"/>
              <w:jc w:val="center"/>
              <w:rPr>
                <w:rFonts w:asciiTheme="minorHAnsi" w:eastAsia="Times New Roman" w:hAnsiTheme="minorHAnsi"/>
                <w:sz w:val="18"/>
                <w:szCs w:val="18"/>
                <w:lang w:eastAsia="en-GB"/>
              </w:rPr>
            </w:pPr>
            <w:r w:rsidRPr="006C6CDA">
              <w:rPr>
                <w:rFonts w:eastAsia="Times New Roman" w:cs="Calibri"/>
                <w:color w:val="000000"/>
                <w:sz w:val="18"/>
                <w:szCs w:val="18"/>
                <w:lang w:eastAsia="en-GB"/>
              </w:rPr>
              <w:t>NA</w:t>
            </w:r>
          </w:p>
        </w:tc>
        <w:tc>
          <w:tcPr>
            <w:tcW w:w="1393" w:type="pct"/>
            <w:shd w:val="clear" w:color="auto" w:fill="FFFFFF" w:themeFill="background1"/>
            <w:vAlign w:val="center"/>
          </w:tcPr>
          <w:p w14:paraId="719BCBDF" w14:textId="7B2AF9FC" w:rsidR="00BD154D" w:rsidRPr="00090CD7" w:rsidRDefault="00BD154D" w:rsidP="00BD154D">
            <w:pPr>
              <w:spacing w:after="0" w:line="240" w:lineRule="auto"/>
              <w:jc w:val="center"/>
              <w:rPr>
                <w:rFonts w:asciiTheme="minorHAnsi" w:eastAsia="Times New Roman" w:hAnsiTheme="minorHAnsi"/>
                <w:sz w:val="18"/>
                <w:szCs w:val="18"/>
                <w:lang w:eastAsia="en-GB"/>
              </w:rPr>
            </w:pPr>
            <w:r w:rsidRPr="006C6CDA">
              <w:rPr>
                <w:rFonts w:eastAsia="Times New Roman" w:cs="Calibri"/>
                <w:color w:val="000000"/>
                <w:sz w:val="18"/>
                <w:szCs w:val="18"/>
                <w:lang w:eastAsia="en-GB"/>
              </w:rPr>
              <w:t>Redress after evaluations</w:t>
            </w:r>
          </w:p>
        </w:tc>
        <w:tc>
          <w:tcPr>
            <w:tcW w:w="1308" w:type="pct"/>
            <w:shd w:val="clear" w:color="auto" w:fill="FFFFFF" w:themeFill="background1"/>
            <w:vAlign w:val="center"/>
          </w:tcPr>
          <w:p w14:paraId="00E91E14" w14:textId="3886ED4C" w:rsidR="00BD154D" w:rsidRPr="00090CD7" w:rsidRDefault="00BD154D" w:rsidP="00BD154D">
            <w:pPr>
              <w:spacing w:after="0" w:line="240" w:lineRule="auto"/>
              <w:jc w:val="center"/>
              <w:rPr>
                <w:rFonts w:asciiTheme="minorHAnsi" w:eastAsia="Times New Roman" w:hAnsiTheme="minorHAnsi"/>
                <w:sz w:val="18"/>
                <w:szCs w:val="18"/>
                <w:lang w:eastAsia="en-GB"/>
              </w:rPr>
            </w:pPr>
            <w:r w:rsidRPr="006C6CDA">
              <w:rPr>
                <w:rFonts w:eastAsia="Times New Roman" w:cs="Calibri"/>
                <w:color w:val="000000"/>
                <w:sz w:val="18"/>
                <w:szCs w:val="18"/>
                <w:lang w:eastAsia="en-GB"/>
              </w:rPr>
              <w:t>Number of redresses requested</w:t>
            </w:r>
          </w:p>
        </w:tc>
        <w:tc>
          <w:tcPr>
            <w:tcW w:w="1164" w:type="pct"/>
            <w:shd w:val="clear" w:color="auto" w:fill="auto"/>
            <w:vAlign w:val="center"/>
          </w:tcPr>
          <w:p w14:paraId="0A33A6AE" w14:textId="5CC0F882" w:rsidR="00BD154D" w:rsidRPr="00905BF2" w:rsidRDefault="00BD154D" w:rsidP="00BD154D">
            <w:pPr>
              <w:spacing w:after="0" w:line="240" w:lineRule="auto"/>
              <w:jc w:val="center"/>
              <w:rPr>
                <w:rFonts w:asciiTheme="minorHAnsi" w:eastAsia="Times New Roman" w:hAnsiTheme="minorHAnsi"/>
                <w:sz w:val="18"/>
                <w:szCs w:val="18"/>
                <w:lang w:eastAsia="en-GB"/>
              </w:rPr>
            </w:pPr>
            <w:r w:rsidRPr="006C6CDA">
              <w:rPr>
                <w:rFonts w:eastAsia="Times New Roman" w:cs="Calibri"/>
                <w:color w:val="000000"/>
                <w:sz w:val="18"/>
                <w:szCs w:val="18"/>
                <w:lang w:eastAsia="en-GB"/>
              </w:rPr>
              <w:t>13</w:t>
            </w:r>
          </w:p>
        </w:tc>
      </w:tr>
      <w:tr w:rsidR="00BD154D" w:rsidRPr="00090CD7" w14:paraId="442EEA02" w14:textId="77777777" w:rsidTr="00DF2591">
        <w:trPr>
          <w:cantSplit/>
          <w:trHeight w:val="1134"/>
        </w:trPr>
        <w:tc>
          <w:tcPr>
            <w:tcW w:w="247" w:type="pct"/>
            <w:shd w:val="clear" w:color="auto" w:fill="FFFFFF" w:themeFill="background1"/>
            <w:vAlign w:val="center"/>
          </w:tcPr>
          <w:p w14:paraId="3B06BB38" w14:textId="77777777" w:rsidR="00BD154D" w:rsidRPr="00090CD7" w:rsidRDefault="00BD154D" w:rsidP="00BD154D">
            <w:pPr>
              <w:spacing w:after="0" w:line="240" w:lineRule="auto"/>
              <w:ind w:left="113" w:right="113"/>
              <w:jc w:val="center"/>
              <w:rPr>
                <w:rFonts w:asciiTheme="minorHAnsi" w:eastAsia="Times New Roman" w:hAnsiTheme="minorHAnsi"/>
                <w:b/>
                <w:sz w:val="18"/>
                <w:szCs w:val="18"/>
                <w:lang w:eastAsia="en-GB"/>
              </w:rPr>
            </w:pPr>
            <w:r w:rsidRPr="00090CD7">
              <w:rPr>
                <w:rFonts w:asciiTheme="minorHAnsi" w:eastAsia="Times New Roman" w:hAnsiTheme="minorHAnsi"/>
                <w:b/>
                <w:sz w:val="18"/>
                <w:szCs w:val="18"/>
                <w:lang w:eastAsia="en-GB"/>
              </w:rPr>
              <w:t>GRANTS</w:t>
            </w:r>
          </w:p>
        </w:tc>
        <w:tc>
          <w:tcPr>
            <w:tcW w:w="888" w:type="pct"/>
            <w:shd w:val="clear" w:color="auto" w:fill="FFFFFF" w:themeFill="background1"/>
            <w:noWrap/>
            <w:vAlign w:val="center"/>
          </w:tcPr>
          <w:p w14:paraId="0C49294A" w14:textId="77777777" w:rsidR="00BD154D" w:rsidRPr="00090CD7" w:rsidRDefault="00BD154D" w:rsidP="00BD154D">
            <w:pPr>
              <w:spacing w:after="0" w:line="240" w:lineRule="auto"/>
              <w:ind w:left="113" w:right="113"/>
              <w:jc w:val="center"/>
              <w:rPr>
                <w:rFonts w:asciiTheme="minorHAnsi" w:eastAsia="Times New Roman" w:hAnsiTheme="minorHAnsi"/>
                <w:sz w:val="18"/>
                <w:szCs w:val="18"/>
                <w:lang w:eastAsia="en-GB"/>
              </w:rPr>
            </w:pPr>
            <w:r w:rsidRPr="00090CD7">
              <w:rPr>
                <w:rFonts w:asciiTheme="minorHAnsi" w:eastAsia="Times New Roman" w:hAnsiTheme="minorHAnsi"/>
                <w:sz w:val="18"/>
                <w:szCs w:val="18"/>
                <w:lang w:eastAsia="en-GB"/>
              </w:rPr>
              <w:t>N</w:t>
            </w:r>
            <w:r>
              <w:rPr>
                <w:rFonts w:asciiTheme="minorHAnsi" w:eastAsia="Times New Roman" w:hAnsiTheme="minorHAnsi"/>
                <w:sz w:val="18"/>
                <w:szCs w:val="18"/>
                <w:lang w:eastAsia="en-GB"/>
              </w:rPr>
              <w:t>/</w:t>
            </w:r>
            <w:r w:rsidRPr="00090CD7">
              <w:rPr>
                <w:rFonts w:asciiTheme="minorHAnsi" w:eastAsia="Times New Roman" w:hAnsiTheme="minorHAnsi"/>
                <w:sz w:val="18"/>
                <w:szCs w:val="18"/>
                <w:lang w:eastAsia="en-GB"/>
              </w:rPr>
              <w:t>A</w:t>
            </w:r>
          </w:p>
        </w:tc>
        <w:tc>
          <w:tcPr>
            <w:tcW w:w="1393" w:type="pct"/>
            <w:shd w:val="clear" w:color="auto" w:fill="FFFFFF" w:themeFill="background1"/>
            <w:vAlign w:val="center"/>
          </w:tcPr>
          <w:p w14:paraId="6DC1BC78" w14:textId="77777777" w:rsidR="00BD154D" w:rsidRPr="00090CD7" w:rsidRDefault="00BD154D" w:rsidP="00BD154D">
            <w:pPr>
              <w:spacing w:after="0" w:line="240" w:lineRule="auto"/>
              <w:jc w:val="center"/>
              <w:rPr>
                <w:rFonts w:asciiTheme="minorHAnsi" w:hAnsiTheme="minorHAnsi"/>
                <w:sz w:val="20"/>
              </w:rPr>
            </w:pPr>
            <w:r w:rsidRPr="00090CD7">
              <w:rPr>
                <w:rFonts w:asciiTheme="minorHAnsi" w:eastAsia="Times New Roman" w:hAnsiTheme="minorHAnsi"/>
                <w:sz w:val="18"/>
                <w:szCs w:val="18"/>
                <w:lang w:eastAsia="en-GB"/>
              </w:rPr>
              <w:t xml:space="preserve">Time to </w:t>
            </w:r>
            <w:r>
              <w:rPr>
                <w:rFonts w:asciiTheme="minorHAnsi" w:eastAsia="Times New Roman" w:hAnsiTheme="minorHAnsi"/>
                <w:sz w:val="18"/>
                <w:szCs w:val="18"/>
                <w:lang w:eastAsia="en-GB"/>
              </w:rPr>
              <w:t>G</w:t>
            </w:r>
            <w:r w:rsidRPr="00090CD7">
              <w:rPr>
                <w:rFonts w:asciiTheme="minorHAnsi" w:eastAsia="Times New Roman" w:hAnsiTheme="minorHAnsi"/>
                <w:sz w:val="18"/>
                <w:szCs w:val="18"/>
                <w:lang w:eastAsia="en-GB"/>
              </w:rPr>
              <w:t>rant (TTG) measured (average) from call deadline to signature of grants</w:t>
            </w:r>
          </w:p>
        </w:tc>
        <w:tc>
          <w:tcPr>
            <w:tcW w:w="1308" w:type="pct"/>
            <w:shd w:val="clear" w:color="auto" w:fill="FFFFFF" w:themeFill="background1"/>
            <w:vAlign w:val="center"/>
          </w:tcPr>
          <w:p w14:paraId="3C683776" w14:textId="77777777" w:rsidR="00BD154D" w:rsidRPr="00090CD7" w:rsidRDefault="00BD154D" w:rsidP="00BD154D">
            <w:pPr>
              <w:spacing w:after="0" w:line="240" w:lineRule="auto"/>
              <w:jc w:val="center"/>
              <w:rPr>
                <w:rFonts w:asciiTheme="minorHAnsi" w:eastAsia="Times New Roman" w:hAnsiTheme="minorHAnsi"/>
                <w:sz w:val="18"/>
                <w:szCs w:val="18"/>
                <w:lang w:eastAsia="en-GB"/>
              </w:rPr>
            </w:pPr>
            <w:r w:rsidRPr="00090CD7">
              <w:rPr>
                <w:rFonts w:asciiTheme="minorHAnsi" w:eastAsia="Times New Roman" w:hAnsiTheme="minorHAnsi"/>
                <w:sz w:val="18"/>
                <w:szCs w:val="18"/>
                <w:lang w:eastAsia="en-GB"/>
              </w:rPr>
              <w:t>Number and % of grants signed within target</w:t>
            </w:r>
          </w:p>
          <w:p w14:paraId="05248B0E" w14:textId="77777777" w:rsidR="00BD154D" w:rsidRPr="00090CD7" w:rsidRDefault="00BD154D" w:rsidP="00BD154D">
            <w:pPr>
              <w:spacing w:after="0" w:line="240" w:lineRule="auto"/>
              <w:jc w:val="center"/>
              <w:rPr>
                <w:rFonts w:asciiTheme="minorHAnsi" w:eastAsia="Times New Roman" w:hAnsiTheme="minorHAnsi"/>
                <w:sz w:val="18"/>
                <w:szCs w:val="18"/>
                <w:lang w:eastAsia="en-GB"/>
              </w:rPr>
            </w:pPr>
            <w:r w:rsidRPr="00090CD7">
              <w:rPr>
                <w:rFonts w:asciiTheme="minorHAnsi" w:eastAsia="Times New Roman" w:hAnsiTheme="minorHAnsi"/>
                <w:sz w:val="18"/>
                <w:szCs w:val="18"/>
                <w:lang w:eastAsia="en-GB"/>
              </w:rPr>
              <w:t>Average TTG in calendar days</w:t>
            </w:r>
          </w:p>
          <w:p w14:paraId="65F73BC0" w14:textId="77777777" w:rsidR="00BD154D" w:rsidRPr="00090CD7" w:rsidRDefault="00BD154D" w:rsidP="00BD154D">
            <w:pPr>
              <w:spacing w:after="0" w:line="240" w:lineRule="auto"/>
              <w:jc w:val="center"/>
              <w:rPr>
                <w:rFonts w:asciiTheme="minorHAnsi" w:eastAsia="Times New Roman" w:hAnsiTheme="minorHAnsi"/>
                <w:sz w:val="18"/>
                <w:szCs w:val="18"/>
                <w:lang w:eastAsia="en-GB"/>
              </w:rPr>
            </w:pPr>
            <w:r w:rsidRPr="00090CD7">
              <w:rPr>
                <w:rFonts w:asciiTheme="minorHAnsi" w:eastAsia="Times New Roman" w:hAnsiTheme="minorHAnsi"/>
                <w:sz w:val="18"/>
                <w:szCs w:val="18"/>
                <w:lang w:eastAsia="en-GB"/>
              </w:rPr>
              <w:t>Maximum TTG in calendar days</w:t>
            </w:r>
          </w:p>
        </w:tc>
        <w:tc>
          <w:tcPr>
            <w:tcW w:w="1164" w:type="pct"/>
            <w:shd w:val="clear" w:color="auto" w:fill="auto"/>
            <w:vAlign w:val="center"/>
          </w:tcPr>
          <w:p w14:paraId="149F93B0" w14:textId="77777777" w:rsidR="00BD154D" w:rsidRDefault="003D3D4C" w:rsidP="00BD154D">
            <w:pPr>
              <w:spacing w:after="0" w:line="240" w:lineRule="auto"/>
              <w:jc w:val="center"/>
              <w:rPr>
                <w:rFonts w:asciiTheme="minorHAnsi" w:eastAsia="Times New Roman" w:hAnsiTheme="minorHAnsi"/>
                <w:sz w:val="18"/>
                <w:szCs w:val="18"/>
                <w:lang w:eastAsia="en-GB"/>
              </w:rPr>
            </w:pPr>
            <w:r w:rsidRPr="003D3D4C">
              <w:rPr>
                <w:rFonts w:asciiTheme="minorHAnsi" w:eastAsia="Times New Roman" w:hAnsiTheme="minorHAnsi"/>
                <w:sz w:val="18"/>
                <w:szCs w:val="18"/>
                <w:lang w:eastAsia="en-GB"/>
              </w:rPr>
              <w:t>Average TTG: 243 days</w:t>
            </w:r>
          </w:p>
          <w:p w14:paraId="58BC2045" w14:textId="68EDBEA8" w:rsidR="003D3D4C" w:rsidRPr="00905BF2" w:rsidRDefault="003D3D4C" w:rsidP="00BD154D">
            <w:pPr>
              <w:spacing w:after="0" w:line="240" w:lineRule="auto"/>
              <w:jc w:val="center"/>
              <w:rPr>
                <w:rFonts w:asciiTheme="minorHAnsi" w:eastAsia="Times New Roman" w:hAnsiTheme="minorHAnsi"/>
                <w:sz w:val="18"/>
                <w:szCs w:val="18"/>
                <w:lang w:eastAsia="en-GB"/>
              </w:rPr>
            </w:pPr>
            <w:r w:rsidRPr="003D3D4C">
              <w:rPr>
                <w:rFonts w:asciiTheme="minorHAnsi" w:eastAsia="Times New Roman" w:hAnsiTheme="minorHAnsi"/>
                <w:sz w:val="18"/>
                <w:szCs w:val="18"/>
                <w:lang w:eastAsia="en-GB"/>
              </w:rPr>
              <w:t>Maximum TTG: 589 days</w:t>
            </w:r>
          </w:p>
        </w:tc>
      </w:tr>
      <w:tr w:rsidR="00BD154D" w:rsidRPr="00090CD7" w14:paraId="69F8A811" w14:textId="77777777" w:rsidTr="00DF2591">
        <w:trPr>
          <w:cantSplit/>
          <w:trHeight w:val="1134"/>
        </w:trPr>
        <w:tc>
          <w:tcPr>
            <w:tcW w:w="247" w:type="pct"/>
            <w:shd w:val="clear" w:color="auto" w:fill="FFFFFF" w:themeFill="background1"/>
            <w:textDirection w:val="btLr"/>
            <w:vAlign w:val="center"/>
          </w:tcPr>
          <w:p w14:paraId="56D41AA1" w14:textId="720A8D35" w:rsidR="00BD154D" w:rsidRPr="00090CD7" w:rsidRDefault="00BD154D" w:rsidP="00BD154D">
            <w:pPr>
              <w:spacing w:after="0" w:line="240" w:lineRule="auto"/>
              <w:jc w:val="center"/>
              <w:rPr>
                <w:rFonts w:asciiTheme="minorHAnsi" w:eastAsia="Times New Roman" w:hAnsiTheme="minorHAnsi"/>
                <w:b/>
                <w:sz w:val="18"/>
                <w:szCs w:val="18"/>
                <w:lang w:eastAsia="en-GB"/>
              </w:rPr>
            </w:pPr>
            <w:r w:rsidRPr="006C6CDA">
              <w:rPr>
                <w:rFonts w:eastAsia="Times New Roman" w:cs="Calibri"/>
                <w:b/>
                <w:bCs/>
                <w:color w:val="000000"/>
                <w:sz w:val="18"/>
                <w:szCs w:val="18"/>
                <w:lang w:eastAsia="en-GB"/>
              </w:rPr>
              <w:t>GRANTS</w:t>
            </w:r>
          </w:p>
        </w:tc>
        <w:tc>
          <w:tcPr>
            <w:tcW w:w="888" w:type="pct"/>
            <w:shd w:val="clear" w:color="auto" w:fill="FFFFFF" w:themeFill="background1"/>
            <w:noWrap/>
            <w:textDirection w:val="btLr"/>
            <w:vAlign w:val="center"/>
          </w:tcPr>
          <w:p w14:paraId="220E6C68" w14:textId="13382F65" w:rsidR="00BD154D" w:rsidRPr="00090CD7" w:rsidRDefault="00BD154D" w:rsidP="00BD154D">
            <w:pPr>
              <w:spacing w:after="0" w:line="240" w:lineRule="auto"/>
              <w:ind w:left="113" w:right="113"/>
              <w:jc w:val="center"/>
              <w:rPr>
                <w:rFonts w:asciiTheme="minorHAnsi" w:eastAsia="Times New Roman" w:hAnsiTheme="minorHAnsi"/>
                <w:sz w:val="18"/>
                <w:szCs w:val="18"/>
                <w:lang w:eastAsia="en-GB"/>
              </w:rPr>
            </w:pPr>
            <w:r w:rsidRPr="006C6CDA">
              <w:rPr>
                <w:rFonts w:eastAsia="Times New Roman" w:cs="Calibri"/>
                <w:color w:val="000000"/>
                <w:sz w:val="18"/>
                <w:szCs w:val="18"/>
                <w:lang w:eastAsia="en-GB"/>
              </w:rPr>
              <w:t>NA</w:t>
            </w:r>
          </w:p>
        </w:tc>
        <w:tc>
          <w:tcPr>
            <w:tcW w:w="1393" w:type="pct"/>
            <w:shd w:val="clear" w:color="auto" w:fill="FFFFFF" w:themeFill="background1"/>
            <w:vAlign w:val="center"/>
          </w:tcPr>
          <w:p w14:paraId="1E61840F" w14:textId="392883C4" w:rsidR="00BD154D" w:rsidRPr="00FB586C" w:rsidRDefault="00BD154D" w:rsidP="00BD154D">
            <w:pPr>
              <w:spacing w:after="0" w:line="240" w:lineRule="auto"/>
              <w:jc w:val="center"/>
              <w:rPr>
                <w:rFonts w:asciiTheme="minorHAnsi" w:eastAsia="Times New Roman" w:hAnsiTheme="minorHAnsi"/>
                <w:sz w:val="18"/>
                <w:szCs w:val="18"/>
                <w:lang w:eastAsia="en-GB"/>
              </w:rPr>
            </w:pPr>
            <w:r w:rsidRPr="006C6CDA">
              <w:rPr>
                <w:rFonts w:eastAsia="Times New Roman" w:cs="Calibri"/>
                <w:color w:val="000000"/>
                <w:sz w:val="18"/>
                <w:szCs w:val="18"/>
                <w:lang w:eastAsia="en-GB"/>
              </w:rPr>
              <w:t>Time to grant (TTG) measured (average) from call deadline to signature of grants</w:t>
            </w:r>
          </w:p>
        </w:tc>
        <w:tc>
          <w:tcPr>
            <w:tcW w:w="1308" w:type="pct"/>
            <w:shd w:val="clear" w:color="auto" w:fill="FFFFFF" w:themeFill="background1"/>
            <w:vAlign w:val="center"/>
          </w:tcPr>
          <w:p w14:paraId="56D162A5" w14:textId="45B43868" w:rsidR="00BD154D" w:rsidRPr="00FB586C" w:rsidRDefault="00BD154D" w:rsidP="00BD154D">
            <w:pPr>
              <w:spacing w:after="0" w:line="240" w:lineRule="auto"/>
              <w:jc w:val="center"/>
              <w:rPr>
                <w:rFonts w:asciiTheme="minorHAnsi" w:eastAsia="Times New Roman" w:hAnsiTheme="minorHAnsi"/>
                <w:sz w:val="18"/>
                <w:szCs w:val="18"/>
                <w:lang w:eastAsia="en-GB"/>
              </w:rPr>
            </w:pPr>
            <w:r w:rsidRPr="006C6CDA">
              <w:rPr>
                <w:rFonts w:eastAsia="Times New Roman" w:cs="Calibri"/>
                <w:color w:val="000000"/>
                <w:sz w:val="18"/>
                <w:szCs w:val="18"/>
                <w:lang w:eastAsia="en-GB"/>
              </w:rPr>
              <w:t xml:space="preserve">Number and % of grants signed within target </w:t>
            </w:r>
          </w:p>
        </w:tc>
        <w:tc>
          <w:tcPr>
            <w:tcW w:w="1164" w:type="pct"/>
            <w:shd w:val="clear" w:color="auto" w:fill="auto"/>
            <w:vAlign w:val="center"/>
          </w:tcPr>
          <w:p w14:paraId="39C231AE" w14:textId="3E96DBBE" w:rsidR="00BD154D" w:rsidRPr="00905BF2" w:rsidRDefault="00BD154D" w:rsidP="00BD154D">
            <w:pPr>
              <w:spacing w:after="0" w:line="240" w:lineRule="auto"/>
              <w:jc w:val="center"/>
              <w:rPr>
                <w:rFonts w:asciiTheme="minorHAnsi" w:eastAsia="Times New Roman" w:hAnsiTheme="minorHAnsi"/>
                <w:sz w:val="18"/>
                <w:szCs w:val="18"/>
                <w:lang w:eastAsia="en-GB"/>
              </w:rPr>
            </w:pPr>
            <w:r w:rsidRPr="006C6CDA">
              <w:rPr>
                <w:rFonts w:eastAsia="Times New Roman" w:cs="Calibri"/>
                <w:color w:val="000000"/>
                <w:sz w:val="18"/>
                <w:szCs w:val="18"/>
                <w:lang w:eastAsia="en-GB"/>
              </w:rPr>
              <w:t>134 GA signed (81% within target)</w:t>
            </w:r>
          </w:p>
        </w:tc>
      </w:tr>
      <w:tr w:rsidR="00BD154D" w:rsidRPr="00090CD7" w14:paraId="0B1209B2" w14:textId="77777777" w:rsidTr="00DF2591">
        <w:trPr>
          <w:cantSplit/>
          <w:trHeight w:val="1435"/>
        </w:trPr>
        <w:tc>
          <w:tcPr>
            <w:tcW w:w="247" w:type="pct"/>
            <w:shd w:val="clear" w:color="auto" w:fill="FFFFFF" w:themeFill="background1"/>
            <w:vAlign w:val="center"/>
          </w:tcPr>
          <w:p w14:paraId="03547570" w14:textId="77777777" w:rsidR="00BD154D" w:rsidRPr="00090CD7" w:rsidRDefault="00BD154D" w:rsidP="00BD154D">
            <w:pPr>
              <w:spacing w:after="0" w:line="240" w:lineRule="auto"/>
              <w:ind w:left="113" w:right="113"/>
              <w:jc w:val="center"/>
              <w:rPr>
                <w:rFonts w:asciiTheme="minorHAnsi" w:eastAsia="Times New Roman" w:hAnsiTheme="minorHAnsi"/>
                <w:b/>
                <w:sz w:val="18"/>
                <w:szCs w:val="18"/>
                <w:lang w:eastAsia="en-GB"/>
              </w:rPr>
            </w:pPr>
            <w:r w:rsidRPr="00090CD7">
              <w:rPr>
                <w:rFonts w:asciiTheme="minorHAnsi" w:eastAsia="Times New Roman" w:hAnsiTheme="minorHAnsi"/>
                <w:b/>
                <w:sz w:val="18"/>
                <w:szCs w:val="18"/>
                <w:lang w:eastAsia="en-GB"/>
              </w:rPr>
              <w:t>PAYMENTS</w:t>
            </w:r>
          </w:p>
        </w:tc>
        <w:tc>
          <w:tcPr>
            <w:tcW w:w="888" w:type="pct"/>
            <w:shd w:val="clear" w:color="auto" w:fill="FFFFFF" w:themeFill="background1"/>
            <w:noWrap/>
            <w:vAlign w:val="center"/>
          </w:tcPr>
          <w:p w14:paraId="5A29F452" w14:textId="77777777" w:rsidR="00BD154D" w:rsidRPr="00090CD7" w:rsidRDefault="00BD154D" w:rsidP="00BD154D">
            <w:pPr>
              <w:spacing w:after="0" w:line="240" w:lineRule="auto"/>
              <w:ind w:left="113" w:right="113"/>
              <w:jc w:val="center"/>
              <w:rPr>
                <w:rFonts w:asciiTheme="minorHAnsi" w:eastAsia="Times New Roman" w:hAnsiTheme="minorHAnsi"/>
                <w:sz w:val="18"/>
                <w:szCs w:val="18"/>
                <w:lang w:eastAsia="en-GB"/>
              </w:rPr>
            </w:pPr>
            <w:r w:rsidRPr="00090CD7">
              <w:rPr>
                <w:rFonts w:asciiTheme="minorHAnsi" w:eastAsia="Times New Roman" w:hAnsiTheme="minorHAnsi"/>
                <w:sz w:val="18"/>
                <w:szCs w:val="18"/>
                <w:lang w:eastAsia="en-GB"/>
              </w:rPr>
              <w:t>N</w:t>
            </w:r>
            <w:r>
              <w:rPr>
                <w:rFonts w:asciiTheme="minorHAnsi" w:eastAsia="Times New Roman" w:hAnsiTheme="minorHAnsi"/>
                <w:sz w:val="18"/>
                <w:szCs w:val="18"/>
                <w:lang w:eastAsia="en-GB"/>
              </w:rPr>
              <w:t>/</w:t>
            </w:r>
            <w:r w:rsidRPr="00090CD7">
              <w:rPr>
                <w:rFonts w:asciiTheme="minorHAnsi" w:eastAsia="Times New Roman" w:hAnsiTheme="minorHAnsi"/>
                <w:sz w:val="18"/>
                <w:szCs w:val="18"/>
                <w:lang w:eastAsia="en-GB"/>
              </w:rPr>
              <w:t>A</w:t>
            </w:r>
          </w:p>
        </w:tc>
        <w:tc>
          <w:tcPr>
            <w:tcW w:w="1393" w:type="pct"/>
            <w:shd w:val="clear" w:color="auto" w:fill="FFFFFF" w:themeFill="background1"/>
            <w:vAlign w:val="center"/>
          </w:tcPr>
          <w:p w14:paraId="168ED532" w14:textId="77777777" w:rsidR="00BD154D" w:rsidRDefault="00BD154D" w:rsidP="00BD154D">
            <w:pPr>
              <w:spacing w:after="0" w:line="240" w:lineRule="auto"/>
              <w:jc w:val="center"/>
              <w:rPr>
                <w:rFonts w:asciiTheme="minorHAnsi" w:eastAsia="Times New Roman" w:hAnsiTheme="minorHAnsi"/>
                <w:sz w:val="18"/>
                <w:szCs w:val="18"/>
                <w:lang w:eastAsia="en-GB"/>
              </w:rPr>
            </w:pPr>
            <w:r w:rsidRPr="00FB586C">
              <w:rPr>
                <w:rFonts w:asciiTheme="minorHAnsi" w:eastAsia="Times New Roman" w:hAnsiTheme="minorHAnsi"/>
                <w:sz w:val="18"/>
                <w:szCs w:val="18"/>
                <w:lang w:eastAsia="en-GB"/>
              </w:rPr>
              <w:t xml:space="preserve">Time to </w:t>
            </w:r>
            <w:r>
              <w:rPr>
                <w:rFonts w:asciiTheme="minorHAnsi" w:eastAsia="Times New Roman" w:hAnsiTheme="minorHAnsi"/>
                <w:sz w:val="18"/>
                <w:szCs w:val="18"/>
                <w:lang w:eastAsia="en-GB"/>
              </w:rPr>
              <w:t>P</w:t>
            </w:r>
            <w:r w:rsidRPr="00FB586C">
              <w:rPr>
                <w:rFonts w:asciiTheme="minorHAnsi" w:eastAsia="Times New Roman" w:hAnsiTheme="minorHAnsi"/>
                <w:sz w:val="18"/>
                <w:szCs w:val="18"/>
                <w:lang w:eastAsia="en-GB"/>
              </w:rPr>
              <w:t xml:space="preserve">ay (TTP) </w:t>
            </w:r>
          </w:p>
          <w:p w14:paraId="00959CC2" w14:textId="77777777" w:rsidR="00BD154D" w:rsidRPr="00FB586C" w:rsidRDefault="00BD154D" w:rsidP="00BD154D">
            <w:pPr>
              <w:spacing w:after="0" w:line="240" w:lineRule="auto"/>
              <w:jc w:val="center"/>
              <w:rPr>
                <w:rFonts w:asciiTheme="minorHAnsi" w:eastAsia="Times New Roman" w:hAnsiTheme="minorHAnsi"/>
                <w:sz w:val="18"/>
                <w:szCs w:val="18"/>
                <w:lang w:eastAsia="en-GB"/>
              </w:rPr>
            </w:pPr>
            <w:r w:rsidRPr="00FB586C">
              <w:rPr>
                <w:rFonts w:asciiTheme="minorHAnsi" w:eastAsia="Times New Roman" w:hAnsiTheme="minorHAnsi"/>
                <w:sz w:val="18"/>
                <w:szCs w:val="18"/>
                <w:lang w:eastAsia="en-GB"/>
              </w:rPr>
              <w:t>(% made on time)</w:t>
            </w:r>
          </w:p>
          <w:p w14:paraId="06AB7DCB" w14:textId="77777777" w:rsidR="00BD154D" w:rsidRPr="00FB586C" w:rsidRDefault="00BD154D" w:rsidP="00BD154D">
            <w:pPr>
              <w:spacing w:after="0" w:line="240" w:lineRule="auto"/>
              <w:jc w:val="center"/>
              <w:rPr>
                <w:rFonts w:asciiTheme="minorHAnsi" w:eastAsia="Times New Roman" w:hAnsiTheme="minorHAnsi"/>
                <w:sz w:val="18"/>
                <w:szCs w:val="18"/>
                <w:lang w:eastAsia="en-GB"/>
              </w:rPr>
            </w:pPr>
            <w:r w:rsidRPr="00FB586C">
              <w:rPr>
                <w:rFonts w:asciiTheme="minorHAnsi" w:eastAsia="Times New Roman" w:hAnsiTheme="minorHAnsi"/>
                <w:sz w:val="18"/>
                <w:szCs w:val="18"/>
                <w:lang w:eastAsia="en-GB"/>
              </w:rPr>
              <w:t>-pre-financing</w:t>
            </w:r>
          </w:p>
          <w:p w14:paraId="7C059AE0" w14:textId="77777777" w:rsidR="00BD154D" w:rsidRPr="00FB586C" w:rsidRDefault="00BD154D" w:rsidP="00BD154D">
            <w:pPr>
              <w:spacing w:after="0" w:line="240" w:lineRule="auto"/>
              <w:jc w:val="center"/>
              <w:rPr>
                <w:rFonts w:asciiTheme="minorHAnsi" w:eastAsia="Times New Roman" w:hAnsiTheme="minorHAnsi"/>
                <w:sz w:val="18"/>
                <w:szCs w:val="18"/>
                <w:lang w:eastAsia="en-GB"/>
              </w:rPr>
            </w:pPr>
            <w:r w:rsidRPr="00FB586C">
              <w:rPr>
                <w:rFonts w:asciiTheme="minorHAnsi" w:eastAsia="Times New Roman" w:hAnsiTheme="minorHAnsi"/>
                <w:sz w:val="18"/>
                <w:szCs w:val="18"/>
                <w:lang w:eastAsia="en-GB"/>
              </w:rPr>
              <w:t>- interim payment</w:t>
            </w:r>
          </w:p>
          <w:p w14:paraId="7E138FAC" w14:textId="77777777" w:rsidR="00BD154D" w:rsidRPr="00FB586C" w:rsidRDefault="00BD154D" w:rsidP="00BD154D">
            <w:pPr>
              <w:spacing w:after="0" w:line="240" w:lineRule="auto"/>
              <w:jc w:val="center"/>
              <w:rPr>
                <w:rFonts w:asciiTheme="minorHAnsi" w:eastAsia="Times New Roman" w:hAnsiTheme="minorHAnsi"/>
                <w:sz w:val="18"/>
                <w:szCs w:val="18"/>
                <w:lang w:eastAsia="en-GB"/>
              </w:rPr>
            </w:pPr>
            <w:r w:rsidRPr="00FB586C">
              <w:rPr>
                <w:rFonts w:asciiTheme="minorHAnsi" w:eastAsia="Times New Roman" w:hAnsiTheme="minorHAnsi"/>
                <w:sz w:val="18"/>
                <w:szCs w:val="18"/>
                <w:lang w:eastAsia="en-GB"/>
              </w:rPr>
              <w:t>-final payment</w:t>
            </w:r>
          </w:p>
        </w:tc>
        <w:tc>
          <w:tcPr>
            <w:tcW w:w="1308" w:type="pct"/>
            <w:shd w:val="clear" w:color="auto" w:fill="FFFFFF" w:themeFill="background1"/>
            <w:vAlign w:val="center"/>
          </w:tcPr>
          <w:p w14:paraId="40A1B12E" w14:textId="3C78DA38" w:rsidR="00BD154D" w:rsidRPr="00FB586C" w:rsidRDefault="00BD154D" w:rsidP="00BD154D">
            <w:pPr>
              <w:spacing w:after="0" w:line="240" w:lineRule="auto"/>
              <w:jc w:val="center"/>
              <w:rPr>
                <w:rFonts w:asciiTheme="minorHAnsi" w:eastAsia="Times New Roman" w:hAnsiTheme="minorHAnsi"/>
                <w:sz w:val="18"/>
                <w:szCs w:val="18"/>
                <w:lang w:eastAsia="en-GB"/>
              </w:rPr>
            </w:pPr>
            <w:r w:rsidRPr="006C6CDA">
              <w:rPr>
                <w:rFonts w:eastAsia="Times New Roman" w:cs="Calibri"/>
                <w:color w:val="000000"/>
                <w:sz w:val="18"/>
                <w:szCs w:val="18"/>
                <w:lang w:eastAsia="en-GB"/>
              </w:rPr>
              <w:t xml:space="preserve">Average TTG in calendar days </w:t>
            </w:r>
          </w:p>
        </w:tc>
        <w:tc>
          <w:tcPr>
            <w:tcW w:w="1164" w:type="pct"/>
            <w:shd w:val="clear" w:color="auto" w:fill="auto"/>
            <w:vAlign w:val="center"/>
          </w:tcPr>
          <w:p w14:paraId="1616FDC4" w14:textId="7452DB8B" w:rsidR="00BD154D" w:rsidRPr="00905BF2" w:rsidRDefault="00BD154D" w:rsidP="00BD154D">
            <w:pPr>
              <w:spacing w:after="0" w:line="240" w:lineRule="auto"/>
              <w:jc w:val="center"/>
              <w:rPr>
                <w:rFonts w:asciiTheme="minorHAnsi" w:eastAsia="Times New Roman" w:hAnsiTheme="minorHAnsi"/>
                <w:sz w:val="18"/>
                <w:szCs w:val="18"/>
                <w:lang w:eastAsia="en-GB"/>
              </w:rPr>
            </w:pPr>
            <w:r w:rsidRPr="006C6CDA">
              <w:rPr>
                <w:rFonts w:eastAsia="Times New Roman" w:cs="Calibri"/>
                <w:color w:val="000000"/>
                <w:sz w:val="18"/>
                <w:szCs w:val="18"/>
                <w:lang w:eastAsia="en-GB"/>
              </w:rPr>
              <w:t>Average TTG: 243 days</w:t>
            </w:r>
          </w:p>
        </w:tc>
      </w:tr>
      <w:tr w:rsidR="00BD154D" w:rsidRPr="00090CD7" w14:paraId="2EA0591F" w14:textId="77777777" w:rsidTr="00DF2591">
        <w:trPr>
          <w:cantSplit/>
          <w:trHeight w:val="1134"/>
        </w:trPr>
        <w:tc>
          <w:tcPr>
            <w:tcW w:w="247" w:type="pct"/>
            <w:shd w:val="clear" w:color="auto" w:fill="FFFFFF" w:themeFill="background1"/>
            <w:vAlign w:val="center"/>
          </w:tcPr>
          <w:p w14:paraId="4E0A9BB3" w14:textId="77777777" w:rsidR="00BD154D" w:rsidRPr="00090CD7" w:rsidRDefault="00BD154D" w:rsidP="00BD154D">
            <w:pPr>
              <w:spacing w:after="0" w:line="240" w:lineRule="auto"/>
              <w:ind w:left="113" w:right="113"/>
              <w:jc w:val="center"/>
              <w:rPr>
                <w:rFonts w:asciiTheme="minorHAnsi" w:eastAsia="Times New Roman" w:hAnsiTheme="minorHAnsi"/>
                <w:b/>
                <w:sz w:val="18"/>
                <w:szCs w:val="18"/>
                <w:lang w:eastAsia="en-GB"/>
              </w:rPr>
            </w:pPr>
            <w:r w:rsidRPr="00090CD7">
              <w:rPr>
                <w:rFonts w:asciiTheme="minorHAnsi" w:eastAsia="Times New Roman" w:hAnsiTheme="minorHAnsi"/>
                <w:b/>
                <w:sz w:val="18"/>
                <w:szCs w:val="18"/>
                <w:lang w:eastAsia="en-GB"/>
              </w:rPr>
              <w:t>HR</w:t>
            </w:r>
          </w:p>
        </w:tc>
        <w:tc>
          <w:tcPr>
            <w:tcW w:w="888" w:type="pct"/>
            <w:shd w:val="clear" w:color="auto" w:fill="FFFFFF" w:themeFill="background1"/>
            <w:noWrap/>
            <w:vAlign w:val="center"/>
          </w:tcPr>
          <w:p w14:paraId="0803F80C" w14:textId="77777777" w:rsidR="00BD154D" w:rsidRPr="00090CD7" w:rsidRDefault="00BD154D" w:rsidP="00BD154D">
            <w:pPr>
              <w:spacing w:after="0" w:line="240" w:lineRule="auto"/>
              <w:ind w:left="113" w:right="113"/>
              <w:jc w:val="center"/>
              <w:rPr>
                <w:rFonts w:asciiTheme="minorHAnsi" w:eastAsia="Times New Roman" w:hAnsiTheme="minorHAnsi"/>
                <w:sz w:val="18"/>
                <w:szCs w:val="18"/>
                <w:lang w:eastAsia="en-GB"/>
              </w:rPr>
            </w:pPr>
            <w:r w:rsidRPr="00090CD7">
              <w:rPr>
                <w:rFonts w:asciiTheme="minorHAnsi" w:eastAsia="Times New Roman" w:hAnsiTheme="minorHAnsi"/>
                <w:sz w:val="18"/>
                <w:szCs w:val="18"/>
                <w:lang w:eastAsia="en-GB"/>
              </w:rPr>
              <w:t>N</w:t>
            </w:r>
            <w:r>
              <w:rPr>
                <w:rFonts w:asciiTheme="minorHAnsi" w:eastAsia="Times New Roman" w:hAnsiTheme="minorHAnsi"/>
                <w:sz w:val="18"/>
                <w:szCs w:val="18"/>
                <w:lang w:eastAsia="en-GB"/>
              </w:rPr>
              <w:t>/</w:t>
            </w:r>
            <w:r w:rsidRPr="00090CD7">
              <w:rPr>
                <w:rFonts w:asciiTheme="minorHAnsi" w:eastAsia="Times New Roman" w:hAnsiTheme="minorHAnsi"/>
                <w:sz w:val="18"/>
                <w:szCs w:val="18"/>
                <w:lang w:eastAsia="en-GB"/>
              </w:rPr>
              <w:t>A</w:t>
            </w:r>
          </w:p>
        </w:tc>
        <w:tc>
          <w:tcPr>
            <w:tcW w:w="1393" w:type="pct"/>
            <w:shd w:val="clear" w:color="auto" w:fill="FFFFFF" w:themeFill="background1"/>
            <w:vAlign w:val="center"/>
          </w:tcPr>
          <w:p w14:paraId="1B4FABEB" w14:textId="77777777" w:rsidR="00BD154D" w:rsidRPr="00FB586C" w:rsidRDefault="00BD154D" w:rsidP="00BD154D">
            <w:pPr>
              <w:spacing w:after="0" w:line="240" w:lineRule="auto"/>
              <w:jc w:val="center"/>
              <w:rPr>
                <w:rFonts w:asciiTheme="minorHAnsi" w:eastAsia="Times New Roman" w:hAnsiTheme="minorHAnsi"/>
                <w:sz w:val="18"/>
                <w:szCs w:val="18"/>
                <w:lang w:eastAsia="en-GB"/>
              </w:rPr>
            </w:pPr>
            <w:r w:rsidRPr="00FB586C">
              <w:rPr>
                <w:rFonts w:asciiTheme="minorHAnsi" w:eastAsia="Times New Roman" w:hAnsiTheme="minorHAnsi"/>
                <w:sz w:val="18"/>
                <w:szCs w:val="18"/>
                <w:lang w:eastAsia="en-GB"/>
              </w:rPr>
              <w:t>Vacancy rate (%)</w:t>
            </w:r>
          </w:p>
        </w:tc>
        <w:tc>
          <w:tcPr>
            <w:tcW w:w="1308" w:type="pct"/>
            <w:shd w:val="clear" w:color="auto" w:fill="FFFFFF" w:themeFill="background1"/>
            <w:vAlign w:val="center"/>
          </w:tcPr>
          <w:p w14:paraId="5A831BC1" w14:textId="5FEECFA2" w:rsidR="00BD154D" w:rsidRPr="00FB586C" w:rsidRDefault="00BD154D" w:rsidP="00BD154D">
            <w:pPr>
              <w:spacing w:after="0" w:line="240" w:lineRule="auto"/>
              <w:jc w:val="center"/>
              <w:rPr>
                <w:rFonts w:asciiTheme="minorHAnsi" w:eastAsia="Times New Roman" w:hAnsiTheme="minorHAnsi"/>
                <w:sz w:val="18"/>
                <w:szCs w:val="18"/>
                <w:lang w:eastAsia="en-GB"/>
              </w:rPr>
            </w:pPr>
            <w:r w:rsidRPr="006C6CDA">
              <w:rPr>
                <w:rFonts w:eastAsia="Times New Roman" w:cs="Calibri"/>
                <w:color w:val="000000"/>
                <w:sz w:val="18"/>
                <w:szCs w:val="18"/>
                <w:lang w:eastAsia="en-GB"/>
              </w:rPr>
              <w:t>Maximum TTG in calendar days</w:t>
            </w:r>
          </w:p>
        </w:tc>
        <w:tc>
          <w:tcPr>
            <w:tcW w:w="1164" w:type="pct"/>
            <w:shd w:val="clear" w:color="auto" w:fill="auto"/>
            <w:vAlign w:val="center"/>
          </w:tcPr>
          <w:p w14:paraId="72CC9C98" w14:textId="113DEADC" w:rsidR="00BD154D" w:rsidRPr="00905BF2" w:rsidRDefault="00BD154D" w:rsidP="00BD154D">
            <w:pPr>
              <w:spacing w:after="0" w:line="240" w:lineRule="auto"/>
              <w:jc w:val="center"/>
              <w:rPr>
                <w:rFonts w:asciiTheme="minorHAnsi" w:eastAsia="Times New Roman" w:hAnsiTheme="minorHAnsi"/>
                <w:sz w:val="18"/>
                <w:szCs w:val="18"/>
                <w:lang w:eastAsia="en-GB"/>
              </w:rPr>
            </w:pPr>
            <w:r w:rsidRPr="006C6CDA">
              <w:rPr>
                <w:rFonts w:eastAsia="Times New Roman" w:cs="Calibri"/>
                <w:color w:val="000000"/>
                <w:sz w:val="18"/>
                <w:szCs w:val="18"/>
                <w:lang w:eastAsia="en-GB"/>
              </w:rPr>
              <w:t>Maximum TTG: 589 days</w:t>
            </w:r>
          </w:p>
        </w:tc>
      </w:tr>
      <w:tr w:rsidR="00BD154D" w:rsidRPr="00090CD7" w14:paraId="55F22256" w14:textId="77777777" w:rsidTr="00DF2591">
        <w:trPr>
          <w:cantSplit/>
          <w:trHeight w:val="1134"/>
        </w:trPr>
        <w:tc>
          <w:tcPr>
            <w:tcW w:w="247" w:type="pct"/>
            <w:vMerge w:val="restart"/>
            <w:tcBorders>
              <w:top w:val="single" w:sz="4" w:space="0" w:color="auto"/>
              <w:left w:val="single" w:sz="4" w:space="0" w:color="auto"/>
              <w:right w:val="single" w:sz="4" w:space="0" w:color="auto"/>
            </w:tcBorders>
            <w:shd w:val="clear" w:color="auto" w:fill="FFFFFF" w:themeFill="background1"/>
            <w:vAlign w:val="center"/>
          </w:tcPr>
          <w:p w14:paraId="5887D54C" w14:textId="77777777" w:rsidR="00BD154D" w:rsidRPr="00090CD7" w:rsidRDefault="00BD154D" w:rsidP="00BD154D">
            <w:pPr>
              <w:spacing w:after="0" w:line="240" w:lineRule="auto"/>
              <w:ind w:left="113" w:right="113"/>
              <w:jc w:val="center"/>
              <w:rPr>
                <w:rFonts w:asciiTheme="minorHAnsi" w:eastAsia="Times New Roman" w:hAnsiTheme="minorHAnsi"/>
                <w:b/>
                <w:sz w:val="18"/>
                <w:szCs w:val="18"/>
                <w:lang w:eastAsia="en-GB"/>
              </w:rPr>
            </w:pPr>
            <w:r w:rsidRPr="00090CD7">
              <w:rPr>
                <w:rFonts w:asciiTheme="minorHAnsi" w:eastAsia="Times New Roman" w:hAnsiTheme="minorHAnsi"/>
                <w:b/>
                <w:sz w:val="18"/>
                <w:szCs w:val="18"/>
                <w:lang w:eastAsia="en-GB"/>
              </w:rPr>
              <w:t>JU EFFICIENCY</w:t>
            </w:r>
          </w:p>
        </w:tc>
        <w:tc>
          <w:tcPr>
            <w:tcW w:w="888" w:type="pct"/>
            <w:tcBorders>
              <w:top w:val="single" w:sz="4" w:space="0" w:color="auto"/>
              <w:left w:val="single" w:sz="4" w:space="0" w:color="auto"/>
              <w:bottom w:val="single" w:sz="4" w:space="0" w:color="auto"/>
              <w:right w:val="single" w:sz="4" w:space="0" w:color="auto"/>
            </w:tcBorders>
            <w:shd w:val="clear" w:color="auto" w:fill="FFFFFF" w:themeFill="background1"/>
            <w:noWrap/>
            <w:textDirection w:val="btLr"/>
            <w:vAlign w:val="center"/>
          </w:tcPr>
          <w:p w14:paraId="6E0EB90C" w14:textId="15B667C6" w:rsidR="00BD154D" w:rsidRPr="00090CD7" w:rsidRDefault="00BD154D" w:rsidP="00BD154D">
            <w:pPr>
              <w:spacing w:after="0" w:line="240" w:lineRule="auto"/>
              <w:ind w:left="113" w:right="113"/>
              <w:jc w:val="center"/>
              <w:rPr>
                <w:rFonts w:asciiTheme="minorHAnsi" w:eastAsia="Times New Roman" w:hAnsiTheme="minorHAnsi"/>
                <w:sz w:val="18"/>
                <w:szCs w:val="18"/>
                <w:lang w:eastAsia="en-GB"/>
              </w:rPr>
            </w:pPr>
            <w:r w:rsidRPr="006C6CDA">
              <w:rPr>
                <w:rFonts w:eastAsia="Times New Roman" w:cs="Calibri"/>
                <w:color w:val="000000"/>
                <w:sz w:val="18"/>
                <w:szCs w:val="18"/>
                <w:lang w:eastAsia="en-GB"/>
              </w:rPr>
              <w:t>NA</w:t>
            </w:r>
          </w:p>
        </w:tc>
        <w:tc>
          <w:tcPr>
            <w:tcW w:w="139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350178" w14:textId="11B7E2E9" w:rsidR="00BD154D" w:rsidRPr="00FB586C" w:rsidRDefault="00BD154D" w:rsidP="00BD154D">
            <w:pPr>
              <w:spacing w:after="0" w:line="240" w:lineRule="auto"/>
              <w:jc w:val="center"/>
              <w:rPr>
                <w:rFonts w:asciiTheme="minorHAnsi" w:eastAsia="Times New Roman" w:hAnsiTheme="minorHAnsi"/>
                <w:sz w:val="18"/>
                <w:szCs w:val="18"/>
                <w:lang w:eastAsia="en-GB"/>
              </w:rPr>
            </w:pPr>
            <w:r w:rsidRPr="006C6CDA">
              <w:rPr>
                <w:rFonts w:eastAsia="Times New Roman" w:cs="Calibri"/>
                <w:color w:val="000000"/>
                <w:sz w:val="18"/>
                <w:szCs w:val="18"/>
                <w:lang w:eastAsia="en-GB"/>
              </w:rPr>
              <w:t>Time to sign (TTS) grant agreements from the date of informing successful applicants (information letters)</w:t>
            </w:r>
          </w:p>
        </w:tc>
        <w:tc>
          <w:tcPr>
            <w:tcW w:w="130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863189" w14:textId="571A82C7" w:rsidR="00BD154D" w:rsidRPr="00FB586C" w:rsidRDefault="00BD154D" w:rsidP="00BD154D">
            <w:pPr>
              <w:spacing w:after="0" w:line="240" w:lineRule="auto"/>
              <w:jc w:val="center"/>
              <w:rPr>
                <w:rFonts w:asciiTheme="minorHAnsi" w:eastAsia="Times New Roman" w:hAnsiTheme="minorHAnsi"/>
                <w:sz w:val="18"/>
                <w:szCs w:val="18"/>
                <w:lang w:eastAsia="en-GB"/>
              </w:rPr>
            </w:pPr>
            <w:r w:rsidRPr="006C6CDA">
              <w:rPr>
                <w:rFonts w:eastAsia="Times New Roman" w:cs="Calibri"/>
                <w:color w:val="000000"/>
                <w:sz w:val="18"/>
                <w:szCs w:val="18"/>
                <w:lang w:eastAsia="en-GB"/>
              </w:rPr>
              <w:t xml:space="preserve">Number and % of grants signed within target </w:t>
            </w:r>
          </w:p>
        </w:tc>
        <w:tc>
          <w:tcPr>
            <w:tcW w:w="1164" w:type="pct"/>
            <w:tcBorders>
              <w:top w:val="single" w:sz="4" w:space="0" w:color="auto"/>
              <w:left w:val="single" w:sz="4" w:space="0" w:color="auto"/>
              <w:bottom w:val="single" w:sz="4" w:space="0" w:color="auto"/>
              <w:right w:val="single" w:sz="4" w:space="0" w:color="auto"/>
            </w:tcBorders>
            <w:shd w:val="clear" w:color="auto" w:fill="auto"/>
            <w:vAlign w:val="center"/>
          </w:tcPr>
          <w:p w14:paraId="76271F8C" w14:textId="42437F44" w:rsidR="00BD154D" w:rsidRPr="00905BF2" w:rsidRDefault="00BD154D" w:rsidP="00BD154D">
            <w:pPr>
              <w:spacing w:after="0" w:line="240" w:lineRule="auto"/>
              <w:jc w:val="center"/>
              <w:rPr>
                <w:rFonts w:asciiTheme="minorHAnsi" w:eastAsia="Times New Roman" w:hAnsiTheme="minorHAnsi"/>
                <w:sz w:val="18"/>
                <w:szCs w:val="18"/>
                <w:lang w:eastAsia="en-GB"/>
              </w:rPr>
            </w:pPr>
            <w:r w:rsidRPr="006C6CDA">
              <w:rPr>
                <w:rFonts w:eastAsia="Times New Roman" w:cs="Calibri"/>
                <w:color w:val="000000"/>
                <w:sz w:val="18"/>
                <w:szCs w:val="18"/>
                <w:lang w:eastAsia="en-GB"/>
              </w:rPr>
              <w:t>134 GA signed</w:t>
            </w:r>
          </w:p>
        </w:tc>
      </w:tr>
      <w:tr w:rsidR="00BD154D" w:rsidRPr="00090CD7" w14:paraId="666621F9" w14:textId="77777777" w:rsidTr="00DF2591">
        <w:trPr>
          <w:cantSplit/>
          <w:trHeight w:val="1134"/>
        </w:trPr>
        <w:tc>
          <w:tcPr>
            <w:tcW w:w="247" w:type="pct"/>
            <w:vMerge/>
            <w:tcBorders>
              <w:left w:val="single" w:sz="4" w:space="0" w:color="auto"/>
              <w:bottom w:val="single" w:sz="4" w:space="0" w:color="auto"/>
              <w:right w:val="single" w:sz="4" w:space="0" w:color="auto"/>
            </w:tcBorders>
            <w:shd w:val="clear" w:color="auto" w:fill="FFFFFF" w:themeFill="background1"/>
            <w:vAlign w:val="center"/>
          </w:tcPr>
          <w:p w14:paraId="451C2D69" w14:textId="77777777" w:rsidR="00BD154D" w:rsidRPr="00090CD7" w:rsidRDefault="00BD154D" w:rsidP="00BD154D">
            <w:pPr>
              <w:spacing w:after="0" w:line="240" w:lineRule="auto"/>
              <w:ind w:left="113" w:right="113"/>
              <w:jc w:val="center"/>
              <w:rPr>
                <w:rFonts w:asciiTheme="minorHAnsi" w:eastAsia="Times New Roman" w:hAnsiTheme="minorHAnsi"/>
                <w:b/>
                <w:sz w:val="18"/>
                <w:szCs w:val="18"/>
                <w:lang w:eastAsia="en-GB"/>
              </w:rPr>
            </w:pPr>
          </w:p>
        </w:tc>
        <w:tc>
          <w:tcPr>
            <w:tcW w:w="88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06EBC2" w14:textId="77777777" w:rsidR="00BD154D" w:rsidRPr="00090CD7" w:rsidRDefault="00BD154D" w:rsidP="00BD154D">
            <w:pPr>
              <w:spacing w:after="0" w:line="240" w:lineRule="auto"/>
              <w:ind w:left="113" w:right="113"/>
              <w:jc w:val="center"/>
              <w:rPr>
                <w:rFonts w:asciiTheme="minorHAnsi" w:eastAsia="Times New Roman" w:hAnsiTheme="minorHAnsi"/>
                <w:sz w:val="18"/>
                <w:szCs w:val="18"/>
                <w:lang w:eastAsia="en-GB"/>
              </w:rPr>
            </w:pPr>
            <w:r w:rsidRPr="00090CD7">
              <w:rPr>
                <w:rFonts w:asciiTheme="minorHAnsi" w:eastAsia="Times New Roman" w:hAnsiTheme="minorHAnsi"/>
                <w:sz w:val="18"/>
                <w:szCs w:val="18"/>
                <w:lang w:eastAsia="en-GB"/>
              </w:rPr>
              <w:t>N</w:t>
            </w:r>
            <w:r>
              <w:rPr>
                <w:rFonts w:asciiTheme="minorHAnsi" w:eastAsia="Times New Roman" w:hAnsiTheme="minorHAnsi"/>
                <w:sz w:val="18"/>
                <w:szCs w:val="18"/>
                <w:lang w:eastAsia="en-GB"/>
              </w:rPr>
              <w:t>/</w:t>
            </w:r>
            <w:r w:rsidRPr="00090CD7">
              <w:rPr>
                <w:rFonts w:asciiTheme="minorHAnsi" w:eastAsia="Times New Roman" w:hAnsiTheme="minorHAnsi"/>
                <w:sz w:val="18"/>
                <w:szCs w:val="18"/>
                <w:lang w:eastAsia="en-GB"/>
              </w:rPr>
              <w:t>A</w:t>
            </w:r>
          </w:p>
        </w:tc>
        <w:tc>
          <w:tcPr>
            <w:tcW w:w="139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8F70C7" w14:textId="77777777" w:rsidR="00BD154D" w:rsidRPr="00FB586C" w:rsidRDefault="00BD154D" w:rsidP="00BD154D">
            <w:pPr>
              <w:spacing w:after="0" w:line="240" w:lineRule="auto"/>
              <w:jc w:val="center"/>
              <w:rPr>
                <w:rFonts w:asciiTheme="minorHAnsi" w:eastAsia="Times New Roman" w:hAnsiTheme="minorHAnsi"/>
                <w:sz w:val="18"/>
                <w:szCs w:val="18"/>
                <w:lang w:eastAsia="en-GB"/>
              </w:rPr>
            </w:pPr>
            <w:r w:rsidRPr="00FB586C">
              <w:rPr>
                <w:rFonts w:asciiTheme="minorHAnsi" w:eastAsia="Times New Roman" w:hAnsiTheme="minorHAnsi"/>
                <w:sz w:val="18"/>
                <w:szCs w:val="18"/>
                <w:lang w:eastAsia="en-GB"/>
              </w:rPr>
              <w:t>Administrative budget:</w:t>
            </w:r>
          </w:p>
          <w:p w14:paraId="7AE6736E" w14:textId="77777777" w:rsidR="00BD154D" w:rsidRPr="00FB586C" w:rsidRDefault="00BD154D" w:rsidP="00BD154D">
            <w:pPr>
              <w:spacing w:after="0" w:line="240" w:lineRule="auto"/>
              <w:jc w:val="center"/>
              <w:rPr>
                <w:rFonts w:asciiTheme="minorHAnsi" w:eastAsia="Times New Roman" w:hAnsiTheme="minorHAnsi"/>
                <w:sz w:val="18"/>
                <w:szCs w:val="18"/>
                <w:lang w:eastAsia="en-GB"/>
              </w:rPr>
            </w:pPr>
            <w:r w:rsidRPr="00FB586C">
              <w:rPr>
                <w:rFonts w:asciiTheme="minorHAnsi" w:eastAsia="Times New Roman" w:hAnsiTheme="minorHAnsi"/>
                <w:sz w:val="18"/>
                <w:szCs w:val="18"/>
                <w:lang w:eastAsia="en-GB"/>
              </w:rPr>
              <w:t>Number and % of total of late payments</w:t>
            </w:r>
          </w:p>
        </w:tc>
        <w:tc>
          <w:tcPr>
            <w:tcW w:w="130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A0A1A4" w14:textId="7AC3BEE8" w:rsidR="00BD154D" w:rsidRPr="00FB586C" w:rsidRDefault="00BD154D" w:rsidP="00BD154D">
            <w:pPr>
              <w:spacing w:after="0" w:line="240" w:lineRule="auto"/>
              <w:jc w:val="center"/>
              <w:rPr>
                <w:rFonts w:asciiTheme="minorHAnsi" w:eastAsia="Times New Roman" w:hAnsiTheme="minorHAnsi"/>
                <w:sz w:val="18"/>
                <w:szCs w:val="18"/>
                <w:lang w:eastAsia="en-GB"/>
              </w:rPr>
            </w:pPr>
            <w:r w:rsidRPr="006C6CDA">
              <w:rPr>
                <w:rFonts w:eastAsia="Times New Roman" w:cs="Calibri"/>
                <w:color w:val="000000"/>
                <w:sz w:val="18"/>
                <w:szCs w:val="18"/>
                <w:lang w:eastAsia="en-GB"/>
              </w:rPr>
              <w:t>Average TT</w:t>
            </w:r>
            <w:r>
              <w:rPr>
                <w:rFonts w:eastAsia="Times New Roman" w:cs="Calibri"/>
                <w:color w:val="000000"/>
                <w:sz w:val="18"/>
                <w:szCs w:val="18"/>
                <w:lang w:eastAsia="en-GB"/>
              </w:rPr>
              <w:t>S</w:t>
            </w:r>
            <w:r w:rsidRPr="006C6CDA">
              <w:rPr>
                <w:rFonts w:eastAsia="Times New Roman" w:cs="Calibri"/>
                <w:color w:val="000000"/>
                <w:sz w:val="18"/>
                <w:szCs w:val="18"/>
                <w:lang w:eastAsia="en-GB"/>
              </w:rPr>
              <w:t xml:space="preserve"> in calendar days </w:t>
            </w:r>
          </w:p>
        </w:tc>
        <w:tc>
          <w:tcPr>
            <w:tcW w:w="1164" w:type="pct"/>
            <w:tcBorders>
              <w:top w:val="single" w:sz="4" w:space="0" w:color="auto"/>
              <w:left w:val="single" w:sz="4" w:space="0" w:color="auto"/>
              <w:bottom w:val="single" w:sz="4" w:space="0" w:color="auto"/>
              <w:right w:val="single" w:sz="4" w:space="0" w:color="auto"/>
            </w:tcBorders>
            <w:shd w:val="clear" w:color="auto" w:fill="auto"/>
            <w:vAlign w:val="center"/>
          </w:tcPr>
          <w:p w14:paraId="3E65E745" w14:textId="3A3A57CC" w:rsidR="00BD154D" w:rsidRPr="00905BF2" w:rsidRDefault="00BD154D" w:rsidP="00BD154D">
            <w:pPr>
              <w:spacing w:after="0" w:line="240" w:lineRule="auto"/>
              <w:jc w:val="center"/>
              <w:rPr>
                <w:rFonts w:asciiTheme="minorHAnsi" w:eastAsia="Times New Roman" w:hAnsiTheme="minorHAnsi"/>
                <w:sz w:val="18"/>
                <w:szCs w:val="18"/>
                <w:lang w:eastAsia="en-GB"/>
              </w:rPr>
            </w:pPr>
            <w:r w:rsidRPr="006C6CDA">
              <w:rPr>
                <w:rFonts w:eastAsia="Times New Roman" w:cs="Calibri"/>
                <w:color w:val="000000"/>
                <w:sz w:val="18"/>
                <w:szCs w:val="18"/>
                <w:lang w:eastAsia="en-GB"/>
              </w:rPr>
              <w:t>Average TTS: 130 days</w:t>
            </w:r>
          </w:p>
        </w:tc>
      </w:tr>
    </w:tbl>
    <w:p w14:paraId="77323A7A" w14:textId="77777777" w:rsidR="00BD154D" w:rsidRPr="00090CD7" w:rsidRDefault="00BD154D" w:rsidP="00BD154D">
      <w:pPr>
        <w:spacing w:after="0" w:line="240" w:lineRule="auto"/>
        <w:jc w:val="both"/>
        <w:rPr>
          <w:rFonts w:asciiTheme="minorHAnsi" w:hAnsiTheme="minorHAnsi"/>
          <w:b/>
          <w:sz w:val="18"/>
          <w:szCs w:val="18"/>
          <w:u w:val="single"/>
        </w:rPr>
      </w:pPr>
    </w:p>
    <w:p w14:paraId="5CFA3F2C" w14:textId="77777777" w:rsidR="00BD154D" w:rsidRPr="00090CD7" w:rsidRDefault="00BD154D" w:rsidP="00BD154D">
      <w:pPr>
        <w:jc w:val="center"/>
        <w:rPr>
          <w:rFonts w:asciiTheme="minorHAnsi" w:hAnsiTheme="minorHAnsi"/>
          <w:b/>
          <w:sz w:val="24"/>
          <w:szCs w:val="24"/>
        </w:rPr>
      </w:pPr>
    </w:p>
    <w:p w14:paraId="075667B6" w14:textId="77777777" w:rsidR="00BD154D" w:rsidRDefault="00BD154D" w:rsidP="00BD154D">
      <w:pPr>
        <w:pStyle w:val="Heading2"/>
        <w:ind w:left="567" w:hanging="576"/>
        <w:rPr>
          <w:rFonts w:asciiTheme="minorHAnsi" w:hAnsiTheme="minorHAnsi"/>
          <w:lang w:val="en-US"/>
        </w:rPr>
      </w:pPr>
      <w:bookmarkStart w:id="258" w:name="_Toc98496391"/>
      <w:bookmarkStart w:id="259" w:name="_Toc506198329"/>
      <w:bookmarkStart w:id="260" w:name="_Toc1731207"/>
      <w:bookmarkStart w:id="261" w:name="_Toc101516108"/>
      <w:r w:rsidRPr="00A71890">
        <w:rPr>
          <w:rStyle w:val="Heading2Char"/>
          <w:b/>
        </w:rPr>
        <w:lastRenderedPageBreak/>
        <w:t>Annex</w:t>
      </w:r>
      <w:r w:rsidRPr="00A71890">
        <w:rPr>
          <w:lang w:val="en-US"/>
        </w:rPr>
        <w:t xml:space="preserve"> </w:t>
      </w:r>
      <w:r w:rsidRPr="00B04B98">
        <w:t>6</w:t>
      </w:r>
      <w:r w:rsidRPr="00A71890">
        <w:rPr>
          <w:lang w:val="en-US"/>
        </w:rPr>
        <w:t xml:space="preserve"> - </w:t>
      </w:r>
      <w:r w:rsidRPr="00763239">
        <w:t>Indicators for monitoring cross-cutting issues</w:t>
      </w:r>
      <w:r w:rsidRPr="004133DA">
        <w:rPr>
          <w:rFonts w:asciiTheme="minorHAnsi" w:hAnsiTheme="minorHAnsi"/>
          <w:lang w:val="en-US"/>
        </w:rPr>
        <w:t xml:space="preserve"> </w:t>
      </w:r>
      <w:r>
        <w:rPr>
          <w:rStyle w:val="FootnoteReference"/>
          <w:rFonts w:asciiTheme="minorHAnsi" w:hAnsiTheme="minorHAnsi"/>
          <w:lang w:val="en-US"/>
        </w:rPr>
        <w:footnoteReference w:id="128"/>
      </w:r>
      <w:bookmarkEnd w:id="258"/>
      <w:bookmarkEnd w:id="261"/>
    </w:p>
    <w:p w14:paraId="18D553BD" w14:textId="77777777" w:rsidR="00BD154D" w:rsidRPr="00826F7E" w:rsidRDefault="00BD154D" w:rsidP="00BD154D">
      <w:pPr>
        <w:rPr>
          <w:lang w:val="en-US"/>
        </w:rPr>
      </w:pPr>
    </w:p>
    <w:tbl>
      <w:tblPr>
        <w:tblW w:w="920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829"/>
        <w:gridCol w:w="1916"/>
        <w:gridCol w:w="2320"/>
        <w:gridCol w:w="4139"/>
      </w:tblGrid>
      <w:tr w:rsidR="00BD154D" w:rsidRPr="00826F7E" w14:paraId="663BC7A5" w14:textId="77777777" w:rsidTr="00DF2591">
        <w:trPr>
          <w:trHeight w:val="495"/>
        </w:trPr>
        <w:tc>
          <w:tcPr>
            <w:tcW w:w="829" w:type="dxa"/>
            <w:shd w:val="clear" w:color="auto" w:fill="0070C0"/>
            <w:vAlign w:val="center"/>
            <w:hideMark/>
          </w:tcPr>
          <w:p w14:paraId="4AFA29FD" w14:textId="77777777" w:rsidR="00BD154D" w:rsidRPr="00826F7E" w:rsidRDefault="00BD154D" w:rsidP="00DF2591">
            <w:pPr>
              <w:spacing w:after="0" w:line="240" w:lineRule="auto"/>
              <w:jc w:val="center"/>
              <w:rPr>
                <w:rFonts w:eastAsia="Times New Roman" w:cs="Calibri"/>
                <w:b/>
                <w:bCs/>
                <w:color w:val="FFFFFF" w:themeColor="background1"/>
                <w:sz w:val="18"/>
                <w:szCs w:val="18"/>
                <w:lang w:val="en-US" w:eastAsia="en-GB"/>
              </w:rPr>
            </w:pPr>
            <w:r w:rsidRPr="00826F7E">
              <w:rPr>
                <w:rFonts w:eastAsia="Times New Roman" w:cs="Calibri"/>
                <w:b/>
                <w:bCs/>
                <w:color w:val="FFFFFF" w:themeColor="background1"/>
                <w:sz w:val="18"/>
                <w:szCs w:val="18"/>
                <w:lang w:val="en-US" w:eastAsia="en-GB"/>
              </w:rPr>
              <w:t>Number</w:t>
            </w:r>
          </w:p>
        </w:tc>
        <w:tc>
          <w:tcPr>
            <w:tcW w:w="1916" w:type="dxa"/>
            <w:shd w:val="clear" w:color="auto" w:fill="0070C0"/>
            <w:vAlign w:val="center"/>
            <w:hideMark/>
          </w:tcPr>
          <w:p w14:paraId="7A29AED1" w14:textId="77777777" w:rsidR="00BD154D" w:rsidRPr="00826F7E" w:rsidRDefault="00BD154D" w:rsidP="00DF2591">
            <w:pPr>
              <w:spacing w:after="0" w:line="240" w:lineRule="auto"/>
              <w:jc w:val="center"/>
              <w:rPr>
                <w:rFonts w:eastAsia="Times New Roman" w:cs="Calibri"/>
                <w:b/>
                <w:bCs/>
                <w:color w:val="FFFFFF" w:themeColor="background1"/>
                <w:sz w:val="18"/>
                <w:szCs w:val="18"/>
                <w:lang w:val="en-US" w:eastAsia="en-GB"/>
              </w:rPr>
            </w:pPr>
            <w:r w:rsidRPr="00826F7E">
              <w:rPr>
                <w:rFonts w:eastAsia="Times New Roman" w:cs="Calibri"/>
                <w:b/>
                <w:bCs/>
                <w:color w:val="FFFFFF" w:themeColor="background1"/>
                <w:sz w:val="18"/>
                <w:szCs w:val="18"/>
                <w:lang w:val="en-US" w:eastAsia="en-GB"/>
              </w:rPr>
              <w:t>Definition/Responding to question</w:t>
            </w:r>
          </w:p>
        </w:tc>
        <w:tc>
          <w:tcPr>
            <w:tcW w:w="2320" w:type="dxa"/>
            <w:shd w:val="clear" w:color="auto" w:fill="0070C0"/>
            <w:vAlign w:val="center"/>
            <w:hideMark/>
          </w:tcPr>
          <w:p w14:paraId="2C2474F3" w14:textId="77777777" w:rsidR="00BD154D" w:rsidRPr="00826F7E" w:rsidRDefault="00BD154D" w:rsidP="00DF2591">
            <w:pPr>
              <w:spacing w:after="0" w:line="240" w:lineRule="auto"/>
              <w:jc w:val="center"/>
              <w:rPr>
                <w:rFonts w:eastAsia="Times New Roman" w:cs="Calibri"/>
                <w:b/>
                <w:bCs/>
                <w:color w:val="FFFFFF" w:themeColor="background1"/>
                <w:sz w:val="18"/>
                <w:szCs w:val="18"/>
                <w:lang w:val="en-US" w:eastAsia="en-GB"/>
              </w:rPr>
            </w:pPr>
            <w:r w:rsidRPr="00826F7E">
              <w:rPr>
                <w:rFonts w:eastAsia="Times New Roman" w:cs="Calibri"/>
                <w:b/>
                <w:bCs/>
                <w:color w:val="FFFFFF" w:themeColor="background1"/>
                <w:sz w:val="18"/>
                <w:szCs w:val="18"/>
                <w:lang w:val="en-US" w:eastAsia="en-GB"/>
              </w:rPr>
              <w:t>Type of data required</w:t>
            </w:r>
          </w:p>
        </w:tc>
        <w:tc>
          <w:tcPr>
            <w:tcW w:w="4139" w:type="dxa"/>
            <w:shd w:val="clear" w:color="auto" w:fill="0070C0"/>
            <w:vAlign w:val="center"/>
            <w:hideMark/>
          </w:tcPr>
          <w:p w14:paraId="0DA74CD9" w14:textId="77777777" w:rsidR="00BD154D" w:rsidRPr="00826F7E" w:rsidRDefault="00BD154D" w:rsidP="00DF2591">
            <w:pPr>
              <w:spacing w:after="0" w:line="240" w:lineRule="auto"/>
              <w:jc w:val="center"/>
              <w:rPr>
                <w:rFonts w:eastAsia="Times New Roman" w:cs="Calibri"/>
                <w:b/>
                <w:bCs/>
                <w:color w:val="FFFFFF" w:themeColor="background1"/>
                <w:sz w:val="18"/>
                <w:szCs w:val="18"/>
                <w:lang w:val="en-US" w:eastAsia="en-GB"/>
              </w:rPr>
            </w:pPr>
            <w:r w:rsidRPr="00826F7E">
              <w:rPr>
                <w:rFonts w:eastAsia="Times New Roman" w:cs="Calibri"/>
                <w:b/>
                <w:bCs/>
                <w:color w:val="FFFFFF" w:themeColor="background1"/>
                <w:sz w:val="18"/>
                <w:szCs w:val="18"/>
                <w:lang w:val="en-US" w:eastAsia="en-GB"/>
              </w:rPr>
              <w:t>AAR 202</w:t>
            </w:r>
            <w:r>
              <w:rPr>
                <w:rFonts w:eastAsia="Times New Roman" w:cs="Calibri"/>
                <w:b/>
                <w:bCs/>
                <w:color w:val="FFFFFF" w:themeColor="background1"/>
                <w:sz w:val="18"/>
                <w:szCs w:val="18"/>
                <w:lang w:val="en-US" w:eastAsia="en-GB"/>
              </w:rPr>
              <w:t>1</w:t>
            </w:r>
            <w:r w:rsidRPr="00826F7E">
              <w:rPr>
                <w:rFonts w:eastAsia="Times New Roman" w:cs="Calibri"/>
                <w:b/>
                <w:bCs/>
                <w:color w:val="FFFFFF" w:themeColor="background1"/>
                <w:sz w:val="18"/>
                <w:szCs w:val="18"/>
                <w:lang w:val="en-US" w:eastAsia="en-GB"/>
              </w:rPr>
              <w:t xml:space="preserve"> (CALLS 2014-2020)</w:t>
            </w:r>
            <w:r w:rsidRPr="00826F7E">
              <w:rPr>
                <w:rStyle w:val="FootnoteReference"/>
                <w:rFonts w:eastAsia="Times New Roman" w:cs="Calibri"/>
                <w:b/>
                <w:bCs/>
                <w:color w:val="FFFFFF" w:themeColor="background1"/>
                <w:sz w:val="18"/>
                <w:szCs w:val="18"/>
                <w:lang w:val="en-US" w:eastAsia="en-GB"/>
              </w:rPr>
              <w:footnoteReference w:id="129"/>
            </w:r>
          </w:p>
        </w:tc>
      </w:tr>
      <w:tr w:rsidR="00BD154D" w:rsidRPr="00A01040" w14:paraId="2E9A7E8D" w14:textId="77777777" w:rsidTr="00DF2591">
        <w:trPr>
          <w:trHeight w:val="1925"/>
        </w:trPr>
        <w:tc>
          <w:tcPr>
            <w:tcW w:w="829" w:type="dxa"/>
            <w:shd w:val="clear" w:color="auto" w:fill="auto"/>
            <w:vAlign w:val="center"/>
            <w:hideMark/>
          </w:tcPr>
          <w:p w14:paraId="1E66E23B" w14:textId="77777777" w:rsidR="00BD154D" w:rsidRPr="004133DA" w:rsidRDefault="00BD154D" w:rsidP="00DF2591">
            <w:pPr>
              <w:spacing w:after="0" w:line="240" w:lineRule="auto"/>
              <w:jc w:val="center"/>
              <w:rPr>
                <w:rFonts w:eastAsia="Times New Roman" w:cs="Calibri"/>
                <w:color w:val="000000"/>
                <w:sz w:val="18"/>
                <w:szCs w:val="18"/>
                <w:lang w:val="en-US" w:eastAsia="en-GB"/>
              </w:rPr>
            </w:pPr>
            <w:r w:rsidRPr="004133DA">
              <w:rPr>
                <w:rFonts w:eastAsia="Times New Roman" w:cs="Calibri"/>
                <w:color w:val="000000"/>
                <w:sz w:val="18"/>
                <w:szCs w:val="18"/>
                <w:lang w:val="en-US" w:eastAsia="en-GB"/>
              </w:rPr>
              <w:t>2.1</w:t>
            </w:r>
          </w:p>
        </w:tc>
        <w:tc>
          <w:tcPr>
            <w:tcW w:w="1916" w:type="dxa"/>
            <w:shd w:val="clear" w:color="auto" w:fill="auto"/>
            <w:vAlign w:val="center"/>
            <w:hideMark/>
          </w:tcPr>
          <w:p w14:paraId="6C01AA60" w14:textId="77777777" w:rsidR="00BD154D" w:rsidRDefault="00BD154D" w:rsidP="00DF2591">
            <w:pPr>
              <w:spacing w:after="0" w:line="240" w:lineRule="auto"/>
              <w:jc w:val="center"/>
              <w:rPr>
                <w:rFonts w:eastAsia="Times New Roman" w:cs="Calibri"/>
                <w:color w:val="000000"/>
                <w:sz w:val="18"/>
                <w:szCs w:val="18"/>
                <w:lang w:val="en-US" w:eastAsia="en-GB"/>
              </w:rPr>
            </w:pPr>
            <w:r w:rsidRPr="002E4BC7">
              <w:rPr>
                <w:rFonts w:eastAsia="Times New Roman" w:cs="Calibri"/>
                <w:color w:val="000000"/>
                <w:sz w:val="18"/>
                <w:szCs w:val="18"/>
                <w:lang w:val="en-US" w:eastAsia="en-GB"/>
              </w:rPr>
              <w:t>Total number of participations by EU-2</w:t>
            </w:r>
            <w:r>
              <w:rPr>
                <w:rFonts w:eastAsia="Times New Roman" w:cs="Calibri"/>
                <w:color w:val="000000"/>
                <w:sz w:val="18"/>
                <w:szCs w:val="18"/>
                <w:lang w:val="en-US" w:eastAsia="en-GB"/>
              </w:rPr>
              <w:t xml:space="preserve">7 </w:t>
            </w:r>
            <w:r w:rsidRPr="002E4BC7">
              <w:rPr>
                <w:rFonts w:eastAsia="Times New Roman" w:cs="Calibri"/>
                <w:color w:val="000000"/>
                <w:sz w:val="18"/>
                <w:szCs w:val="18"/>
                <w:lang w:val="en-US" w:eastAsia="en-GB"/>
              </w:rPr>
              <w:t>Member State</w:t>
            </w:r>
            <w:r>
              <w:rPr>
                <w:rFonts w:eastAsia="Times New Roman" w:cs="Calibri"/>
                <w:color w:val="000000"/>
                <w:sz w:val="18"/>
                <w:szCs w:val="18"/>
                <w:lang w:val="en-US" w:eastAsia="en-GB"/>
              </w:rPr>
              <w:t>s</w:t>
            </w:r>
          </w:p>
          <w:p w14:paraId="16F226E1" w14:textId="77777777" w:rsidR="00BD154D" w:rsidRPr="002E4BC7" w:rsidRDefault="00BD154D" w:rsidP="00DF2591">
            <w:pPr>
              <w:spacing w:after="0" w:line="240" w:lineRule="auto"/>
              <w:jc w:val="center"/>
              <w:rPr>
                <w:rFonts w:eastAsia="Times New Roman" w:cs="Calibri"/>
                <w:color w:val="000000"/>
                <w:sz w:val="18"/>
                <w:szCs w:val="18"/>
                <w:lang w:val="en-US" w:eastAsia="en-GB"/>
              </w:rPr>
            </w:pPr>
            <w:r>
              <w:rPr>
                <w:rFonts w:eastAsia="Times New Roman" w:cs="Calibri"/>
                <w:color w:val="000000"/>
                <w:sz w:val="18"/>
                <w:szCs w:val="18"/>
                <w:lang w:val="en-US" w:eastAsia="en-GB"/>
              </w:rPr>
              <w:t>+ the UK</w:t>
            </w:r>
          </w:p>
        </w:tc>
        <w:tc>
          <w:tcPr>
            <w:tcW w:w="2320" w:type="dxa"/>
            <w:shd w:val="clear" w:color="auto" w:fill="auto"/>
            <w:vAlign w:val="center"/>
            <w:hideMark/>
          </w:tcPr>
          <w:p w14:paraId="62CA3EE8" w14:textId="77777777" w:rsidR="00BD154D" w:rsidRPr="002E4BC7" w:rsidRDefault="00BD154D" w:rsidP="00DF2591">
            <w:pPr>
              <w:spacing w:after="0" w:line="240" w:lineRule="auto"/>
              <w:jc w:val="center"/>
              <w:rPr>
                <w:rFonts w:eastAsia="Times New Roman" w:cs="Calibri"/>
                <w:color w:val="000000"/>
                <w:sz w:val="18"/>
                <w:szCs w:val="18"/>
                <w:lang w:val="en-US" w:eastAsia="en-GB"/>
              </w:rPr>
            </w:pPr>
            <w:r w:rsidRPr="002E4BC7">
              <w:rPr>
                <w:rFonts w:eastAsia="Times New Roman" w:cs="Calibri"/>
                <w:color w:val="000000"/>
                <w:sz w:val="18"/>
                <w:szCs w:val="18"/>
                <w:lang w:val="en-US" w:eastAsia="en-GB"/>
              </w:rPr>
              <w:t>Nationality of H2020 applicants and beneficiaries (number)</w:t>
            </w:r>
          </w:p>
        </w:tc>
        <w:tc>
          <w:tcPr>
            <w:tcW w:w="4139" w:type="dxa"/>
            <w:shd w:val="clear" w:color="auto" w:fill="auto"/>
            <w:hideMark/>
          </w:tcPr>
          <w:p w14:paraId="03DC3AD4" w14:textId="77777777" w:rsidR="00BD154D" w:rsidRDefault="00BD154D" w:rsidP="00DF2591">
            <w:pPr>
              <w:spacing w:after="0" w:line="240" w:lineRule="auto"/>
              <w:jc w:val="center"/>
              <w:rPr>
                <w:rFonts w:eastAsia="Times New Roman" w:cs="Calibri"/>
                <w:color w:val="000000"/>
                <w:sz w:val="18"/>
                <w:szCs w:val="18"/>
                <w:highlight w:val="yellow"/>
                <w:lang w:val="en-US" w:eastAsia="en-GB"/>
              </w:rPr>
            </w:pPr>
          </w:p>
          <w:tbl>
            <w:tblPr>
              <w:tblStyle w:val="TableGrid"/>
              <w:tblW w:w="0" w:type="auto"/>
              <w:tblInd w:w="3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80"/>
              <w:gridCol w:w="284"/>
              <w:gridCol w:w="1490"/>
            </w:tblGrid>
            <w:tr w:rsidR="00BD154D" w14:paraId="77D02115" w14:textId="77777777" w:rsidTr="00DF2591">
              <w:trPr>
                <w:trHeight w:val="324"/>
              </w:trPr>
              <w:tc>
                <w:tcPr>
                  <w:tcW w:w="3054" w:type="dxa"/>
                  <w:gridSpan w:val="3"/>
                </w:tcPr>
                <w:p w14:paraId="32C983C0" w14:textId="77777777" w:rsidR="00BD154D" w:rsidRDefault="00BD154D" w:rsidP="00DF2591">
                  <w:pPr>
                    <w:spacing w:after="0" w:line="240" w:lineRule="auto"/>
                    <w:jc w:val="center"/>
                    <w:rPr>
                      <w:sz w:val="18"/>
                      <w:szCs w:val="18"/>
                      <w:lang w:val="fr-BE"/>
                    </w:rPr>
                  </w:pPr>
                  <w:r>
                    <w:rPr>
                      <w:sz w:val="18"/>
                      <w:szCs w:val="18"/>
                      <w:lang w:val="fr-BE"/>
                    </w:rPr>
                    <w:t>EU-27 + UK</w:t>
                  </w:r>
                </w:p>
              </w:tc>
            </w:tr>
            <w:tr w:rsidR="00BD154D" w14:paraId="7D9C97F6" w14:textId="77777777" w:rsidTr="00DF2591">
              <w:trPr>
                <w:trHeight w:val="347"/>
              </w:trPr>
              <w:tc>
                <w:tcPr>
                  <w:tcW w:w="1280" w:type="dxa"/>
                  <w:tcBorders>
                    <w:top w:val="single" w:sz="4" w:space="0" w:color="auto"/>
                    <w:left w:val="single" w:sz="4" w:space="0" w:color="auto"/>
                    <w:right w:val="single" w:sz="4" w:space="0" w:color="auto"/>
                  </w:tcBorders>
                  <w:vAlign w:val="center"/>
                </w:tcPr>
                <w:p w14:paraId="069215A6" w14:textId="77777777" w:rsidR="00BD154D" w:rsidRDefault="00BD154D" w:rsidP="00DF2591">
                  <w:pPr>
                    <w:spacing w:after="0" w:line="240" w:lineRule="auto"/>
                    <w:jc w:val="center"/>
                    <w:rPr>
                      <w:sz w:val="18"/>
                      <w:szCs w:val="18"/>
                      <w:lang w:val="fr-BE"/>
                    </w:rPr>
                  </w:pPr>
                  <w:r>
                    <w:rPr>
                      <w:sz w:val="18"/>
                      <w:szCs w:val="18"/>
                      <w:lang w:val="fr-BE"/>
                    </w:rPr>
                    <w:t>Application Participations</w:t>
                  </w:r>
                </w:p>
              </w:tc>
              <w:tc>
                <w:tcPr>
                  <w:tcW w:w="284" w:type="dxa"/>
                  <w:vMerge w:val="restart"/>
                  <w:tcBorders>
                    <w:left w:val="single" w:sz="4" w:space="0" w:color="auto"/>
                    <w:right w:val="single" w:sz="4" w:space="0" w:color="auto"/>
                  </w:tcBorders>
                </w:tcPr>
                <w:p w14:paraId="2D552DE3" w14:textId="77777777" w:rsidR="00BD154D" w:rsidRPr="008A4BD2" w:rsidRDefault="00BD154D" w:rsidP="00DF2591">
                  <w:pPr>
                    <w:spacing w:after="0" w:line="240" w:lineRule="auto"/>
                    <w:jc w:val="center"/>
                    <w:rPr>
                      <w:sz w:val="18"/>
                      <w:szCs w:val="18"/>
                    </w:rPr>
                  </w:pPr>
                </w:p>
              </w:tc>
              <w:tc>
                <w:tcPr>
                  <w:tcW w:w="1490" w:type="dxa"/>
                  <w:tcBorders>
                    <w:top w:val="single" w:sz="4" w:space="0" w:color="auto"/>
                    <w:left w:val="single" w:sz="4" w:space="0" w:color="auto"/>
                    <w:right w:val="single" w:sz="4" w:space="0" w:color="auto"/>
                  </w:tcBorders>
                  <w:vAlign w:val="center"/>
                </w:tcPr>
                <w:p w14:paraId="37CE3A3A" w14:textId="77777777" w:rsidR="00BD154D" w:rsidRDefault="00BD154D" w:rsidP="00DF2591">
                  <w:pPr>
                    <w:spacing w:after="0" w:line="240" w:lineRule="auto"/>
                    <w:jc w:val="center"/>
                    <w:rPr>
                      <w:sz w:val="18"/>
                      <w:szCs w:val="18"/>
                      <w:lang w:val="fr-BE"/>
                    </w:rPr>
                  </w:pPr>
                  <w:r w:rsidRPr="008A4BD2">
                    <w:rPr>
                      <w:sz w:val="18"/>
                      <w:szCs w:val="18"/>
                    </w:rPr>
                    <w:t>Applica</w:t>
                  </w:r>
                  <w:r>
                    <w:rPr>
                      <w:sz w:val="18"/>
                      <w:szCs w:val="18"/>
                    </w:rPr>
                    <w:t>tion Participants</w:t>
                  </w:r>
                </w:p>
              </w:tc>
            </w:tr>
            <w:tr w:rsidR="00BD154D" w14:paraId="647D816F" w14:textId="77777777" w:rsidTr="00DF2591">
              <w:trPr>
                <w:trHeight w:val="347"/>
              </w:trPr>
              <w:tc>
                <w:tcPr>
                  <w:tcW w:w="1280" w:type="dxa"/>
                  <w:tcBorders>
                    <w:left w:val="single" w:sz="4" w:space="0" w:color="auto"/>
                    <w:right w:val="single" w:sz="4" w:space="0" w:color="auto"/>
                  </w:tcBorders>
                  <w:vAlign w:val="center"/>
                </w:tcPr>
                <w:p w14:paraId="7B7EB0D9" w14:textId="77777777" w:rsidR="00BD154D" w:rsidRDefault="00BD154D" w:rsidP="00DF2591">
                  <w:pPr>
                    <w:spacing w:after="0" w:line="240" w:lineRule="auto"/>
                    <w:jc w:val="center"/>
                    <w:rPr>
                      <w:sz w:val="18"/>
                      <w:szCs w:val="18"/>
                      <w:lang w:val="fr-BE"/>
                    </w:rPr>
                  </w:pPr>
                  <w:r>
                    <w:rPr>
                      <w:sz w:val="18"/>
                      <w:szCs w:val="18"/>
                      <w:lang w:val="fr-BE"/>
                    </w:rPr>
                    <w:t>3197</w:t>
                  </w:r>
                </w:p>
              </w:tc>
              <w:tc>
                <w:tcPr>
                  <w:tcW w:w="284" w:type="dxa"/>
                  <w:vMerge/>
                  <w:tcBorders>
                    <w:left w:val="single" w:sz="4" w:space="0" w:color="auto"/>
                    <w:right w:val="single" w:sz="4" w:space="0" w:color="auto"/>
                  </w:tcBorders>
                </w:tcPr>
                <w:p w14:paraId="46537808" w14:textId="77777777" w:rsidR="00BD154D" w:rsidRDefault="00BD154D" w:rsidP="00DF2591">
                  <w:pPr>
                    <w:spacing w:after="0" w:line="240" w:lineRule="auto"/>
                    <w:jc w:val="center"/>
                    <w:rPr>
                      <w:sz w:val="18"/>
                      <w:szCs w:val="18"/>
                      <w:lang w:val="fr-BE"/>
                    </w:rPr>
                  </w:pPr>
                </w:p>
              </w:tc>
              <w:tc>
                <w:tcPr>
                  <w:tcW w:w="1490" w:type="dxa"/>
                  <w:tcBorders>
                    <w:left w:val="single" w:sz="4" w:space="0" w:color="auto"/>
                    <w:right w:val="single" w:sz="4" w:space="0" w:color="auto"/>
                  </w:tcBorders>
                  <w:vAlign w:val="center"/>
                </w:tcPr>
                <w:p w14:paraId="0B30A6D9" w14:textId="77777777" w:rsidR="00BD154D" w:rsidRDefault="00BD154D" w:rsidP="00DF2591">
                  <w:pPr>
                    <w:spacing w:after="0" w:line="240" w:lineRule="auto"/>
                    <w:jc w:val="center"/>
                    <w:rPr>
                      <w:sz w:val="18"/>
                      <w:szCs w:val="18"/>
                      <w:lang w:val="fr-BE"/>
                    </w:rPr>
                  </w:pPr>
                  <w:r>
                    <w:rPr>
                      <w:sz w:val="18"/>
                      <w:szCs w:val="18"/>
                      <w:lang w:val="fr-BE"/>
                    </w:rPr>
                    <w:t>1329</w:t>
                  </w:r>
                </w:p>
              </w:tc>
            </w:tr>
            <w:tr w:rsidR="00BD154D" w14:paraId="56620F35" w14:textId="77777777" w:rsidTr="00DF2591">
              <w:trPr>
                <w:trHeight w:val="324"/>
              </w:trPr>
              <w:tc>
                <w:tcPr>
                  <w:tcW w:w="1280" w:type="dxa"/>
                  <w:tcBorders>
                    <w:left w:val="single" w:sz="4" w:space="0" w:color="auto"/>
                    <w:right w:val="single" w:sz="4" w:space="0" w:color="auto"/>
                  </w:tcBorders>
                  <w:vAlign w:val="center"/>
                </w:tcPr>
                <w:p w14:paraId="3DDB7EC7" w14:textId="77777777" w:rsidR="00BD154D" w:rsidRDefault="00BD154D" w:rsidP="00DF2591">
                  <w:pPr>
                    <w:spacing w:after="0" w:line="240" w:lineRule="auto"/>
                    <w:jc w:val="center"/>
                    <w:rPr>
                      <w:sz w:val="18"/>
                      <w:szCs w:val="18"/>
                      <w:lang w:val="fr-BE"/>
                    </w:rPr>
                  </w:pPr>
                  <w:r>
                    <w:rPr>
                      <w:sz w:val="18"/>
                      <w:szCs w:val="18"/>
                      <w:lang w:val="fr-BE"/>
                    </w:rPr>
                    <w:t>Grant Participations</w:t>
                  </w:r>
                </w:p>
              </w:tc>
              <w:tc>
                <w:tcPr>
                  <w:tcW w:w="284" w:type="dxa"/>
                  <w:vMerge/>
                  <w:tcBorders>
                    <w:left w:val="single" w:sz="4" w:space="0" w:color="auto"/>
                    <w:right w:val="single" w:sz="4" w:space="0" w:color="auto"/>
                  </w:tcBorders>
                </w:tcPr>
                <w:p w14:paraId="289B7103" w14:textId="77777777" w:rsidR="00BD154D" w:rsidRDefault="00BD154D" w:rsidP="00DF2591">
                  <w:pPr>
                    <w:spacing w:after="0" w:line="240" w:lineRule="auto"/>
                    <w:jc w:val="center"/>
                    <w:rPr>
                      <w:sz w:val="18"/>
                      <w:szCs w:val="18"/>
                      <w:lang w:val="fr-BE"/>
                    </w:rPr>
                  </w:pPr>
                </w:p>
              </w:tc>
              <w:tc>
                <w:tcPr>
                  <w:tcW w:w="1490" w:type="dxa"/>
                  <w:tcBorders>
                    <w:left w:val="single" w:sz="4" w:space="0" w:color="auto"/>
                    <w:right w:val="single" w:sz="4" w:space="0" w:color="auto"/>
                  </w:tcBorders>
                  <w:vAlign w:val="center"/>
                </w:tcPr>
                <w:p w14:paraId="6E4B35F6" w14:textId="77777777" w:rsidR="00BD154D" w:rsidRDefault="00BD154D" w:rsidP="00DF2591">
                  <w:pPr>
                    <w:spacing w:after="0" w:line="240" w:lineRule="auto"/>
                    <w:jc w:val="center"/>
                    <w:rPr>
                      <w:sz w:val="18"/>
                      <w:szCs w:val="18"/>
                      <w:lang w:val="fr-BE"/>
                    </w:rPr>
                  </w:pPr>
                  <w:r>
                    <w:rPr>
                      <w:sz w:val="18"/>
                      <w:szCs w:val="18"/>
                      <w:lang w:val="fr-BE"/>
                    </w:rPr>
                    <w:t>Grant Participants</w:t>
                  </w:r>
                </w:p>
              </w:tc>
            </w:tr>
            <w:tr w:rsidR="00BD154D" w14:paraId="23C82BBB" w14:textId="77777777" w:rsidTr="00DF2591">
              <w:trPr>
                <w:trHeight w:val="347"/>
              </w:trPr>
              <w:tc>
                <w:tcPr>
                  <w:tcW w:w="1280" w:type="dxa"/>
                  <w:tcBorders>
                    <w:left w:val="single" w:sz="4" w:space="0" w:color="auto"/>
                    <w:bottom w:val="single" w:sz="4" w:space="0" w:color="auto"/>
                    <w:right w:val="single" w:sz="4" w:space="0" w:color="auto"/>
                  </w:tcBorders>
                  <w:vAlign w:val="center"/>
                </w:tcPr>
                <w:p w14:paraId="0AEE5360" w14:textId="77777777" w:rsidR="00BD154D" w:rsidRDefault="00BD154D" w:rsidP="00DF2591">
                  <w:pPr>
                    <w:spacing w:after="0" w:line="240" w:lineRule="auto"/>
                    <w:jc w:val="center"/>
                    <w:rPr>
                      <w:sz w:val="18"/>
                      <w:szCs w:val="18"/>
                      <w:lang w:val="fr-BE"/>
                    </w:rPr>
                  </w:pPr>
                  <w:r>
                    <w:rPr>
                      <w:sz w:val="18"/>
                      <w:szCs w:val="18"/>
                      <w:lang w:val="fr-BE"/>
                    </w:rPr>
                    <w:t>1370</w:t>
                  </w:r>
                </w:p>
              </w:tc>
              <w:tc>
                <w:tcPr>
                  <w:tcW w:w="284" w:type="dxa"/>
                  <w:vMerge/>
                  <w:tcBorders>
                    <w:left w:val="single" w:sz="4" w:space="0" w:color="auto"/>
                    <w:right w:val="single" w:sz="4" w:space="0" w:color="auto"/>
                  </w:tcBorders>
                </w:tcPr>
                <w:p w14:paraId="74014BA9" w14:textId="77777777" w:rsidR="00BD154D" w:rsidRDefault="00BD154D" w:rsidP="00DF2591">
                  <w:pPr>
                    <w:spacing w:after="0" w:line="240" w:lineRule="auto"/>
                    <w:jc w:val="center"/>
                    <w:rPr>
                      <w:sz w:val="18"/>
                      <w:szCs w:val="18"/>
                      <w:lang w:val="fr-BE"/>
                    </w:rPr>
                  </w:pPr>
                </w:p>
              </w:tc>
              <w:tc>
                <w:tcPr>
                  <w:tcW w:w="1490" w:type="dxa"/>
                  <w:tcBorders>
                    <w:left w:val="single" w:sz="4" w:space="0" w:color="auto"/>
                    <w:bottom w:val="single" w:sz="4" w:space="0" w:color="auto"/>
                    <w:right w:val="single" w:sz="4" w:space="0" w:color="auto"/>
                  </w:tcBorders>
                  <w:vAlign w:val="center"/>
                </w:tcPr>
                <w:p w14:paraId="70C07EAA" w14:textId="77777777" w:rsidR="00BD154D" w:rsidRDefault="00BD154D" w:rsidP="00DF2591">
                  <w:pPr>
                    <w:spacing w:after="0" w:line="240" w:lineRule="auto"/>
                    <w:jc w:val="center"/>
                    <w:rPr>
                      <w:sz w:val="18"/>
                      <w:szCs w:val="18"/>
                      <w:lang w:val="fr-BE"/>
                    </w:rPr>
                  </w:pPr>
                  <w:r>
                    <w:rPr>
                      <w:sz w:val="18"/>
                      <w:szCs w:val="18"/>
                      <w:lang w:val="fr-BE"/>
                    </w:rPr>
                    <w:t>698</w:t>
                  </w:r>
                </w:p>
              </w:tc>
            </w:tr>
          </w:tbl>
          <w:p w14:paraId="51427508" w14:textId="77777777" w:rsidR="00BD154D" w:rsidRDefault="00BD154D" w:rsidP="00DF2591">
            <w:pPr>
              <w:spacing w:after="0" w:line="240" w:lineRule="auto"/>
              <w:jc w:val="center"/>
              <w:rPr>
                <w:sz w:val="18"/>
                <w:szCs w:val="18"/>
                <w:lang w:val="fr-BE"/>
              </w:rPr>
            </w:pPr>
          </w:p>
          <w:p w14:paraId="7D909469" w14:textId="77777777" w:rsidR="00BD154D" w:rsidRPr="005063C9" w:rsidRDefault="00BD154D" w:rsidP="00DF2591">
            <w:pPr>
              <w:spacing w:after="0" w:line="240" w:lineRule="auto"/>
              <w:jc w:val="center"/>
              <w:rPr>
                <w:rFonts w:eastAsia="Times New Roman" w:cs="Calibri"/>
                <w:color w:val="000000"/>
                <w:sz w:val="18"/>
                <w:szCs w:val="18"/>
                <w:lang w:val="fr-BE" w:eastAsia="en-GB"/>
              </w:rPr>
            </w:pPr>
          </w:p>
        </w:tc>
      </w:tr>
      <w:tr w:rsidR="00BD154D" w:rsidRPr="004133DA" w14:paraId="16C1E04E" w14:textId="77777777" w:rsidTr="00DF2591">
        <w:trPr>
          <w:trHeight w:val="3219"/>
        </w:trPr>
        <w:tc>
          <w:tcPr>
            <w:tcW w:w="829" w:type="dxa"/>
            <w:shd w:val="clear" w:color="auto" w:fill="auto"/>
            <w:vAlign w:val="center"/>
            <w:hideMark/>
          </w:tcPr>
          <w:p w14:paraId="77F5AB2E" w14:textId="77777777" w:rsidR="00BD154D" w:rsidRPr="004133DA" w:rsidRDefault="00BD154D" w:rsidP="00DF2591">
            <w:pPr>
              <w:spacing w:after="0" w:line="240" w:lineRule="auto"/>
              <w:jc w:val="center"/>
              <w:rPr>
                <w:rFonts w:eastAsia="Times New Roman" w:cs="Calibri"/>
                <w:color w:val="000000"/>
                <w:sz w:val="18"/>
                <w:szCs w:val="18"/>
                <w:lang w:val="en-US" w:eastAsia="en-GB"/>
              </w:rPr>
            </w:pPr>
            <w:r w:rsidRPr="004133DA">
              <w:rPr>
                <w:rFonts w:eastAsia="Times New Roman" w:cs="Calibri"/>
                <w:color w:val="000000"/>
                <w:sz w:val="18"/>
                <w:szCs w:val="18"/>
                <w:lang w:val="en-US" w:eastAsia="en-GB"/>
              </w:rPr>
              <w:t>2.2</w:t>
            </w:r>
          </w:p>
        </w:tc>
        <w:tc>
          <w:tcPr>
            <w:tcW w:w="1916" w:type="dxa"/>
            <w:shd w:val="clear" w:color="auto" w:fill="auto"/>
            <w:vAlign w:val="center"/>
            <w:hideMark/>
          </w:tcPr>
          <w:p w14:paraId="26B4FA40" w14:textId="77777777" w:rsidR="00BD154D" w:rsidRDefault="00BD154D" w:rsidP="00DF2591">
            <w:pPr>
              <w:spacing w:after="0" w:line="240" w:lineRule="auto"/>
              <w:jc w:val="center"/>
              <w:rPr>
                <w:rFonts w:eastAsia="Times New Roman" w:cs="Calibri"/>
                <w:color w:val="000000"/>
                <w:sz w:val="18"/>
                <w:szCs w:val="18"/>
                <w:lang w:val="en-US" w:eastAsia="en-GB"/>
              </w:rPr>
            </w:pPr>
            <w:r w:rsidRPr="004133DA">
              <w:rPr>
                <w:rFonts w:eastAsia="Times New Roman" w:cs="Calibri"/>
                <w:color w:val="000000"/>
                <w:sz w:val="18"/>
                <w:szCs w:val="18"/>
                <w:lang w:val="en-US" w:eastAsia="en-GB"/>
              </w:rPr>
              <w:t>Total amount of EU financial contribution by EU-2</w:t>
            </w:r>
            <w:r>
              <w:rPr>
                <w:rFonts w:eastAsia="Times New Roman" w:cs="Calibri"/>
                <w:color w:val="000000"/>
                <w:sz w:val="18"/>
                <w:szCs w:val="18"/>
                <w:lang w:val="en-US" w:eastAsia="en-GB"/>
              </w:rPr>
              <w:t>7</w:t>
            </w:r>
            <w:r w:rsidRPr="004133DA">
              <w:rPr>
                <w:rFonts w:eastAsia="Times New Roman" w:cs="Calibri"/>
                <w:color w:val="000000"/>
                <w:sz w:val="18"/>
                <w:szCs w:val="18"/>
                <w:lang w:val="en-US" w:eastAsia="en-GB"/>
              </w:rPr>
              <w:t xml:space="preserve"> Member State</w:t>
            </w:r>
            <w:r>
              <w:rPr>
                <w:rFonts w:eastAsia="Times New Roman" w:cs="Calibri"/>
                <w:color w:val="000000"/>
                <w:sz w:val="18"/>
                <w:szCs w:val="18"/>
                <w:lang w:val="en-US" w:eastAsia="en-GB"/>
              </w:rPr>
              <w:t xml:space="preserve"> + the UK</w:t>
            </w:r>
          </w:p>
          <w:p w14:paraId="07F12A84" w14:textId="77777777" w:rsidR="00BD154D" w:rsidRPr="004133DA" w:rsidRDefault="00BD154D" w:rsidP="00DF2591">
            <w:pPr>
              <w:spacing w:after="0" w:line="240" w:lineRule="auto"/>
              <w:jc w:val="center"/>
              <w:rPr>
                <w:rFonts w:eastAsia="Times New Roman" w:cs="Calibri"/>
                <w:color w:val="000000"/>
                <w:sz w:val="18"/>
                <w:szCs w:val="18"/>
                <w:lang w:val="en-US" w:eastAsia="en-GB"/>
              </w:rPr>
            </w:pPr>
            <w:r w:rsidRPr="004133DA">
              <w:rPr>
                <w:rFonts w:eastAsia="Times New Roman" w:cs="Calibri"/>
                <w:color w:val="000000"/>
                <w:sz w:val="18"/>
                <w:szCs w:val="18"/>
                <w:lang w:val="en-US" w:eastAsia="en-GB"/>
              </w:rPr>
              <w:t>(EUR million)</w:t>
            </w:r>
          </w:p>
        </w:tc>
        <w:tc>
          <w:tcPr>
            <w:tcW w:w="2320" w:type="dxa"/>
            <w:shd w:val="clear" w:color="auto" w:fill="auto"/>
            <w:vAlign w:val="center"/>
            <w:hideMark/>
          </w:tcPr>
          <w:p w14:paraId="49F8C572" w14:textId="77777777" w:rsidR="00BD154D" w:rsidRPr="004133DA" w:rsidRDefault="00BD154D" w:rsidP="00DF2591">
            <w:pPr>
              <w:spacing w:after="0" w:line="240" w:lineRule="auto"/>
              <w:jc w:val="center"/>
              <w:rPr>
                <w:rFonts w:eastAsia="Times New Roman" w:cs="Calibri"/>
                <w:color w:val="000000"/>
                <w:sz w:val="18"/>
                <w:szCs w:val="18"/>
                <w:lang w:val="en-US" w:eastAsia="en-GB"/>
              </w:rPr>
            </w:pPr>
            <w:r w:rsidRPr="004133DA">
              <w:rPr>
                <w:rFonts w:eastAsia="Times New Roman" w:cs="Calibri"/>
                <w:color w:val="000000"/>
                <w:sz w:val="18"/>
                <w:szCs w:val="18"/>
                <w:lang w:val="en-US" w:eastAsia="en-GB"/>
              </w:rPr>
              <w:t xml:space="preserve">Nationality of </w:t>
            </w:r>
            <w:r>
              <w:rPr>
                <w:rFonts w:eastAsia="Times New Roman" w:cs="Calibri"/>
                <w:color w:val="000000"/>
                <w:sz w:val="18"/>
                <w:szCs w:val="18"/>
                <w:lang w:val="en-US" w:eastAsia="en-GB"/>
              </w:rPr>
              <w:t>H</w:t>
            </w:r>
            <w:r w:rsidRPr="004133DA">
              <w:rPr>
                <w:rFonts w:eastAsia="Times New Roman" w:cs="Calibri"/>
                <w:color w:val="000000"/>
                <w:sz w:val="18"/>
                <w:szCs w:val="18"/>
                <w:lang w:val="en-US" w:eastAsia="en-GB"/>
              </w:rPr>
              <w:t>2020 beneficiaries and corresponding EU financial contribution</w:t>
            </w:r>
          </w:p>
        </w:tc>
        <w:tc>
          <w:tcPr>
            <w:tcW w:w="4139" w:type="dxa"/>
            <w:shd w:val="clear" w:color="auto" w:fill="auto"/>
            <w:hideMark/>
          </w:tcPr>
          <w:p w14:paraId="67BB88CB" w14:textId="77777777" w:rsidR="00BD154D" w:rsidRDefault="00BD154D" w:rsidP="00DF2591">
            <w:pPr>
              <w:spacing w:after="0" w:line="240" w:lineRule="auto"/>
              <w:jc w:val="center"/>
              <w:rPr>
                <w:sz w:val="18"/>
                <w:szCs w:val="18"/>
              </w:rPr>
            </w:pPr>
          </w:p>
          <w:p w14:paraId="207BC08B" w14:textId="77777777" w:rsidR="00BD154D" w:rsidRDefault="00BD154D" w:rsidP="00DF2591">
            <w:pPr>
              <w:spacing w:after="0" w:line="240" w:lineRule="auto"/>
              <w:jc w:val="center"/>
              <w:rPr>
                <w:sz w:val="18"/>
                <w:szCs w:val="18"/>
              </w:rPr>
            </w:pPr>
            <w:r w:rsidRPr="0022052D">
              <w:rPr>
                <w:sz w:val="18"/>
                <w:szCs w:val="18"/>
              </w:rPr>
              <w:t xml:space="preserve">In </w:t>
            </w:r>
            <w:r>
              <w:rPr>
                <w:sz w:val="18"/>
                <w:szCs w:val="18"/>
              </w:rPr>
              <w:t>EUR million</w:t>
            </w:r>
            <w:r w:rsidRPr="0022052D">
              <w:rPr>
                <w:sz w:val="18"/>
                <w:szCs w:val="18"/>
              </w:rPr>
              <w:t xml:space="preserve"> per country</w:t>
            </w:r>
            <w:r>
              <w:rPr>
                <w:sz w:val="18"/>
                <w:szCs w:val="18"/>
              </w:rPr>
              <w:t xml:space="preserve"> (total EUR 585.99 million)</w:t>
            </w:r>
            <w:r w:rsidRPr="0022052D">
              <w:rPr>
                <w:sz w:val="18"/>
                <w:szCs w:val="18"/>
              </w:rPr>
              <w:t xml:space="preserve">: </w:t>
            </w:r>
          </w:p>
          <w:p w14:paraId="46966472" w14:textId="77777777" w:rsidR="00BD154D" w:rsidRDefault="00BD154D" w:rsidP="00DF2591">
            <w:pPr>
              <w:spacing w:after="0" w:line="240" w:lineRule="auto"/>
              <w:jc w:val="center"/>
              <w:rPr>
                <w:sz w:val="18"/>
                <w:szCs w:val="18"/>
              </w:rPr>
            </w:pPr>
          </w:p>
          <w:tbl>
            <w:tblPr>
              <w:tblW w:w="0" w:type="auto"/>
              <w:tblLook w:val="0000" w:firstRow="0" w:lastRow="0" w:firstColumn="0" w:lastColumn="0" w:noHBand="0" w:noVBand="0"/>
            </w:tblPr>
            <w:tblGrid>
              <w:gridCol w:w="497"/>
              <w:gridCol w:w="830"/>
              <w:gridCol w:w="495"/>
              <w:gridCol w:w="747"/>
              <w:gridCol w:w="506"/>
              <w:gridCol w:w="695"/>
            </w:tblGrid>
            <w:tr w:rsidR="00BD154D" w:rsidRPr="005A553F" w14:paraId="50B112E8" w14:textId="77777777" w:rsidTr="00DF2591">
              <w:trPr>
                <w:trHeight w:val="245"/>
              </w:trPr>
              <w:tc>
                <w:tcPr>
                  <w:tcW w:w="497" w:type="dxa"/>
                  <w:tcBorders>
                    <w:top w:val="single" w:sz="8" w:space="0" w:color="auto"/>
                    <w:left w:val="single" w:sz="8" w:space="0" w:color="auto"/>
                    <w:bottom w:val="nil"/>
                    <w:right w:val="nil"/>
                  </w:tcBorders>
                  <w:vAlign w:val="center"/>
                </w:tcPr>
                <w:p w14:paraId="12983BFD" w14:textId="77777777" w:rsidR="00BD154D" w:rsidRPr="008712BD" w:rsidRDefault="00BD154D" w:rsidP="00DF2591">
                  <w:pPr>
                    <w:spacing w:after="0" w:line="240" w:lineRule="auto"/>
                    <w:jc w:val="center"/>
                    <w:rPr>
                      <w:sz w:val="18"/>
                      <w:szCs w:val="18"/>
                      <w:lang w:val="fr-BE"/>
                    </w:rPr>
                  </w:pPr>
                  <w:r w:rsidRPr="008712BD">
                    <w:rPr>
                      <w:sz w:val="18"/>
                      <w:szCs w:val="18"/>
                      <w:lang w:val="fr-BE"/>
                    </w:rPr>
                    <w:t>AT</w:t>
                  </w:r>
                </w:p>
              </w:tc>
              <w:tc>
                <w:tcPr>
                  <w:tcW w:w="830" w:type="dxa"/>
                  <w:tcBorders>
                    <w:top w:val="single" w:sz="8" w:space="0" w:color="auto"/>
                    <w:left w:val="nil"/>
                    <w:bottom w:val="nil"/>
                    <w:right w:val="single" w:sz="8" w:space="0" w:color="auto"/>
                  </w:tcBorders>
                </w:tcPr>
                <w:p w14:paraId="754212D4" w14:textId="77777777" w:rsidR="00BD154D" w:rsidRPr="008712BD" w:rsidRDefault="00BD154D" w:rsidP="00DF2591">
                  <w:pPr>
                    <w:spacing w:after="0" w:line="240" w:lineRule="auto"/>
                    <w:jc w:val="center"/>
                    <w:rPr>
                      <w:sz w:val="18"/>
                      <w:szCs w:val="18"/>
                      <w:lang w:val="fr-BE"/>
                    </w:rPr>
                  </w:pPr>
                  <w:r w:rsidRPr="008712BD">
                    <w:rPr>
                      <w:sz w:val="18"/>
                      <w:szCs w:val="18"/>
                      <w:lang w:val="fr-BE"/>
                    </w:rPr>
                    <w:t>24.72</w:t>
                  </w:r>
                </w:p>
              </w:tc>
              <w:tc>
                <w:tcPr>
                  <w:tcW w:w="495" w:type="dxa"/>
                  <w:tcBorders>
                    <w:top w:val="single" w:sz="8" w:space="0" w:color="auto"/>
                    <w:left w:val="single" w:sz="8" w:space="0" w:color="auto"/>
                    <w:bottom w:val="nil"/>
                    <w:right w:val="nil"/>
                  </w:tcBorders>
                  <w:vAlign w:val="center"/>
                </w:tcPr>
                <w:p w14:paraId="02D93885" w14:textId="77777777" w:rsidR="00BD154D" w:rsidRPr="008712BD" w:rsidRDefault="00BD154D" w:rsidP="00DF2591">
                  <w:pPr>
                    <w:spacing w:after="0" w:line="240" w:lineRule="auto"/>
                    <w:jc w:val="center"/>
                    <w:rPr>
                      <w:sz w:val="18"/>
                      <w:szCs w:val="18"/>
                      <w:lang w:val="fr-BE"/>
                    </w:rPr>
                  </w:pPr>
                  <w:r w:rsidRPr="008712BD">
                    <w:rPr>
                      <w:sz w:val="18"/>
                      <w:szCs w:val="18"/>
                      <w:lang w:val="fr-BE"/>
                    </w:rPr>
                    <w:t>ES</w:t>
                  </w:r>
                </w:p>
              </w:tc>
              <w:tc>
                <w:tcPr>
                  <w:tcW w:w="747" w:type="dxa"/>
                  <w:tcBorders>
                    <w:top w:val="single" w:sz="8" w:space="0" w:color="auto"/>
                    <w:left w:val="nil"/>
                    <w:bottom w:val="nil"/>
                    <w:right w:val="single" w:sz="8" w:space="0" w:color="auto"/>
                  </w:tcBorders>
                </w:tcPr>
                <w:p w14:paraId="6259F033" w14:textId="77777777" w:rsidR="00BD154D" w:rsidRPr="008712BD" w:rsidRDefault="00BD154D" w:rsidP="00DF2591">
                  <w:pPr>
                    <w:spacing w:after="0" w:line="240" w:lineRule="auto"/>
                    <w:jc w:val="center"/>
                    <w:rPr>
                      <w:sz w:val="18"/>
                      <w:szCs w:val="18"/>
                      <w:lang w:val="fr-BE"/>
                    </w:rPr>
                  </w:pPr>
                  <w:r w:rsidRPr="008712BD">
                    <w:rPr>
                      <w:sz w:val="18"/>
                      <w:szCs w:val="18"/>
                      <w:lang w:val="fr-BE"/>
                    </w:rPr>
                    <w:t>39.10</w:t>
                  </w:r>
                </w:p>
              </w:tc>
              <w:tc>
                <w:tcPr>
                  <w:tcW w:w="506" w:type="dxa"/>
                  <w:tcBorders>
                    <w:top w:val="single" w:sz="8" w:space="0" w:color="auto"/>
                    <w:left w:val="single" w:sz="8" w:space="0" w:color="auto"/>
                    <w:bottom w:val="nil"/>
                    <w:right w:val="nil"/>
                  </w:tcBorders>
                  <w:vAlign w:val="center"/>
                </w:tcPr>
                <w:p w14:paraId="2F60C2FA" w14:textId="77777777" w:rsidR="00BD154D" w:rsidRPr="008712BD" w:rsidRDefault="00BD154D" w:rsidP="00DF2591">
                  <w:pPr>
                    <w:spacing w:after="0" w:line="240" w:lineRule="auto"/>
                    <w:jc w:val="center"/>
                    <w:rPr>
                      <w:sz w:val="18"/>
                      <w:szCs w:val="18"/>
                      <w:lang w:val="fr-BE"/>
                    </w:rPr>
                  </w:pPr>
                  <w:r w:rsidRPr="008712BD">
                    <w:rPr>
                      <w:sz w:val="18"/>
                      <w:szCs w:val="18"/>
                      <w:lang w:val="fr-BE"/>
                    </w:rPr>
                    <w:t>LV</w:t>
                  </w:r>
                </w:p>
              </w:tc>
              <w:tc>
                <w:tcPr>
                  <w:tcW w:w="695" w:type="dxa"/>
                  <w:tcBorders>
                    <w:top w:val="single" w:sz="8" w:space="0" w:color="auto"/>
                    <w:left w:val="nil"/>
                    <w:bottom w:val="nil"/>
                    <w:right w:val="single" w:sz="8" w:space="0" w:color="auto"/>
                  </w:tcBorders>
                </w:tcPr>
                <w:p w14:paraId="2E24B143" w14:textId="77777777" w:rsidR="00BD154D" w:rsidRPr="008712BD" w:rsidRDefault="00BD154D" w:rsidP="00DF2591">
                  <w:pPr>
                    <w:spacing w:after="0" w:line="240" w:lineRule="auto"/>
                    <w:jc w:val="center"/>
                    <w:rPr>
                      <w:sz w:val="18"/>
                      <w:szCs w:val="18"/>
                      <w:lang w:val="fr-BE"/>
                    </w:rPr>
                  </w:pPr>
                  <w:r w:rsidRPr="008712BD">
                    <w:rPr>
                      <w:sz w:val="18"/>
                      <w:szCs w:val="18"/>
                      <w:lang w:val="fr-BE"/>
                    </w:rPr>
                    <w:t>0.66</w:t>
                  </w:r>
                </w:p>
              </w:tc>
            </w:tr>
            <w:tr w:rsidR="00BD154D" w:rsidRPr="005A553F" w14:paraId="26E9833F" w14:textId="77777777" w:rsidTr="00DF2591">
              <w:trPr>
                <w:trHeight w:val="258"/>
              </w:trPr>
              <w:tc>
                <w:tcPr>
                  <w:tcW w:w="497" w:type="dxa"/>
                  <w:tcBorders>
                    <w:top w:val="nil"/>
                    <w:left w:val="single" w:sz="8" w:space="0" w:color="auto"/>
                    <w:bottom w:val="nil"/>
                    <w:right w:val="nil"/>
                  </w:tcBorders>
                  <w:vAlign w:val="center"/>
                </w:tcPr>
                <w:p w14:paraId="342F37A2" w14:textId="77777777" w:rsidR="00BD154D" w:rsidRPr="008712BD" w:rsidRDefault="00BD154D" w:rsidP="00DF2591">
                  <w:pPr>
                    <w:spacing w:after="0" w:line="240" w:lineRule="auto"/>
                    <w:jc w:val="center"/>
                    <w:rPr>
                      <w:sz w:val="18"/>
                      <w:szCs w:val="18"/>
                      <w:lang w:val="fr-BE"/>
                    </w:rPr>
                  </w:pPr>
                  <w:r w:rsidRPr="008712BD">
                    <w:rPr>
                      <w:sz w:val="18"/>
                      <w:szCs w:val="18"/>
                      <w:lang w:val="fr-BE"/>
                    </w:rPr>
                    <w:t>BE</w:t>
                  </w:r>
                </w:p>
              </w:tc>
              <w:tc>
                <w:tcPr>
                  <w:tcW w:w="830" w:type="dxa"/>
                  <w:tcBorders>
                    <w:top w:val="nil"/>
                    <w:left w:val="nil"/>
                    <w:bottom w:val="nil"/>
                    <w:right w:val="single" w:sz="8" w:space="0" w:color="auto"/>
                  </w:tcBorders>
                </w:tcPr>
                <w:p w14:paraId="1276042B" w14:textId="77777777" w:rsidR="00BD154D" w:rsidRPr="008712BD" w:rsidRDefault="00BD154D" w:rsidP="00DF2591">
                  <w:pPr>
                    <w:spacing w:after="0" w:line="240" w:lineRule="auto"/>
                    <w:jc w:val="center"/>
                    <w:rPr>
                      <w:sz w:val="18"/>
                      <w:szCs w:val="18"/>
                      <w:lang w:val="fr-BE"/>
                    </w:rPr>
                  </w:pPr>
                  <w:r w:rsidRPr="008712BD">
                    <w:rPr>
                      <w:sz w:val="18"/>
                      <w:szCs w:val="18"/>
                      <w:lang w:val="fr-BE"/>
                    </w:rPr>
                    <w:t>23.23</w:t>
                  </w:r>
                </w:p>
              </w:tc>
              <w:tc>
                <w:tcPr>
                  <w:tcW w:w="495" w:type="dxa"/>
                  <w:tcBorders>
                    <w:top w:val="nil"/>
                    <w:left w:val="single" w:sz="8" w:space="0" w:color="auto"/>
                    <w:bottom w:val="nil"/>
                    <w:right w:val="nil"/>
                  </w:tcBorders>
                  <w:vAlign w:val="center"/>
                </w:tcPr>
                <w:p w14:paraId="548A8F94" w14:textId="77777777" w:rsidR="00BD154D" w:rsidRPr="008712BD" w:rsidRDefault="00BD154D" w:rsidP="00DF2591">
                  <w:pPr>
                    <w:spacing w:after="0" w:line="240" w:lineRule="auto"/>
                    <w:jc w:val="center"/>
                    <w:rPr>
                      <w:sz w:val="18"/>
                      <w:szCs w:val="18"/>
                      <w:lang w:val="fr-BE"/>
                    </w:rPr>
                  </w:pPr>
                  <w:r w:rsidRPr="008712BD">
                    <w:rPr>
                      <w:sz w:val="18"/>
                      <w:szCs w:val="18"/>
                      <w:lang w:val="fr-BE"/>
                    </w:rPr>
                    <w:t>FI</w:t>
                  </w:r>
                </w:p>
              </w:tc>
              <w:tc>
                <w:tcPr>
                  <w:tcW w:w="747" w:type="dxa"/>
                  <w:tcBorders>
                    <w:top w:val="nil"/>
                    <w:left w:val="nil"/>
                    <w:bottom w:val="nil"/>
                    <w:right w:val="single" w:sz="8" w:space="0" w:color="auto"/>
                  </w:tcBorders>
                </w:tcPr>
                <w:p w14:paraId="62B3162D" w14:textId="77777777" w:rsidR="00BD154D" w:rsidRPr="008712BD" w:rsidRDefault="00BD154D" w:rsidP="00DF2591">
                  <w:pPr>
                    <w:spacing w:after="0" w:line="240" w:lineRule="auto"/>
                    <w:jc w:val="center"/>
                    <w:rPr>
                      <w:sz w:val="18"/>
                      <w:szCs w:val="18"/>
                      <w:lang w:val="fr-BE"/>
                    </w:rPr>
                  </w:pPr>
                  <w:r w:rsidRPr="008712BD">
                    <w:rPr>
                      <w:sz w:val="18"/>
                      <w:szCs w:val="18"/>
                      <w:lang w:val="fr-BE"/>
                    </w:rPr>
                    <w:t>18.81</w:t>
                  </w:r>
                </w:p>
              </w:tc>
              <w:tc>
                <w:tcPr>
                  <w:tcW w:w="506" w:type="dxa"/>
                  <w:tcBorders>
                    <w:top w:val="nil"/>
                    <w:left w:val="single" w:sz="8" w:space="0" w:color="auto"/>
                    <w:bottom w:val="nil"/>
                    <w:right w:val="nil"/>
                  </w:tcBorders>
                  <w:vAlign w:val="center"/>
                </w:tcPr>
                <w:p w14:paraId="0B66AE64" w14:textId="77777777" w:rsidR="00BD154D" w:rsidRPr="008712BD" w:rsidRDefault="00BD154D" w:rsidP="00DF2591">
                  <w:pPr>
                    <w:spacing w:after="0" w:line="240" w:lineRule="auto"/>
                    <w:jc w:val="center"/>
                    <w:rPr>
                      <w:sz w:val="18"/>
                      <w:szCs w:val="18"/>
                      <w:lang w:val="fr-BE"/>
                    </w:rPr>
                  </w:pPr>
                  <w:r w:rsidRPr="008712BD">
                    <w:rPr>
                      <w:sz w:val="18"/>
                      <w:szCs w:val="18"/>
                      <w:lang w:val="fr-BE"/>
                    </w:rPr>
                    <w:t>MT</w:t>
                  </w:r>
                </w:p>
              </w:tc>
              <w:tc>
                <w:tcPr>
                  <w:tcW w:w="695" w:type="dxa"/>
                  <w:tcBorders>
                    <w:top w:val="nil"/>
                    <w:left w:val="nil"/>
                    <w:bottom w:val="nil"/>
                    <w:right w:val="single" w:sz="8" w:space="0" w:color="auto"/>
                  </w:tcBorders>
                </w:tcPr>
                <w:p w14:paraId="7D3CF755" w14:textId="77777777" w:rsidR="00BD154D" w:rsidRPr="008712BD" w:rsidRDefault="00BD154D" w:rsidP="00DF2591">
                  <w:pPr>
                    <w:spacing w:after="0" w:line="240" w:lineRule="auto"/>
                    <w:jc w:val="center"/>
                    <w:rPr>
                      <w:sz w:val="18"/>
                      <w:szCs w:val="18"/>
                      <w:lang w:val="fr-BE"/>
                    </w:rPr>
                  </w:pPr>
                  <w:r w:rsidRPr="008712BD">
                    <w:rPr>
                      <w:sz w:val="18"/>
                      <w:szCs w:val="18"/>
                      <w:lang w:val="fr-BE"/>
                    </w:rPr>
                    <w:t>0.03</w:t>
                  </w:r>
                </w:p>
              </w:tc>
            </w:tr>
            <w:tr w:rsidR="00BD154D" w:rsidRPr="005A553F" w14:paraId="321177F3" w14:textId="77777777" w:rsidTr="00DF2591">
              <w:trPr>
                <w:trHeight w:val="245"/>
              </w:trPr>
              <w:tc>
                <w:tcPr>
                  <w:tcW w:w="497" w:type="dxa"/>
                  <w:tcBorders>
                    <w:top w:val="nil"/>
                    <w:left w:val="single" w:sz="8" w:space="0" w:color="auto"/>
                    <w:bottom w:val="nil"/>
                    <w:right w:val="nil"/>
                  </w:tcBorders>
                  <w:vAlign w:val="center"/>
                </w:tcPr>
                <w:p w14:paraId="675CDC07" w14:textId="77777777" w:rsidR="00BD154D" w:rsidRPr="008712BD" w:rsidRDefault="00BD154D" w:rsidP="00DF2591">
                  <w:pPr>
                    <w:spacing w:after="0" w:line="240" w:lineRule="auto"/>
                    <w:jc w:val="center"/>
                    <w:rPr>
                      <w:sz w:val="18"/>
                      <w:szCs w:val="18"/>
                      <w:lang w:val="fr-BE"/>
                    </w:rPr>
                  </w:pPr>
                  <w:r w:rsidRPr="008712BD">
                    <w:rPr>
                      <w:sz w:val="18"/>
                      <w:szCs w:val="18"/>
                      <w:lang w:val="fr-BE"/>
                    </w:rPr>
                    <w:t>BG</w:t>
                  </w:r>
                </w:p>
              </w:tc>
              <w:tc>
                <w:tcPr>
                  <w:tcW w:w="830" w:type="dxa"/>
                  <w:tcBorders>
                    <w:top w:val="nil"/>
                    <w:left w:val="nil"/>
                    <w:bottom w:val="nil"/>
                    <w:right w:val="single" w:sz="8" w:space="0" w:color="auto"/>
                  </w:tcBorders>
                </w:tcPr>
                <w:p w14:paraId="7071F811" w14:textId="77777777" w:rsidR="00BD154D" w:rsidRPr="008712BD" w:rsidRDefault="00BD154D" w:rsidP="00DF2591">
                  <w:pPr>
                    <w:spacing w:after="0" w:line="240" w:lineRule="auto"/>
                    <w:jc w:val="center"/>
                    <w:rPr>
                      <w:sz w:val="18"/>
                      <w:szCs w:val="18"/>
                      <w:lang w:val="fr-BE"/>
                    </w:rPr>
                  </w:pPr>
                  <w:r w:rsidRPr="008712BD">
                    <w:rPr>
                      <w:sz w:val="18"/>
                      <w:szCs w:val="18"/>
                      <w:lang w:val="fr-BE"/>
                    </w:rPr>
                    <w:t>0.39</w:t>
                  </w:r>
                </w:p>
              </w:tc>
              <w:tc>
                <w:tcPr>
                  <w:tcW w:w="495" w:type="dxa"/>
                  <w:tcBorders>
                    <w:top w:val="nil"/>
                    <w:left w:val="single" w:sz="8" w:space="0" w:color="auto"/>
                    <w:bottom w:val="nil"/>
                    <w:right w:val="nil"/>
                  </w:tcBorders>
                  <w:vAlign w:val="center"/>
                </w:tcPr>
                <w:p w14:paraId="5F46AA39" w14:textId="77777777" w:rsidR="00BD154D" w:rsidRPr="008712BD" w:rsidRDefault="00BD154D" w:rsidP="00DF2591">
                  <w:pPr>
                    <w:spacing w:after="0" w:line="240" w:lineRule="auto"/>
                    <w:jc w:val="center"/>
                    <w:rPr>
                      <w:sz w:val="18"/>
                      <w:szCs w:val="18"/>
                      <w:lang w:val="fr-BE"/>
                    </w:rPr>
                  </w:pPr>
                  <w:r w:rsidRPr="008712BD">
                    <w:rPr>
                      <w:sz w:val="18"/>
                      <w:szCs w:val="18"/>
                      <w:lang w:val="fr-BE"/>
                    </w:rPr>
                    <w:t>FR</w:t>
                  </w:r>
                </w:p>
              </w:tc>
              <w:tc>
                <w:tcPr>
                  <w:tcW w:w="747" w:type="dxa"/>
                  <w:tcBorders>
                    <w:top w:val="nil"/>
                    <w:left w:val="nil"/>
                    <w:bottom w:val="nil"/>
                    <w:right w:val="single" w:sz="8" w:space="0" w:color="auto"/>
                  </w:tcBorders>
                </w:tcPr>
                <w:p w14:paraId="34FD24E6" w14:textId="77777777" w:rsidR="00BD154D" w:rsidRPr="008712BD" w:rsidRDefault="00BD154D" w:rsidP="00DF2591">
                  <w:pPr>
                    <w:spacing w:after="0" w:line="240" w:lineRule="auto"/>
                    <w:jc w:val="center"/>
                    <w:rPr>
                      <w:sz w:val="18"/>
                      <w:szCs w:val="18"/>
                      <w:lang w:val="fr-BE"/>
                    </w:rPr>
                  </w:pPr>
                  <w:r w:rsidRPr="008712BD">
                    <w:rPr>
                      <w:sz w:val="18"/>
                      <w:szCs w:val="18"/>
                      <w:lang w:val="fr-BE"/>
                    </w:rPr>
                    <w:t>85.90</w:t>
                  </w:r>
                </w:p>
              </w:tc>
              <w:tc>
                <w:tcPr>
                  <w:tcW w:w="506" w:type="dxa"/>
                  <w:tcBorders>
                    <w:top w:val="nil"/>
                    <w:left w:val="single" w:sz="8" w:space="0" w:color="auto"/>
                    <w:bottom w:val="nil"/>
                    <w:right w:val="nil"/>
                  </w:tcBorders>
                  <w:vAlign w:val="center"/>
                </w:tcPr>
                <w:p w14:paraId="6E7D5D60" w14:textId="77777777" w:rsidR="00BD154D" w:rsidRPr="008712BD" w:rsidRDefault="00BD154D" w:rsidP="00DF2591">
                  <w:pPr>
                    <w:spacing w:after="0" w:line="240" w:lineRule="auto"/>
                    <w:jc w:val="center"/>
                    <w:rPr>
                      <w:sz w:val="18"/>
                      <w:szCs w:val="18"/>
                      <w:lang w:val="fr-BE"/>
                    </w:rPr>
                  </w:pPr>
                  <w:r w:rsidRPr="008712BD">
                    <w:rPr>
                      <w:sz w:val="18"/>
                      <w:szCs w:val="18"/>
                      <w:lang w:val="fr-BE"/>
                    </w:rPr>
                    <w:t>NL</w:t>
                  </w:r>
                </w:p>
              </w:tc>
              <w:tc>
                <w:tcPr>
                  <w:tcW w:w="695" w:type="dxa"/>
                  <w:tcBorders>
                    <w:top w:val="nil"/>
                    <w:left w:val="nil"/>
                    <w:bottom w:val="nil"/>
                    <w:right w:val="single" w:sz="8" w:space="0" w:color="auto"/>
                  </w:tcBorders>
                </w:tcPr>
                <w:p w14:paraId="5A741333" w14:textId="77777777" w:rsidR="00BD154D" w:rsidRPr="008712BD" w:rsidRDefault="00BD154D" w:rsidP="00DF2591">
                  <w:pPr>
                    <w:spacing w:after="0" w:line="240" w:lineRule="auto"/>
                    <w:jc w:val="center"/>
                    <w:rPr>
                      <w:sz w:val="18"/>
                      <w:szCs w:val="18"/>
                      <w:lang w:val="fr-BE"/>
                    </w:rPr>
                  </w:pPr>
                  <w:r w:rsidRPr="008712BD">
                    <w:rPr>
                      <w:sz w:val="18"/>
                      <w:szCs w:val="18"/>
                      <w:lang w:val="fr-BE"/>
                    </w:rPr>
                    <w:t>53.79</w:t>
                  </w:r>
                </w:p>
              </w:tc>
            </w:tr>
            <w:tr w:rsidR="00BD154D" w:rsidRPr="005A553F" w14:paraId="47D5050C" w14:textId="77777777" w:rsidTr="00DF2591">
              <w:trPr>
                <w:trHeight w:val="245"/>
              </w:trPr>
              <w:tc>
                <w:tcPr>
                  <w:tcW w:w="497" w:type="dxa"/>
                  <w:tcBorders>
                    <w:top w:val="nil"/>
                    <w:left w:val="single" w:sz="8" w:space="0" w:color="auto"/>
                    <w:bottom w:val="nil"/>
                    <w:right w:val="nil"/>
                  </w:tcBorders>
                  <w:vAlign w:val="center"/>
                </w:tcPr>
                <w:p w14:paraId="633378BF" w14:textId="77777777" w:rsidR="00BD154D" w:rsidRPr="008712BD" w:rsidRDefault="00BD154D" w:rsidP="00DF2591">
                  <w:pPr>
                    <w:spacing w:after="0" w:line="240" w:lineRule="auto"/>
                    <w:jc w:val="center"/>
                    <w:rPr>
                      <w:sz w:val="18"/>
                      <w:szCs w:val="18"/>
                      <w:lang w:val="fr-BE"/>
                    </w:rPr>
                  </w:pPr>
                  <w:r w:rsidRPr="008712BD">
                    <w:rPr>
                      <w:sz w:val="18"/>
                      <w:szCs w:val="18"/>
                      <w:lang w:val="fr-BE"/>
                    </w:rPr>
                    <w:t>CY</w:t>
                  </w:r>
                </w:p>
              </w:tc>
              <w:tc>
                <w:tcPr>
                  <w:tcW w:w="830" w:type="dxa"/>
                  <w:tcBorders>
                    <w:top w:val="nil"/>
                    <w:left w:val="nil"/>
                    <w:bottom w:val="nil"/>
                    <w:right w:val="single" w:sz="8" w:space="0" w:color="auto"/>
                  </w:tcBorders>
                </w:tcPr>
                <w:p w14:paraId="48AC1E90" w14:textId="77777777" w:rsidR="00BD154D" w:rsidRPr="008712BD" w:rsidRDefault="00BD154D" w:rsidP="00DF2591">
                  <w:pPr>
                    <w:spacing w:after="0" w:line="240" w:lineRule="auto"/>
                    <w:jc w:val="center"/>
                    <w:rPr>
                      <w:sz w:val="18"/>
                      <w:szCs w:val="18"/>
                      <w:lang w:val="fr-BE"/>
                    </w:rPr>
                  </w:pPr>
                  <w:r w:rsidRPr="008712BD">
                    <w:rPr>
                      <w:sz w:val="18"/>
                      <w:szCs w:val="18"/>
                      <w:lang w:val="fr-BE"/>
                    </w:rPr>
                    <w:t>0.17</w:t>
                  </w:r>
                </w:p>
              </w:tc>
              <w:tc>
                <w:tcPr>
                  <w:tcW w:w="495" w:type="dxa"/>
                  <w:tcBorders>
                    <w:top w:val="nil"/>
                    <w:left w:val="single" w:sz="8" w:space="0" w:color="auto"/>
                    <w:bottom w:val="nil"/>
                    <w:right w:val="nil"/>
                  </w:tcBorders>
                  <w:vAlign w:val="center"/>
                </w:tcPr>
                <w:p w14:paraId="0E1D58BA" w14:textId="77777777" w:rsidR="00BD154D" w:rsidRPr="008712BD" w:rsidRDefault="00BD154D" w:rsidP="00DF2591">
                  <w:pPr>
                    <w:spacing w:after="0" w:line="240" w:lineRule="auto"/>
                    <w:jc w:val="center"/>
                    <w:rPr>
                      <w:sz w:val="18"/>
                      <w:szCs w:val="18"/>
                      <w:lang w:val="fr-BE"/>
                    </w:rPr>
                  </w:pPr>
                  <w:r w:rsidRPr="008712BD">
                    <w:rPr>
                      <w:sz w:val="18"/>
                      <w:szCs w:val="18"/>
                      <w:lang w:val="fr-BE"/>
                    </w:rPr>
                    <w:t>HR</w:t>
                  </w:r>
                </w:p>
              </w:tc>
              <w:tc>
                <w:tcPr>
                  <w:tcW w:w="747" w:type="dxa"/>
                  <w:tcBorders>
                    <w:top w:val="nil"/>
                    <w:left w:val="nil"/>
                    <w:bottom w:val="nil"/>
                    <w:right w:val="single" w:sz="8" w:space="0" w:color="auto"/>
                  </w:tcBorders>
                </w:tcPr>
                <w:p w14:paraId="16E185F4" w14:textId="77777777" w:rsidR="00BD154D" w:rsidRPr="008712BD" w:rsidRDefault="00BD154D" w:rsidP="00DF2591">
                  <w:pPr>
                    <w:spacing w:after="0" w:line="240" w:lineRule="auto"/>
                    <w:jc w:val="center"/>
                    <w:rPr>
                      <w:sz w:val="18"/>
                      <w:szCs w:val="18"/>
                      <w:lang w:val="fr-BE"/>
                    </w:rPr>
                  </w:pPr>
                  <w:r w:rsidRPr="008712BD">
                    <w:rPr>
                      <w:sz w:val="18"/>
                      <w:szCs w:val="18"/>
                      <w:lang w:val="fr-BE"/>
                    </w:rPr>
                    <w:t>0.73</w:t>
                  </w:r>
                </w:p>
              </w:tc>
              <w:tc>
                <w:tcPr>
                  <w:tcW w:w="506" w:type="dxa"/>
                  <w:tcBorders>
                    <w:top w:val="nil"/>
                    <w:left w:val="single" w:sz="8" w:space="0" w:color="auto"/>
                    <w:bottom w:val="nil"/>
                    <w:right w:val="nil"/>
                  </w:tcBorders>
                  <w:vAlign w:val="center"/>
                </w:tcPr>
                <w:p w14:paraId="64DCA5D3" w14:textId="77777777" w:rsidR="00BD154D" w:rsidRPr="008712BD" w:rsidRDefault="00BD154D" w:rsidP="00DF2591">
                  <w:pPr>
                    <w:spacing w:after="0" w:line="240" w:lineRule="auto"/>
                    <w:jc w:val="center"/>
                    <w:rPr>
                      <w:sz w:val="18"/>
                      <w:szCs w:val="18"/>
                      <w:lang w:val="fr-BE"/>
                    </w:rPr>
                  </w:pPr>
                  <w:r w:rsidRPr="008712BD">
                    <w:rPr>
                      <w:sz w:val="18"/>
                      <w:szCs w:val="18"/>
                      <w:lang w:val="fr-BE"/>
                    </w:rPr>
                    <w:t>PL</w:t>
                  </w:r>
                </w:p>
              </w:tc>
              <w:tc>
                <w:tcPr>
                  <w:tcW w:w="695" w:type="dxa"/>
                  <w:tcBorders>
                    <w:top w:val="nil"/>
                    <w:left w:val="nil"/>
                    <w:bottom w:val="nil"/>
                    <w:right w:val="single" w:sz="8" w:space="0" w:color="auto"/>
                  </w:tcBorders>
                </w:tcPr>
                <w:p w14:paraId="7FD274BA" w14:textId="77777777" w:rsidR="00BD154D" w:rsidRPr="008712BD" w:rsidRDefault="00BD154D" w:rsidP="00DF2591">
                  <w:pPr>
                    <w:spacing w:after="0" w:line="240" w:lineRule="auto"/>
                    <w:jc w:val="center"/>
                    <w:rPr>
                      <w:sz w:val="18"/>
                      <w:szCs w:val="18"/>
                      <w:lang w:val="fr-BE"/>
                    </w:rPr>
                  </w:pPr>
                  <w:r w:rsidRPr="008712BD">
                    <w:rPr>
                      <w:sz w:val="18"/>
                      <w:szCs w:val="18"/>
                      <w:lang w:val="fr-BE"/>
                    </w:rPr>
                    <w:t>1.07</w:t>
                  </w:r>
                </w:p>
              </w:tc>
            </w:tr>
            <w:tr w:rsidR="00BD154D" w:rsidRPr="005A553F" w14:paraId="77B35BAF" w14:textId="77777777" w:rsidTr="00DF2591">
              <w:trPr>
                <w:trHeight w:val="258"/>
              </w:trPr>
              <w:tc>
                <w:tcPr>
                  <w:tcW w:w="497" w:type="dxa"/>
                  <w:tcBorders>
                    <w:top w:val="nil"/>
                    <w:left w:val="single" w:sz="8" w:space="0" w:color="auto"/>
                    <w:bottom w:val="nil"/>
                    <w:right w:val="nil"/>
                  </w:tcBorders>
                  <w:vAlign w:val="center"/>
                </w:tcPr>
                <w:p w14:paraId="522F7267" w14:textId="77777777" w:rsidR="00BD154D" w:rsidRPr="008712BD" w:rsidRDefault="00BD154D" w:rsidP="00DF2591">
                  <w:pPr>
                    <w:spacing w:after="0" w:line="240" w:lineRule="auto"/>
                    <w:jc w:val="center"/>
                    <w:rPr>
                      <w:sz w:val="18"/>
                      <w:szCs w:val="18"/>
                      <w:lang w:val="fr-BE"/>
                    </w:rPr>
                  </w:pPr>
                  <w:r w:rsidRPr="008712BD">
                    <w:rPr>
                      <w:sz w:val="18"/>
                      <w:szCs w:val="18"/>
                      <w:lang w:val="fr-BE"/>
                    </w:rPr>
                    <w:t>CZ</w:t>
                  </w:r>
                </w:p>
              </w:tc>
              <w:tc>
                <w:tcPr>
                  <w:tcW w:w="830" w:type="dxa"/>
                  <w:tcBorders>
                    <w:top w:val="nil"/>
                    <w:left w:val="nil"/>
                    <w:bottom w:val="nil"/>
                    <w:right w:val="single" w:sz="8" w:space="0" w:color="auto"/>
                  </w:tcBorders>
                </w:tcPr>
                <w:p w14:paraId="0144B97B" w14:textId="77777777" w:rsidR="00BD154D" w:rsidRPr="008712BD" w:rsidRDefault="00BD154D" w:rsidP="00DF2591">
                  <w:pPr>
                    <w:spacing w:after="0" w:line="240" w:lineRule="auto"/>
                    <w:jc w:val="center"/>
                    <w:rPr>
                      <w:sz w:val="18"/>
                      <w:szCs w:val="18"/>
                      <w:lang w:val="fr-BE"/>
                    </w:rPr>
                  </w:pPr>
                  <w:r w:rsidRPr="008712BD">
                    <w:rPr>
                      <w:sz w:val="18"/>
                      <w:szCs w:val="18"/>
                      <w:lang w:val="fr-BE"/>
                    </w:rPr>
                    <w:t>1.46</w:t>
                  </w:r>
                </w:p>
              </w:tc>
              <w:tc>
                <w:tcPr>
                  <w:tcW w:w="495" w:type="dxa"/>
                  <w:tcBorders>
                    <w:top w:val="nil"/>
                    <w:left w:val="single" w:sz="8" w:space="0" w:color="auto"/>
                    <w:bottom w:val="nil"/>
                    <w:right w:val="nil"/>
                  </w:tcBorders>
                  <w:vAlign w:val="center"/>
                </w:tcPr>
                <w:p w14:paraId="448C51EA" w14:textId="77777777" w:rsidR="00BD154D" w:rsidRPr="008712BD" w:rsidRDefault="00BD154D" w:rsidP="00DF2591">
                  <w:pPr>
                    <w:spacing w:after="0" w:line="240" w:lineRule="auto"/>
                    <w:jc w:val="center"/>
                    <w:rPr>
                      <w:sz w:val="18"/>
                      <w:szCs w:val="18"/>
                      <w:lang w:val="fr-BE"/>
                    </w:rPr>
                  </w:pPr>
                  <w:r w:rsidRPr="008712BD">
                    <w:rPr>
                      <w:sz w:val="18"/>
                      <w:szCs w:val="18"/>
                      <w:lang w:val="fr-BE"/>
                    </w:rPr>
                    <w:t>HU</w:t>
                  </w:r>
                </w:p>
              </w:tc>
              <w:tc>
                <w:tcPr>
                  <w:tcW w:w="747" w:type="dxa"/>
                  <w:tcBorders>
                    <w:top w:val="nil"/>
                    <w:left w:val="nil"/>
                    <w:bottom w:val="nil"/>
                    <w:right w:val="single" w:sz="8" w:space="0" w:color="auto"/>
                  </w:tcBorders>
                </w:tcPr>
                <w:p w14:paraId="562F5A9F" w14:textId="77777777" w:rsidR="00BD154D" w:rsidRPr="008712BD" w:rsidRDefault="00BD154D" w:rsidP="00DF2591">
                  <w:pPr>
                    <w:spacing w:after="0" w:line="240" w:lineRule="auto"/>
                    <w:jc w:val="center"/>
                    <w:rPr>
                      <w:sz w:val="18"/>
                      <w:szCs w:val="18"/>
                      <w:lang w:val="fr-BE"/>
                    </w:rPr>
                  </w:pPr>
                  <w:r w:rsidRPr="008712BD">
                    <w:rPr>
                      <w:sz w:val="18"/>
                      <w:szCs w:val="18"/>
                      <w:lang w:val="fr-BE"/>
                    </w:rPr>
                    <w:t>0.02</w:t>
                  </w:r>
                </w:p>
              </w:tc>
              <w:tc>
                <w:tcPr>
                  <w:tcW w:w="506" w:type="dxa"/>
                  <w:tcBorders>
                    <w:top w:val="nil"/>
                    <w:left w:val="single" w:sz="8" w:space="0" w:color="auto"/>
                    <w:bottom w:val="nil"/>
                    <w:right w:val="nil"/>
                  </w:tcBorders>
                  <w:vAlign w:val="center"/>
                </w:tcPr>
                <w:p w14:paraId="71B4582E" w14:textId="77777777" w:rsidR="00BD154D" w:rsidRPr="008712BD" w:rsidRDefault="00BD154D" w:rsidP="00DF2591">
                  <w:pPr>
                    <w:spacing w:after="0" w:line="240" w:lineRule="auto"/>
                    <w:jc w:val="center"/>
                    <w:rPr>
                      <w:sz w:val="18"/>
                      <w:szCs w:val="18"/>
                      <w:lang w:val="fr-BE"/>
                    </w:rPr>
                  </w:pPr>
                  <w:r w:rsidRPr="008712BD">
                    <w:rPr>
                      <w:sz w:val="18"/>
                      <w:szCs w:val="18"/>
                      <w:lang w:val="fr-BE"/>
                    </w:rPr>
                    <w:t>PT</w:t>
                  </w:r>
                </w:p>
              </w:tc>
              <w:tc>
                <w:tcPr>
                  <w:tcW w:w="695" w:type="dxa"/>
                  <w:tcBorders>
                    <w:top w:val="nil"/>
                    <w:left w:val="nil"/>
                    <w:bottom w:val="nil"/>
                    <w:right w:val="single" w:sz="8" w:space="0" w:color="auto"/>
                  </w:tcBorders>
                </w:tcPr>
                <w:p w14:paraId="2EA7D56C" w14:textId="77777777" w:rsidR="00BD154D" w:rsidRPr="008712BD" w:rsidRDefault="00BD154D" w:rsidP="00DF2591">
                  <w:pPr>
                    <w:spacing w:after="0" w:line="240" w:lineRule="auto"/>
                    <w:jc w:val="center"/>
                    <w:rPr>
                      <w:sz w:val="18"/>
                      <w:szCs w:val="18"/>
                      <w:lang w:val="fr-BE"/>
                    </w:rPr>
                  </w:pPr>
                  <w:r w:rsidRPr="008712BD">
                    <w:rPr>
                      <w:sz w:val="18"/>
                      <w:szCs w:val="18"/>
                      <w:lang w:val="fr-BE"/>
                    </w:rPr>
                    <w:t>0.76</w:t>
                  </w:r>
                </w:p>
              </w:tc>
            </w:tr>
            <w:tr w:rsidR="00BD154D" w:rsidRPr="005A553F" w14:paraId="62EE9E0B" w14:textId="77777777" w:rsidTr="00DF2591">
              <w:trPr>
                <w:trHeight w:val="245"/>
              </w:trPr>
              <w:tc>
                <w:tcPr>
                  <w:tcW w:w="497" w:type="dxa"/>
                  <w:tcBorders>
                    <w:top w:val="nil"/>
                    <w:left w:val="single" w:sz="8" w:space="0" w:color="auto"/>
                    <w:bottom w:val="nil"/>
                    <w:right w:val="nil"/>
                  </w:tcBorders>
                  <w:vAlign w:val="center"/>
                </w:tcPr>
                <w:p w14:paraId="36D14568" w14:textId="77777777" w:rsidR="00BD154D" w:rsidRPr="008712BD" w:rsidRDefault="00BD154D" w:rsidP="00DF2591">
                  <w:pPr>
                    <w:spacing w:after="0" w:line="240" w:lineRule="auto"/>
                    <w:jc w:val="center"/>
                    <w:rPr>
                      <w:sz w:val="18"/>
                      <w:szCs w:val="18"/>
                      <w:lang w:val="fr-BE"/>
                    </w:rPr>
                  </w:pPr>
                  <w:r w:rsidRPr="008712BD">
                    <w:rPr>
                      <w:sz w:val="18"/>
                      <w:szCs w:val="18"/>
                      <w:lang w:val="fr-BE"/>
                    </w:rPr>
                    <w:t>DE</w:t>
                  </w:r>
                </w:p>
              </w:tc>
              <w:tc>
                <w:tcPr>
                  <w:tcW w:w="830" w:type="dxa"/>
                  <w:tcBorders>
                    <w:top w:val="nil"/>
                    <w:left w:val="nil"/>
                    <w:bottom w:val="nil"/>
                    <w:right w:val="single" w:sz="8" w:space="0" w:color="auto"/>
                  </w:tcBorders>
                </w:tcPr>
                <w:p w14:paraId="156071F0" w14:textId="77777777" w:rsidR="00BD154D" w:rsidRPr="008712BD" w:rsidRDefault="00BD154D" w:rsidP="00DF2591">
                  <w:pPr>
                    <w:spacing w:after="0" w:line="240" w:lineRule="auto"/>
                    <w:jc w:val="center"/>
                    <w:rPr>
                      <w:sz w:val="18"/>
                      <w:szCs w:val="18"/>
                      <w:lang w:val="fr-BE"/>
                    </w:rPr>
                  </w:pPr>
                  <w:r w:rsidRPr="008712BD">
                    <w:rPr>
                      <w:sz w:val="18"/>
                      <w:szCs w:val="18"/>
                      <w:lang w:val="fr-BE"/>
                    </w:rPr>
                    <w:t>155.32</w:t>
                  </w:r>
                </w:p>
              </w:tc>
              <w:tc>
                <w:tcPr>
                  <w:tcW w:w="495" w:type="dxa"/>
                  <w:tcBorders>
                    <w:top w:val="nil"/>
                    <w:left w:val="single" w:sz="8" w:space="0" w:color="auto"/>
                    <w:bottom w:val="nil"/>
                    <w:right w:val="nil"/>
                  </w:tcBorders>
                  <w:vAlign w:val="center"/>
                </w:tcPr>
                <w:p w14:paraId="2FFFBEC8" w14:textId="77777777" w:rsidR="00BD154D" w:rsidRPr="008712BD" w:rsidRDefault="00BD154D" w:rsidP="00DF2591">
                  <w:pPr>
                    <w:spacing w:after="0" w:line="240" w:lineRule="auto"/>
                    <w:jc w:val="center"/>
                    <w:rPr>
                      <w:sz w:val="18"/>
                      <w:szCs w:val="18"/>
                      <w:lang w:val="fr-BE"/>
                    </w:rPr>
                  </w:pPr>
                  <w:r w:rsidRPr="008712BD">
                    <w:rPr>
                      <w:sz w:val="18"/>
                      <w:szCs w:val="18"/>
                      <w:lang w:val="fr-BE"/>
                    </w:rPr>
                    <w:t>IE</w:t>
                  </w:r>
                </w:p>
              </w:tc>
              <w:tc>
                <w:tcPr>
                  <w:tcW w:w="747" w:type="dxa"/>
                  <w:tcBorders>
                    <w:top w:val="nil"/>
                    <w:left w:val="nil"/>
                    <w:bottom w:val="nil"/>
                    <w:right w:val="single" w:sz="8" w:space="0" w:color="auto"/>
                  </w:tcBorders>
                </w:tcPr>
                <w:p w14:paraId="0146DA26" w14:textId="77777777" w:rsidR="00BD154D" w:rsidRPr="008712BD" w:rsidRDefault="00BD154D" w:rsidP="00DF2591">
                  <w:pPr>
                    <w:spacing w:after="0" w:line="240" w:lineRule="auto"/>
                    <w:jc w:val="center"/>
                    <w:rPr>
                      <w:sz w:val="18"/>
                      <w:szCs w:val="18"/>
                      <w:lang w:val="fr-BE"/>
                    </w:rPr>
                  </w:pPr>
                  <w:r w:rsidRPr="008712BD">
                    <w:rPr>
                      <w:sz w:val="18"/>
                      <w:szCs w:val="18"/>
                      <w:lang w:val="fr-BE"/>
                    </w:rPr>
                    <w:t>0.28</w:t>
                  </w:r>
                </w:p>
              </w:tc>
              <w:tc>
                <w:tcPr>
                  <w:tcW w:w="506" w:type="dxa"/>
                  <w:tcBorders>
                    <w:top w:val="nil"/>
                    <w:left w:val="single" w:sz="8" w:space="0" w:color="auto"/>
                    <w:bottom w:val="nil"/>
                    <w:right w:val="nil"/>
                  </w:tcBorders>
                  <w:vAlign w:val="center"/>
                </w:tcPr>
                <w:p w14:paraId="162B8EF7" w14:textId="77777777" w:rsidR="00BD154D" w:rsidRPr="008712BD" w:rsidRDefault="00BD154D" w:rsidP="00DF2591">
                  <w:pPr>
                    <w:spacing w:after="0" w:line="240" w:lineRule="auto"/>
                    <w:jc w:val="center"/>
                    <w:rPr>
                      <w:sz w:val="18"/>
                      <w:szCs w:val="18"/>
                      <w:lang w:val="fr-BE"/>
                    </w:rPr>
                  </w:pPr>
                  <w:r w:rsidRPr="008712BD">
                    <w:rPr>
                      <w:sz w:val="18"/>
                      <w:szCs w:val="18"/>
                      <w:lang w:val="fr-BE"/>
                    </w:rPr>
                    <w:t>RO</w:t>
                  </w:r>
                </w:p>
              </w:tc>
              <w:tc>
                <w:tcPr>
                  <w:tcW w:w="695" w:type="dxa"/>
                  <w:tcBorders>
                    <w:top w:val="nil"/>
                    <w:left w:val="nil"/>
                    <w:bottom w:val="nil"/>
                    <w:right w:val="single" w:sz="8" w:space="0" w:color="auto"/>
                  </w:tcBorders>
                </w:tcPr>
                <w:p w14:paraId="20186530" w14:textId="77777777" w:rsidR="00BD154D" w:rsidRPr="008712BD" w:rsidRDefault="00BD154D" w:rsidP="00DF2591">
                  <w:pPr>
                    <w:spacing w:after="0" w:line="240" w:lineRule="auto"/>
                    <w:jc w:val="center"/>
                    <w:rPr>
                      <w:sz w:val="18"/>
                      <w:szCs w:val="18"/>
                      <w:lang w:val="fr-BE"/>
                    </w:rPr>
                  </w:pPr>
                  <w:r w:rsidRPr="008712BD">
                    <w:rPr>
                      <w:sz w:val="18"/>
                      <w:szCs w:val="18"/>
                      <w:lang w:val="fr-BE"/>
                    </w:rPr>
                    <w:t>0.26</w:t>
                  </w:r>
                </w:p>
              </w:tc>
            </w:tr>
            <w:tr w:rsidR="00BD154D" w:rsidRPr="005A553F" w14:paraId="485F49F3" w14:textId="77777777" w:rsidTr="00DF2591">
              <w:trPr>
                <w:trHeight w:val="258"/>
              </w:trPr>
              <w:tc>
                <w:tcPr>
                  <w:tcW w:w="497" w:type="dxa"/>
                  <w:tcBorders>
                    <w:top w:val="nil"/>
                    <w:left w:val="single" w:sz="8" w:space="0" w:color="auto"/>
                    <w:bottom w:val="nil"/>
                    <w:right w:val="nil"/>
                  </w:tcBorders>
                  <w:vAlign w:val="center"/>
                </w:tcPr>
                <w:p w14:paraId="7731E5A5" w14:textId="77777777" w:rsidR="00BD154D" w:rsidRPr="008712BD" w:rsidRDefault="00BD154D" w:rsidP="00DF2591">
                  <w:pPr>
                    <w:spacing w:after="0" w:line="240" w:lineRule="auto"/>
                    <w:jc w:val="center"/>
                    <w:rPr>
                      <w:sz w:val="18"/>
                      <w:szCs w:val="18"/>
                      <w:lang w:val="fr-BE"/>
                    </w:rPr>
                  </w:pPr>
                  <w:r w:rsidRPr="008712BD">
                    <w:rPr>
                      <w:sz w:val="18"/>
                      <w:szCs w:val="18"/>
                      <w:lang w:val="fr-BE"/>
                    </w:rPr>
                    <w:t>DK</w:t>
                  </w:r>
                </w:p>
              </w:tc>
              <w:tc>
                <w:tcPr>
                  <w:tcW w:w="830" w:type="dxa"/>
                  <w:tcBorders>
                    <w:top w:val="nil"/>
                    <w:left w:val="nil"/>
                    <w:bottom w:val="nil"/>
                    <w:right w:val="single" w:sz="8" w:space="0" w:color="auto"/>
                  </w:tcBorders>
                </w:tcPr>
                <w:p w14:paraId="5043E4C6" w14:textId="77777777" w:rsidR="00BD154D" w:rsidRPr="008712BD" w:rsidRDefault="00BD154D" w:rsidP="00DF2591">
                  <w:pPr>
                    <w:spacing w:after="0" w:line="240" w:lineRule="auto"/>
                    <w:jc w:val="center"/>
                    <w:rPr>
                      <w:sz w:val="18"/>
                      <w:szCs w:val="18"/>
                      <w:lang w:val="fr-BE"/>
                    </w:rPr>
                  </w:pPr>
                  <w:r w:rsidRPr="008712BD">
                    <w:rPr>
                      <w:sz w:val="18"/>
                      <w:szCs w:val="18"/>
                      <w:lang w:val="fr-BE"/>
                    </w:rPr>
                    <w:t>24.05</w:t>
                  </w:r>
                </w:p>
              </w:tc>
              <w:tc>
                <w:tcPr>
                  <w:tcW w:w="495" w:type="dxa"/>
                  <w:tcBorders>
                    <w:top w:val="nil"/>
                    <w:left w:val="single" w:sz="8" w:space="0" w:color="auto"/>
                    <w:bottom w:val="nil"/>
                    <w:right w:val="nil"/>
                  </w:tcBorders>
                  <w:vAlign w:val="center"/>
                </w:tcPr>
                <w:p w14:paraId="57AC6741" w14:textId="77777777" w:rsidR="00BD154D" w:rsidRPr="008712BD" w:rsidRDefault="00BD154D" w:rsidP="00DF2591">
                  <w:pPr>
                    <w:spacing w:after="0" w:line="240" w:lineRule="auto"/>
                    <w:jc w:val="center"/>
                    <w:rPr>
                      <w:sz w:val="18"/>
                      <w:szCs w:val="18"/>
                      <w:lang w:val="fr-BE"/>
                    </w:rPr>
                  </w:pPr>
                  <w:r w:rsidRPr="008712BD">
                    <w:rPr>
                      <w:sz w:val="18"/>
                      <w:szCs w:val="18"/>
                      <w:lang w:val="fr-BE"/>
                    </w:rPr>
                    <w:t>IT</w:t>
                  </w:r>
                </w:p>
              </w:tc>
              <w:tc>
                <w:tcPr>
                  <w:tcW w:w="747" w:type="dxa"/>
                  <w:tcBorders>
                    <w:top w:val="nil"/>
                    <w:left w:val="nil"/>
                    <w:bottom w:val="nil"/>
                    <w:right w:val="single" w:sz="8" w:space="0" w:color="auto"/>
                  </w:tcBorders>
                </w:tcPr>
                <w:p w14:paraId="0C0214F7" w14:textId="77777777" w:rsidR="00BD154D" w:rsidRPr="008712BD" w:rsidRDefault="00BD154D" w:rsidP="00DF2591">
                  <w:pPr>
                    <w:spacing w:after="0" w:line="240" w:lineRule="auto"/>
                    <w:jc w:val="center"/>
                    <w:rPr>
                      <w:sz w:val="18"/>
                      <w:szCs w:val="18"/>
                      <w:lang w:val="fr-BE"/>
                    </w:rPr>
                  </w:pPr>
                  <w:r w:rsidRPr="008712BD">
                    <w:rPr>
                      <w:sz w:val="18"/>
                      <w:szCs w:val="18"/>
                      <w:lang w:val="fr-BE"/>
                    </w:rPr>
                    <w:t>54.40</w:t>
                  </w:r>
                </w:p>
              </w:tc>
              <w:tc>
                <w:tcPr>
                  <w:tcW w:w="506" w:type="dxa"/>
                  <w:tcBorders>
                    <w:top w:val="nil"/>
                    <w:left w:val="single" w:sz="8" w:space="0" w:color="auto"/>
                    <w:bottom w:val="nil"/>
                    <w:right w:val="nil"/>
                  </w:tcBorders>
                  <w:vAlign w:val="center"/>
                </w:tcPr>
                <w:p w14:paraId="46EAEDDE" w14:textId="77777777" w:rsidR="00BD154D" w:rsidRPr="008712BD" w:rsidRDefault="00BD154D" w:rsidP="00DF2591">
                  <w:pPr>
                    <w:spacing w:after="0" w:line="240" w:lineRule="auto"/>
                    <w:jc w:val="center"/>
                    <w:rPr>
                      <w:sz w:val="18"/>
                      <w:szCs w:val="18"/>
                      <w:lang w:val="fr-BE"/>
                    </w:rPr>
                  </w:pPr>
                  <w:r w:rsidRPr="008712BD">
                    <w:rPr>
                      <w:sz w:val="18"/>
                      <w:szCs w:val="18"/>
                      <w:lang w:val="fr-BE"/>
                    </w:rPr>
                    <w:t>SE</w:t>
                  </w:r>
                </w:p>
              </w:tc>
              <w:tc>
                <w:tcPr>
                  <w:tcW w:w="695" w:type="dxa"/>
                  <w:tcBorders>
                    <w:top w:val="nil"/>
                    <w:left w:val="nil"/>
                    <w:bottom w:val="nil"/>
                    <w:right w:val="single" w:sz="8" w:space="0" w:color="auto"/>
                  </w:tcBorders>
                </w:tcPr>
                <w:p w14:paraId="3DB448F2" w14:textId="77777777" w:rsidR="00BD154D" w:rsidRPr="008712BD" w:rsidRDefault="00BD154D" w:rsidP="00DF2591">
                  <w:pPr>
                    <w:spacing w:after="0" w:line="240" w:lineRule="auto"/>
                    <w:jc w:val="center"/>
                    <w:rPr>
                      <w:sz w:val="18"/>
                      <w:szCs w:val="18"/>
                      <w:lang w:val="fr-BE"/>
                    </w:rPr>
                  </w:pPr>
                  <w:r w:rsidRPr="008712BD">
                    <w:rPr>
                      <w:sz w:val="18"/>
                      <w:szCs w:val="18"/>
                      <w:lang w:val="fr-BE"/>
                    </w:rPr>
                    <w:t>9.60</w:t>
                  </w:r>
                </w:p>
              </w:tc>
            </w:tr>
            <w:tr w:rsidR="00BD154D" w:rsidRPr="005A553F" w14:paraId="537BB2D2" w14:textId="77777777" w:rsidTr="00DF2591">
              <w:trPr>
                <w:trHeight w:val="245"/>
              </w:trPr>
              <w:tc>
                <w:tcPr>
                  <w:tcW w:w="497" w:type="dxa"/>
                  <w:tcBorders>
                    <w:top w:val="nil"/>
                    <w:left w:val="single" w:sz="8" w:space="0" w:color="auto"/>
                    <w:bottom w:val="nil"/>
                    <w:right w:val="nil"/>
                  </w:tcBorders>
                  <w:vAlign w:val="center"/>
                </w:tcPr>
                <w:p w14:paraId="0AA4C78C" w14:textId="77777777" w:rsidR="00BD154D" w:rsidRPr="008712BD" w:rsidRDefault="00BD154D" w:rsidP="00DF2591">
                  <w:pPr>
                    <w:spacing w:after="0" w:line="240" w:lineRule="auto"/>
                    <w:jc w:val="center"/>
                    <w:rPr>
                      <w:sz w:val="18"/>
                      <w:szCs w:val="18"/>
                      <w:lang w:val="fr-BE"/>
                    </w:rPr>
                  </w:pPr>
                  <w:r w:rsidRPr="008712BD">
                    <w:rPr>
                      <w:sz w:val="18"/>
                      <w:szCs w:val="18"/>
                      <w:lang w:val="fr-BE"/>
                    </w:rPr>
                    <w:t>EE</w:t>
                  </w:r>
                </w:p>
              </w:tc>
              <w:tc>
                <w:tcPr>
                  <w:tcW w:w="830" w:type="dxa"/>
                  <w:tcBorders>
                    <w:top w:val="nil"/>
                    <w:left w:val="nil"/>
                    <w:bottom w:val="nil"/>
                    <w:right w:val="single" w:sz="8" w:space="0" w:color="auto"/>
                  </w:tcBorders>
                </w:tcPr>
                <w:p w14:paraId="6E87F849" w14:textId="77777777" w:rsidR="00BD154D" w:rsidRPr="008712BD" w:rsidRDefault="00BD154D" w:rsidP="00DF2591">
                  <w:pPr>
                    <w:spacing w:after="0" w:line="240" w:lineRule="auto"/>
                    <w:jc w:val="center"/>
                    <w:rPr>
                      <w:sz w:val="18"/>
                      <w:szCs w:val="18"/>
                      <w:lang w:val="fr-BE"/>
                    </w:rPr>
                  </w:pPr>
                  <w:r w:rsidRPr="008712BD">
                    <w:rPr>
                      <w:sz w:val="18"/>
                      <w:szCs w:val="18"/>
                      <w:lang w:val="fr-BE"/>
                    </w:rPr>
                    <w:t>0.61</w:t>
                  </w:r>
                </w:p>
              </w:tc>
              <w:tc>
                <w:tcPr>
                  <w:tcW w:w="495" w:type="dxa"/>
                  <w:tcBorders>
                    <w:top w:val="nil"/>
                    <w:left w:val="single" w:sz="8" w:space="0" w:color="auto"/>
                    <w:bottom w:val="nil"/>
                    <w:right w:val="nil"/>
                  </w:tcBorders>
                  <w:vAlign w:val="center"/>
                </w:tcPr>
                <w:p w14:paraId="714CEBB9" w14:textId="77777777" w:rsidR="00BD154D" w:rsidRPr="008712BD" w:rsidRDefault="00BD154D" w:rsidP="00DF2591">
                  <w:pPr>
                    <w:spacing w:after="0" w:line="240" w:lineRule="auto"/>
                    <w:jc w:val="center"/>
                    <w:rPr>
                      <w:sz w:val="18"/>
                      <w:szCs w:val="18"/>
                      <w:lang w:val="fr-BE"/>
                    </w:rPr>
                  </w:pPr>
                  <w:r w:rsidRPr="008712BD">
                    <w:rPr>
                      <w:sz w:val="18"/>
                      <w:szCs w:val="18"/>
                      <w:lang w:val="fr-BE"/>
                    </w:rPr>
                    <w:t>LT</w:t>
                  </w:r>
                </w:p>
              </w:tc>
              <w:tc>
                <w:tcPr>
                  <w:tcW w:w="747" w:type="dxa"/>
                  <w:tcBorders>
                    <w:top w:val="nil"/>
                    <w:left w:val="nil"/>
                    <w:bottom w:val="nil"/>
                    <w:right w:val="single" w:sz="8" w:space="0" w:color="auto"/>
                  </w:tcBorders>
                </w:tcPr>
                <w:p w14:paraId="2EFC04EE" w14:textId="77777777" w:rsidR="00BD154D" w:rsidRPr="008712BD" w:rsidRDefault="00BD154D" w:rsidP="00DF2591">
                  <w:pPr>
                    <w:spacing w:after="0" w:line="240" w:lineRule="auto"/>
                    <w:jc w:val="center"/>
                    <w:rPr>
                      <w:sz w:val="18"/>
                      <w:szCs w:val="18"/>
                      <w:lang w:val="fr-BE"/>
                    </w:rPr>
                  </w:pPr>
                  <w:r w:rsidRPr="008712BD">
                    <w:rPr>
                      <w:sz w:val="18"/>
                      <w:szCs w:val="18"/>
                      <w:lang w:val="fr-BE"/>
                    </w:rPr>
                    <w:t>0.13</w:t>
                  </w:r>
                </w:p>
              </w:tc>
              <w:tc>
                <w:tcPr>
                  <w:tcW w:w="506" w:type="dxa"/>
                  <w:tcBorders>
                    <w:top w:val="nil"/>
                    <w:left w:val="single" w:sz="8" w:space="0" w:color="auto"/>
                    <w:bottom w:val="nil"/>
                    <w:right w:val="nil"/>
                  </w:tcBorders>
                  <w:vAlign w:val="center"/>
                </w:tcPr>
                <w:p w14:paraId="1555E785" w14:textId="77777777" w:rsidR="00BD154D" w:rsidRPr="008712BD" w:rsidRDefault="00BD154D" w:rsidP="00DF2591">
                  <w:pPr>
                    <w:spacing w:after="0" w:line="240" w:lineRule="auto"/>
                    <w:jc w:val="center"/>
                    <w:rPr>
                      <w:sz w:val="18"/>
                      <w:szCs w:val="18"/>
                      <w:lang w:val="fr-BE"/>
                    </w:rPr>
                  </w:pPr>
                  <w:r w:rsidRPr="008712BD">
                    <w:rPr>
                      <w:sz w:val="18"/>
                      <w:szCs w:val="18"/>
                      <w:lang w:val="fr-BE"/>
                    </w:rPr>
                    <w:t>SI</w:t>
                  </w:r>
                </w:p>
              </w:tc>
              <w:tc>
                <w:tcPr>
                  <w:tcW w:w="695" w:type="dxa"/>
                  <w:tcBorders>
                    <w:top w:val="nil"/>
                    <w:left w:val="nil"/>
                    <w:bottom w:val="nil"/>
                    <w:right w:val="single" w:sz="8" w:space="0" w:color="auto"/>
                  </w:tcBorders>
                </w:tcPr>
                <w:p w14:paraId="1B9F909E" w14:textId="77777777" w:rsidR="00BD154D" w:rsidRPr="008712BD" w:rsidRDefault="00BD154D" w:rsidP="00DF2591">
                  <w:pPr>
                    <w:spacing w:after="0" w:line="240" w:lineRule="auto"/>
                    <w:jc w:val="center"/>
                    <w:rPr>
                      <w:sz w:val="18"/>
                      <w:szCs w:val="18"/>
                      <w:lang w:val="fr-BE"/>
                    </w:rPr>
                  </w:pPr>
                  <w:r w:rsidRPr="008712BD">
                    <w:rPr>
                      <w:sz w:val="18"/>
                      <w:szCs w:val="18"/>
                      <w:lang w:val="fr-BE"/>
                    </w:rPr>
                    <w:t>4.31</w:t>
                  </w:r>
                </w:p>
              </w:tc>
            </w:tr>
            <w:tr w:rsidR="00BD154D" w:rsidRPr="005A553F" w14:paraId="4E425FDB" w14:textId="77777777" w:rsidTr="00DF2591">
              <w:trPr>
                <w:trHeight w:val="80"/>
              </w:trPr>
              <w:tc>
                <w:tcPr>
                  <w:tcW w:w="497" w:type="dxa"/>
                  <w:tcBorders>
                    <w:top w:val="nil"/>
                    <w:left w:val="single" w:sz="8" w:space="0" w:color="auto"/>
                    <w:bottom w:val="single" w:sz="8" w:space="0" w:color="auto"/>
                    <w:right w:val="nil"/>
                  </w:tcBorders>
                  <w:vAlign w:val="center"/>
                </w:tcPr>
                <w:p w14:paraId="4B880FAF" w14:textId="77777777" w:rsidR="00BD154D" w:rsidRPr="008712BD" w:rsidRDefault="00BD154D" w:rsidP="00DF2591">
                  <w:pPr>
                    <w:spacing w:after="0" w:line="240" w:lineRule="auto"/>
                    <w:jc w:val="center"/>
                    <w:rPr>
                      <w:sz w:val="18"/>
                      <w:szCs w:val="18"/>
                      <w:lang w:val="fr-BE"/>
                    </w:rPr>
                  </w:pPr>
                  <w:r w:rsidRPr="008712BD">
                    <w:rPr>
                      <w:sz w:val="18"/>
                      <w:szCs w:val="18"/>
                      <w:lang w:val="fr-BE"/>
                    </w:rPr>
                    <w:t>EL</w:t>
                  </w:r>
                </w:p>
              </w:tc>
              <w:tc>
                <w:tcPr>
                  <w:tcW w:w="830" w:type="dxa"/>
                  <w:tcBorders>
                    <w:top w:val="nil"/>
                    <w:left w:val="nil"/>
                    <w:bottom w:val="single" w:sz="8" w:space="0" w:color="auto"/>
                    <w:right w:val="single" w:sz="8" w:space="0" w:color="auto"/>
                  </w:tcBorders>
                </w:tcPr>
                <w:p w14:paraId="3DCE8DE8" w14:textId="77777777" w:rsidR="00BD154D" w:rsidRPr="008712BD" w:rsidRDefault="00BD154D" w:rsidP="00DF2591">
                  <w:pPr>
                    <w:spacing w:after="0" w:line="240" w:lineRule="auto"/>
                    <w:jc w:val="center"/>
                    <w:rPr>
                      <w:sz w:val="18"/>
                      <w:szCs w:val="18"/>
                      <w:lang w:val="fr-BE"/>
                    </w:rPr>
                  </w:pPr>
                  <w:r w:rsidRPr="008712BD">
                    <w:rPr>
                      <w:sz w:val="18"/>
                      <w:szCs w:val="18"/>
                      <w:lang w:val="fr-BE"/>
                    </w:rPr>
                    <w:t>6.15</w:t>
                  </w:r>
                </w:p>
              </w:tc>
              <w:tc>
                <w:tcPr>
                  <w:tcW w:w="495" w:type="dxa"/>
                  <w:tcBorders>
                    <w:top w:val="nil"/>
                    <w:left w:val="single" w:sz="8" w:space="0" w:color="auto"/>
                    <w:bottom w:val="single" w:sz="8" w:space="0" w:color="auto"/>
                    <w:right w:val="nil"/>
                  </w:tcBorders>
                  <w:vAlign w:val="center"/>
                </w:tcPr>
                <w:p w14:paraId="3826D53F" w14:textId="77777777" w:rsidR="00BD154D" w:rsidRPr="008712BD" w:rsidRDefault="00BD154D" w:rsidP="00DF2591">
                  <w:pPr>
                    <w:spacing w:after="0" w:line="240" w:lineRule="auto"/>
                    <w:jc w:val="center"/>
                    <w:rPr>
                      <w:sz w:val="18"/>
                      <w:szCs w:val="18"/>
                      <w:lang w:val="fr-BE"/>
                    </w:rPr>
                  </w:pPr>
                  <w:r w:rsidRPr="008712BD">
                    <w:rPr>
                      <w:sz w:val="18"/>
                      <w:szCs w:val="18"/>
                      <w:lang w:val="fr-BE"/>
                    </w:rPr>
                    <w:t>LU</w:t>
                  </w:r>
                </w:p>
              </w:tc>
              <w:tc>
                <w:tcPr>
                  <w:tcW w:w="747" w:type="dxa"/>
                  <w:tcBorders>
                    <w:top w:val="nil"/>
                    <w:left w:val="nil"/>
                    <w:bottom w:val="single" w:sz="8" w:space="0" w:color="auto"/>
                    <w:right w:val="single" w:sz="8" w:space="0" w:color="auto"/>
                  </w:tcBorders>
                </w:tcPr>
                <w:p w14:paraId="44CFB52B" w14:textId="77777777" w:rsidR="00BD154D" w:rsidRPr="008712BD" w:rsidRDefault="00BD154D" w:rsidP="00DF2591">
                  <w:pPr>
                    <w:spacing w:after="0" w:line="240" w:lineRule="auto"/>
                    <w:jc w:val="center"/>
                    <w:rPr>
                      <w:sz w:val="18"/>
                      <w:szCs w:val="18"/>
                      <w:lang w:val="fr-BE"/>
                    </w:rPr>
                  </w:pPr>
                  <w:r w:rsidRPr="008712BD">
                    <w:rPr>
                      <w:sz w:val="18"/>
                      <w:szCs w:val="18"/>
                      <w:lang w:val="fr-BE"/>
                    </w:rPr>
                    <w:t>1.64</w:t>
                  </w:r>
                </w:p>
              </w:tc>
              <w:tc>
                <w:tcPr>
                  <w:tcW w:w="506" w:type="dxa"/>
                  <w:tcBorders>
                    <w:top w:val="nil"/>
                    <w:left w:val="single" w:sz="8" w:space="0" w:color="auto"/>
                    <w:bottom w:val="single" w:sz="8" w:space="0" w:color="auto"/>
                    <w:right w:val="nil"/>
                  </w:tcBorders>
                  <w:vAlign w:val="center"/>
                </w:tcPr>
                <w:p w14:paraId="6F65FFF2" w14:textId="77777777" w:rsidR="00BD154D" w:rsidRPr="008712BD" w:rsidRDefault="00BD154D" w:rsidP="00DF2591">
                  <w:pPr>
                    <w:spacing w:after="0" w:line="240" w:lineRule="auto"/>
                    <w:jc w:val="center"/>
                    <w:rPr>
                      <w:sz w:val="18"/>
                      <w:szCs w:val="18"/>
                      <w:lang w:val="fr-BE"/>
                    </w:rPr>
                  </w:pPr>
                  <w:r w:rsidRPr="008712BD">
                    <w:rPr>
                      <w:sz w:val="18"/>
                      <w:szCs w:val="18"/>
                      <w:lang w:val="fr-BE"/>
                    </w:rPr>
                    <w:t>UK</w:t>
                  </w:r>
                </w:p>
              </w:tc>
              <w:tc>
                <w:tcPr>
                  <w:tcW w:w="695" w:type="dxa"/>
                  <w:tcBorders>
                    <w:top w:val="nil"/>
                    <w:left w:val="nil"/>
                    <w:bottom w:val="single" w:sz="8" w:space="0" w:color="auto"/>
                    <w:right w:val="single" w:sz="8" w:space="0" w:color="auto"/>
                  </w:tcBorders>
                </w:tcPr>
                <w:p w14:paraId="3718D223" w14:textId="77777777" w:rsidR="00BD154D" w:rsidRPr="008712BD" w:rsidRDefault="00BD154D" w:rsidP="00DF2591">
                  <w:pPr>
                    <w:spacing w:after="0" w:line="240" w:lineRule="auto"/>
                    <w:jc w:val="center"/>
                    <w:rPr>
                      <w:sz w:val="18"/>
                      <w:szCs w:val="18"/>
                      <w:lang w:val="fr-BE"/>
                    </w:rPr>
                  </w:pPr>
                  <w:r w:rsidRPr="008712BD">
                    <w:rPr>
                      <w:sz w:val="18"/>
                      <w:szCs w:val="18"/>
                      <w:lang w:val="fr-BE"/>
                    </w:rPr>
                    <w:t>78.39</w:t>
                  </w:r>
                </w:p>
              </w:tc>
            </w:tr>
          </w:tbl>
          <w:p w14:paraId="636437E9" w14:textId="77777777" w:rsidR="00BD154D" w:rsidRPr="005063C9" w:rsidRDefault="00BD154D" w:rsidP="00DF2591">
            <w:pPr>
              <w:spacing w:after="0" w:line="240" w:lineRule="auto"/>
              <w:jc w:val="center"/>
              <w:rPr>
                <w:rFonts w:eastAsia="Times New Roman" w:cs="Calibri"/>
                <w:color w:val="000000"/>
                <w:sz w:val="18"/>
                <w:szCs w:val="18"/>
                <w:lang w:val="en-US" w:eastAsia="en-GB"/>
              </w:rPr>
            </w:pPr>
          </w:p>
        </w:tc>
      </w:tr>
      <w:tr w:rsidR="00BD154D" w:rsidRPr="004133DA" w14:paraId="34E17220" w14:textId="77777777" w:rsidTr="00DF2591">
        <w:trPr>
          <w:trHeight w:val="2373"/>
        </w:trPr>
        <w:tc>
          <w:tcPr>
            <w:tcW w:w="829" w:type="dxa"/>
            <w:shd w:val="clear" w:color="auto" w:fill="auto"/>
            <w:vAlign w:val="center"/>
            <w:hideMark/>
          </w:tcPr>
          <w:p w14:paraId="26C6D113" w14:textId="77777777" w:rsidR="00BD154D" w:rsidRPr="004133DA" w:rsidRDefault="00BD154D" w:rsidP="00DF2591">
            <w:pPr>
              <w:spacing w:after="0" w:line="240" w:lineRule="auto"/>
              <w:jc w:val="center"/>
              <w:rPr>
                <w:rFonts w:eastAsia="Times New Roman" w:cs="Calibri"/>
                <w:color w:val="000000"/>
                <w:sz w:val="18"/>
                <w:szCs w:val="18"/>
                <w:lang w:val="en-US" w:eastAsia="en-GB"/>
              </w:rPr>
            </w:pPr>
            <w:r w:rsidRPr="004133DA">
              <w:rPr>
                <w:rFonts w:eastAsia="Times New Roman" w:cs="Calibri"/>
                <w:color w:val="000000"/>
                <w:sz w:val="18"/>
                <w:szCs w:val="18"/>
                <w:lang w:val="en-US" w:eastAsia="en-GB"/>
              </w:rPr>
              <w:t>N/A</w:t>
            </w:r>
          </w:p>
        </w:tc>
        <w:tc>
          <w:tcPr>
            <w:tcW w:w="1916" w:type="dxa"/>
            <w:shd w:val="clear" w:color="auto" w:fill="auto"/>
            <w:vAlign w:val="center"/>
            <w:hideMark/>
          </w:tcPr>
          <w:p w14:paraId="344F9D58" w14:textId="77777777" w:rsidR="00BD154D" w:rsidRPr="004133DA" w:rsidRDefault="00BD154D" w:rsidP="00DF2591">
            <w:pPr>
              <w:spacing w:after="0" w:line="240" w:lineRule="auto"/>
              <w:jc w:val="center"/>
              <w:rPr>
                <w:rFonts w:eastAsia="Times New Roman" w:cs="Calibri"/>
                <w:color w:val="000000"/>
                <w:sz w:val="18"/>
                <w:szCs w:val="18"/>
                <w:lang w:val="en-US" w:eastAsia="en-GB"/>
              </w:rPr>
            </w:pPr>
            <w:r w:rsidRPr="004133DA">
              <w:rPr>
                <w:rFonts w:eastAsia="Times New Roman" w:cs="Calibri"/>
                <w:color w:val="000000"/>
                <w:sz w:val="18"/>
                <w:szCs w:val="18"/>
                <w:lang w:val="en-US" w:eastAsia="en-GB"/>
              </w:rPr>
              <w:t>Total number of participations by Associated Countries</w:t>
            </w:r>
          </w:p>
        </w:tc>
        <w:tc>
          <w:tcPr>
            <w:tcW w:w="2320" w:type="dxa"/>
            <w:shd w:val="clear" w:color="auto" w:fill="auto"/>
            <w:vAlign w:val="center"/>
            <w:hideMark/>
          </w:tcPr>
          <w:p w14:paraId="6D5411D5" w14:textId="77777777" w:rsidR="00BD154D" w:rsidRPr="004133DA" w:rsidRDefault="00BD154D" w:rsidP="00DF2591">
            <w:pPr>
              <w:spacing w:after="0" w:line="240" w:lineRule="auto"/>
              <w:jc w:val="center"/>
              <w:rPr>
                <w:rFonts w:eastAsia="Times New Roman" w:cs="Calibri"/>
                <w:color w:val="000000"/>
                <w:sz w:val="18"/>
                <w:szCs w:val="18"/>
                <w:lang w:val="en-US" w:eastAsia="en-GB"/>
              </w:rPr>
            </w:pPr>
            <w:r w:rsidRPr="004133DA">
              <w:rPr>
                <w:rFonts w:eastAsia="Times New Roman" w:cs="Calibri"/>
                <w:color w:val="000000"/>
                <w:sz w:val="18"/>
                <w:szCs w:val="18"/>
                <w:lang w:val="en-US" w:eastAsia="en-GB"/>
              </w:rPr>
              <w:t xml:space="preserve">Nationality of </w:t>
            </w:r>
            <w:r>
              <w:rPr>
                <w:rFonts w:eastAsia="Times New Roman" w:cs="Calibri"/>
                <w:color w:val="000000"/>
                <w:sz w:val="18"/>
                <w:szCs w:val="18"/>
                <w:lang w:val="en-US" w:eastAsia="en-GB"/>
              </w:rPr>
              <w:t>H</w:t>
            </w:r>
            <w:r w:rsidRPr="004133DA">
              <w:rPr>
                <w:rFonts w:eastAsia="Times New Roman" w:cs="Calibri"/>
                <w:color w:val="000000"/>
                <w:sz w:val="18"/>
                <w:szCs w:val="18"/>
                <w:lang w:val="en-US" w:eastAsia="en-GB"/>
              </w:rPr>
              <w:t xml:space="preserve">2020 applicants </w:t>
            </w:r>
            <w:r>
              <w:rPr>
                <w:rFonts w:eastAsia="Times New Roman" w:cs="Calibri"/>
                <w:color w:val="000000"/>
                <w:sz w:val="18"/>
                <w:szCs w:val="18"/>
                <w:lang w:val="en-US" w:eastAsia="en-GB"/>
              </w:rPr>
              <w:t>and</w:t>
            </w:r>
            <w:r w:rsidRPr="004133DA">
              <w:rPr>
                <w:rFonts w:eastAsia="Times New Roman" w:cs="Calibri"/>
                <w:color w:val="000000"/>
                <w:sz w:val="18"/>
                <w:szCs w:val="18"/>
                <w:lang w:val="en-US" w:eastAsia="en-GB"/>
              </w:rPr>
              <w:t xml:space="preserve"> beneficiaries (number)</w:t>
            </w:r>
          </w:p>
        </w:tc>
        <w:tc>
          <w:tcPr>
            <w:tcW w:w="4139" w:type="dxa"/>
            <w:shd w:val="clear" w:color="auto" w:fill="auto"/>
            <w:hideMark/>
          </w:tcPr>
          <w:p w14:paraId="4D3D028D" w14:textId="77777777" w:rsidR="00BD154D" w:rsidRDefault="00BD154D" w:rsidP="00DF2591">
            <w:pPr>
              <w:spacing w:after="0" w:line="240" w:lineRule="auto"/>
              <w:jc w:val="center"/>
              <w:rPr>
                <w:rFonts w:eastAsia="Times New Roman" w:cs="Calibri"/>
                <w:color w:val="000000"/>
                <w:sz w:val="18"/>
                <w:szCs w:val="18"/>
                <w:highlight w:val="yellow"/>
                <w:lang w:val="en-US" w:eastAsia="en-GB"/>
              </w:rPr>
            </w:pPr>
          </w:p>
          <w:tbl>
            <w:tblPr>
              <w:tblStyle w:val="TableGrid"/>
              <w:tblW w:w="0" w:type="auto"/>
              <w:tblInd w:w="3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80"/>
              <w:gridCol w:w="284"/>
              <w:gridCol w:w="1490"/>
            </w:tblGrid>
            <w:tr w:rsidR="00BD154D" w14:paraId="31431EE1" w14:textId="77777777" w:rsidTr="00DF2591">
              <w:trPr>
                <w:trHeight w:val="324"/>
              </w:trPr>
              <w:tc>
                <w:tcPr>
                  <w:tcW w:w="3054" w:type="dxa"/>
                  <w:gridSpan w:val="3"/>
                </w:tcPr>
                <w:p w14:paraId="3897C3E6" w14:textId="77777777" w:rsidR="00BD154D" w:rsidRDefault="00BD154D" w:rsidP="00DF2591">
                  <w:pPr>
                    <w:spacing w:after="0" w:line="240" w:lineRule="auto"/>
                    <w:jc w:val="center"/>
                    <w:rPr>
                      <w:sz w:val="18"/>
                      <w:szCs w:val="18"/>
                      <w:lang w:val="fr-BE"/>
                    </w:rPr>
                  </w:pPr>
                  <w:r>
                    <w:rPr>
                      <w:sz w:val="18"/>
                      <w:szCs w:val="18"/>
                      <w:lang w:val="fr-BE"/>
                    </w:rPr>
                    <w:t>Associated Countries</w:t>
                  </w:r>
                </w:p>
              </w:tc>
            </w:tr>
            <w:tr w:rsidR="00BD154D" w14:paraId="4AC3D41C" w14:textId="77777777" w:rsidTr="00DF2591">
              <w:trPr>
                <w:trHeight w:val="347"/>
              </w:trPr>
              <w:tc>
                <w:tcPr>
                  <w:tcW w:w="1280" w:type="dxa"/>
                  <w:tcBorders>
                    <w:top w:val="single" w:sz="4" w:space="0" w:color="auto"/>
                    <w:left w:val="single" w:sz="4" w:space="0" w:color="auto"/>
                    <w:right w:val="single" w:sz="4" w:space="0" w:color="auto"/>
                  </w:tcBorders>
                  <w:vAlign w:val="center"/>
                </w:tcPr>
                <w:p w14:paraId="77046CC9" w14:textId="77777777" w:rsidR="00BD154D" w:rsidRDefault="00BD154D" w:rsidP="00DF2591">
                  <w:pPr>
                    <w:spacing w:after="0" w:line="240" w:lineRule="auto"/>
                    <w:jc w:val="center"/>
                    <w:rPr>
                      <w:sz w:val="18"/>
                      <w:szCs w:val="18"/>
                      <w:lang w:val="fr-BE"/>
                    </w:rPr>
                  </w:pPr>
                  <w:r>
                    <w:rPr>
                      <w:sz w:val="18"/>
                      <w:szCs w:val="18"/>
                      <w:lang w:val="fr-BE"/>
                    </w:rPr>
                    <w:t>Application Participations</w:t>
                  </w:r>
                </w:p>
              </w:tc>
              <w:tc>
                <w:tcPr>
                  <w:tcW w:w="284" w:type="dxa"/>
                  <w:vMerge w:val="restart"/>
                  <w:tcBorders>
                    <w:left w:val="single" w:sz="4" w:space="0" w:color="auto"/>
                    <w:right w:val="single" w:sz="4" w:space="0" w:color="auto"/>
                  </w:tcBorders>
                </w:tcPr>
                <w:p w14:paraId="7FCE4D0F" w14:textId="77777777" w:rsidR="00BD154D" w:rsidRPr="008A4BD2" w:rsidRDefault="00BD154D" w:rsidP="00DF2591">
                  <w:pPr>
                    <w:spacing w:after="0" w:line="240" w:lineRule="auto"/>
                    <w:jc w:val="center"/>
                    <w:rPr>
                      <w:sz w:val="18"/>
                      <w:szCs w:val="18"/>
                    </w:rPr>
                  </w:pPr>
                </w:p>
              </w:tc>
              <w:tc>
                <w:tcPr>
                  <w:tcW w:w="1490" w:type="dxa"/>
                  <w:tcBorders>
                    <w:top w:val="single" w:sz="4" w:space="0" w:color="auto"/>
                    <w:left w:val="single" w:sz="4" w:space="0" w:color="auto"/>
                    <w:right w:val="single" w:sz="4" w:space="0" w:color="auto"/>
                  </w:tcBorders>
                  <w:vAlign w:val="center"/>
                </w:tcPr>
                <w:p w14:paraId="286F23F9" w14:textId="77777777" w:rsidR="00BD154D" w:rsidRDefault="00BD154D" w:rsidP="00DF2591">
                  <w:pPr>
                    <w:spacing w:after="0" w:line="240" w:lineRule="auto"/>
                    <w:jc w:val="center"/>
                    <w:rPr>
                      <w:sz w:val="18"/>
                      <w:szCs w:val="18"/>
                      <w:lang w:val="fr-BE"/>
                    </w:rPr>
                  </w:pPr>
                  <w:r w:rsidRPr="008A4BD2">
                    <w:rPr>
                      <w:sz w:val="18"/>
                      <w:szCs w:val="18"/>
                    </w:rPr>
                    <w:t>Applica</w:t>
                  </w:r>
                  <w:r>
                    <w:rPr>
                      <w:sz w:val="18"/>
                      <w:szCs w:val="18"/>
                    </w:rPr>
                    <w:t>tion Participants</w:t>
                  </w:r>
                </w:p>
              </w:tc>
            </w:tr>
            <w:tr w:rsidR="00BD154D" w14:paraId="5AD0C0CD" w14:textId="77777777" w:rsidTr="00DF2591">
              <w:trPr>
                <w:trHeight w:val="347"/>
              </w:trPr>
              <w:tc>
                <w:tcPr>
                  <w:tcW w:w="1280" w:type="dxa"/>
                  <w:tcBorders>
                    <w:left w:val="single" w:sz="4" w:space="0" w:color="auto"/>
                    <w:right w:val="single" w:sz="4" w:space="0" w:color="auto"/>
                  </w:tcBorders>
                  <w:vAlign w:val="center"/>
                </w:tcPr>
                <w:p w14:paraId="55AD090B" w14:textId="77777777" w:rsidR="00BD154D" w:rsidRDefault="00BD154D" w:rsidP="00DF2591">
                  <w:pPr>
                    <w:spacing w:after="0" w:line="240" w:lineRule="auto"/>
                    <w:jc w:val="center"/>
                    <w:rPr>
                      <w:sz w:val="18"/>
                      <w:szCs w:val="18"/>
                      <w:lang w:val="fr-BE"/>
                    </w:rPr>
                  </w:pPr>
                  <w:r>
                    <w:rPr>
                      <w:sz w:val="18"/>
                      <w:szCs w:val="18"/>
                      <w:lang w:val="fr-BE"/>
                    </w:rPr>
                    <w:t>353</w:t>
                  </w:r>
                </w:p>
              </w:tc>
              <w:tc>
                <w:tcPr>
                  <w:tcW w:w="284" w:type="dxa"/>
                  <w:vMerge/>
                  <w:tcBorders>
                    <w:left w:val="single" w:sz="4" w:space="0" w:color="auto"/>
                    <w:right w:val="single" w:sz="4" w:space="0" w:color="auto"/>
                  </w:tcBorders>
                </w:tcPr>
                <w:p w14:paraId="6A40C0C9" w14:textId="77777777" w:rsidR="00BD154D" w:rsidRDefault="00BD154D" w:rsidP="00DF2591">
                  <w:pPr>
                    <w:spacing w:after="0" w:line="240" w:lineRule="auto"/>
                    <w:jc w:val="center"/>
                    <w:rPr>
                      <w:sz w:val="18"/>
                      <w:szCs w:val="18"/>
                      <w:lang w:val="fr-BE"/>
                    </w:rPr>
                  </w:pPr>
                </w:p>
              </w:tc>
              <w:tc>
                <w:tcPr>
                  <w:tcW w:w="1490" w:type="dxa"/>
                  <w:tcBorders>
                    <w:left w:val="single" w:sz="4" w:space="0" w:color="auto"/>
                    <w:right w:val="single" w:sz="4" w:space="0" w:color="auto"/>
                  </w:tcBorders>
                  <w:vAlign w:val="center"/>
                </w:tcPr>
                <w:p w14:paraId="5130DE66" w14:textId="77777777" w:rsidR="00BD154D" w:rsidRDefault="00BD154D" w:rsidP="00DF2591">
                  <w:pPr>
                    <w:spacing w:after="0" w:line="240" w:lineRule="auto"/>
                    <w:jc w:val="center"/>
                    <w:rPr>
                      <w:sz w:val="18"/>
                      <w:szCs w:val="18"/>
                      <w:lang w:val="fr-BE"/>
                    </w:rPr>
                  </w:pPr>
                  <w:r>
                    <w:rPr>
                      <w:sz w:val="18"/>
                      <w:szCs w:val="18"/>
                      <w:lang w:val="fr-BE"/>
                    </w:rPr>
                    <w:t>150</w:t>
                  </w:r>
                </w:p>
              </w:tc>
            </w:tr>
            <w:tr w:rsidR="00BD154D" w14:paraId="00E198CF" w14:textId="77777777" w:rsidTr="00DF2591">
              <w:trPr>
                <w:trHeight w:val="324"/>
              </w:trPr>
              <w:tc>
                <w:tcPr>
                  <w:tcW w:w="1280" w:type="dxa"/>
                  <w:tcBorders>
                    <w:left w:val="single" w:sz="4" w:space="0" w:color="auto"/>
                    <w:right w:val="single" w:sz="4" w:space="0" w:color="auto"/>
                  </w:tcBorders>
                  <w:vAlign w:val="center"/>
                </w:tcPr>
                <w:p w14:paraId="158158D5" w14:textId="77777777" w:rsidR="00BD154D" w:rsidRDefault="00BD154D" w:rsidP="00DF2591">
                  <w:pPr>
                    <w:spacing w:after="0" w:line="240" w:lineRule="auto"/>
                    <w:jc w:val="center"/>
                    <w:rPr>
                      <w:sz w:val="18"/>
                      <w:szCs w:val="18"/>
                      <w:lang w:val="fr-BE"/>
                    </w:rPr>
                  </w:pPr>
                  <w:r>
                    <w:rPr>
                      <w:sz w:val="18"/>
                      <w:szCs w:val="18"/>
                      <w:lang w:val="fr-BE"/>
                    </w:rPr>
                    <w:t>Grant Participations</w:t>
                  </w:r>
                </w:p>
              </w:tc>
              <w:tc>
                <w:tcPr>
                  <w:tcW w:w="284" w:type="dxa"/>
                  <w:vMerge/>
                  <w:tcBorders>
                    <w:left w:val="single" w:sz="4" w:space="0" w:color="auto"/>
                    <w:right w:val="single" w:sz="4" w:space="0" w:color="auto"/>
                  </w:tcBorders>
                </w:tcPr>
                <w:p w14:paraId="1E39AD7C" w14:textId="77777777" w:rsidR="00BD154D" w:rsidRDefault="00BD154D" w:rsidP="00DF2591">
                  <w:pPr>
                    <w:spacing w:after="0" w:line="240" w:lineRule="auto"/>
                    <w:jc w:val="center"/>
                    <w:rPr>
                      <w:sz w:val="18"/>
                      <w:szCs w:val="18"/>
                      <w:lang w:val="fr-BE"/>
                    </w:rPr>
                  </w:pPr>
                </w:p>
              </w:tc>
              <w:tc>
                <w:tcPr>
                  <w:tcW w:w="1490" w:type="dxa"/>
                  <w:tcBorders>
                    <w:left w:val="single" w:sz="4" w:space="0" w:color="auto"/>
                    <w:right w:val="single" w:sz="4" w:space="0" w:color="auto"/>
                  </w:tcBorders>
                  <w:vAlign w:val="center"/>
                </w:tcPr>
                <w:p w14:paraId="25C13A2D" w14:textId="77777777" w:rsidR="00BD154D" w:rsidRDefault="00BD154D" w:rsidP="00DF2591">
                  <w:pPr>
                    <w:spacing w:after="0" w:line="240" w:lineRule="auto"/>
                    <w:jc w:val="center"/>
                    <w:rPr>
                      <w:sz w:val="18"/>
                      <w:szCs w:val="18"/>
                      <w:lang w:val="fr-BE"/>
                    </w:rPr>
                  </w:pPr>
                  <w:r>
                    <w:rPr>
                      <w:sz w:val="18"/>
                      <w:szCs w:val="18"/>
                      <w:lang w:val="fr-BE"/>
                    </w:rPr>
                    <w:t>Grant Participants</w:t>
                  </w:r>
                </w:p>
              </w:tc>
            </w:tr>
            <w:tr w:rsidR="00BD154D" w14:paraId="01FE2E7F" w14:textId="77777777" w:rsidTr="00DF2591">
              <w:trPr>
                <w:trHeight w:val="347"/>
              </w:trPr>
              <w:tc>
                <w:tcPr>
                  <w:tcW w:w="1280" w:type="dxa"/>
                  <w:tcBorders>
                    <w:left w:val="single" w:sz="4" w:space="0" w:color="auto"/>
                    <w:bottom w:val="single" w:sz="4" w:space="0" w:color="auto"/>
                    <w:right w:val="single" w:sz="4" w:space="0" w:color="auto"/>
                  </w:tcBorders>
                  <w:vAlign w:val="center"/>
                </w:tcPr>
                <w:p w14:paraId="69AFE31C" w14:textId="77777777" w:rsidR="00BD154D" w:rsidRDefault="00BD154D" w:rsidP="00DF2591">
                  <w:pPr>
                    <w:spacing w:after="0" w:line="240" w:lineRule="auto"/>
                    <w:jc w:val="center"/>
                    <w:rPr>
                      <w:sz w:val="18"/>
                      <w:szCs w:val="18"/>
                      <w:lang w:val="fr-BE"/>
                    </w:rPr>
                  </w:pPr>
                  <w:r>
                    <w:rPr>
                      <w:sz w:val="18"/>
                      <w:szCs w:val="18"/>
                      <w:lang w:val="fr-BE"/>
                    </w:rPr>
                    <w:t>153</w:t>
                  </w:r>
                </w:p>
              </w:tc>
              <w:tc>
                <w:tcPr>
                  <w:tcW w:w="284" w:type="dxa"/>
                  <w:vMerge/>
                  <w:tcBorders>
                    <w:left w:val="single" w:sz="4" w:space="0" w:color="auto"/>
                    <w:right w:val="single" w:sz="4" w:space="0" w:color="auto"/>
                  </w:tcBorders>
                </w:tcPr>
                <w:p w14:paraId="1BA8A5EE" w14:textId="77777777" w:rsidR="00BD154D" w:rsidRDefault="00BD154D" w:rsidP="00DF2591">
                  <w:pPr>
                    <w:spacing w:after="0" w:line="240" w:lineRule="auto"/>
                    <w:jc w:val="center"/>
                    <w:rPr>
                      <w:sz w:val="18"/>
                      <w:szCs w:val="18"/>
                      <w:lang w:val="fr-BE"/>
                    </w:rPr>
                  </w:pPr>
                </w:p>
              </w:tc>
              <w:tc>
                <w:tcPr>
                  <w:tcW w:w="1490" w:type="dxa"/>
                  <w:tcBorders>
                    <w:left w:val="single" w:sz="4" w:space="0" w:color="auto"/>
                    <w:bottom w:val="single" w:sz="4" w:space="0" w:color="auto"/>
                    <w:right w:val="single" w:sz="4" w:space="0" w:color="auto"/>
                  </w:tcBorders>
                  <w:vAlign w:val="center"/>
                </w:tcPr>
                <w:p w14:paraId="2FF26AF6" w14:textId="77777777" w:rsidR="00BD154D" w:rsidRDefault="00BD154D" w:rsidP="00DF2591">
                  <w:pPr>
                    <w:spacing w:after="0" w:line="240" w:lineRule="auto"/>
                    <w:jc w:val="center"/>
                    <w:rPr>
                      <w:sz w:val="18"/>
                      <w:szCs w:val="18"/>
                      <w:lang w:val="fr-BE"/>
                    </w:rPr>
                  </w:pPr>
                  <w:r>
                    <w:rPr>
                      <w:sz w:val="18"/>
                      <w:szCs w:val="18"/>
                      <w:lang w:val="fr-BE"/>
                    </w:rPr>
                    <w:t>80</w:t>
                  </w:r>
                </w:p>
              </w:tc>
            </w:tr>
          </w:tbl>
          <w:p w14:paraId="0F4A6A6C" w14:textId="77777777" w:rsidR="00BD154D" w:rsidRPr="00B169B6" w:rsidRDefault="00BD154D" w:rsidP="00DF2591">
            <w:pPr>
              <w:spacing w:after="0" w:line="240" w:lineRule="auto"/>
              <w:rPr>
                <w:rFonts w:eastAsia="Times New Roman" w:cs="Calibri"/>
                <w:color w:val="000000"/>
                <w:sz w:val="18"/>
                <w:szCs w:val="18"/>
                <w:highlight w:val="yellow"/>
                <w:lang w:val="en-US" w:eastAsia="en-GB"/>
              </w:rPr>
            </w:pPr>
          </w:p>
        </w:tc>
      </w:tr>
      <w:tr w:rsidR="00BD154D" w:rsidRPr="004133DA" w14:paraId="73C0FB05" w14:textId="77777777" w:rsidTr="00DF2591">
        <w:trPr>
          <w:trHeight w:val="2698"/>
        </w:trPr>
        <w:tc>
          <w:tcPr>
            <w:tcW w:w="829" w:type="dxa"/>
            <w:shd w:val="clear" w:color="auto" w:fill="auto"/>
            <w:vAlign w:val="center"/>
            <w:hideMark/>
          </w:tcPr>
          <w:p w14:paraId="47E40BA4" w14:textId="77777777" w:rsidR="00BD154D" w:rsidRPr="004133DA" w:rsidRDefault="00BD154D" w:rsidP="00DF2591">
            <w:pPr>
              <w:spacing w:after="0" w:line="240" w:lineRule="auto"/>
              <w:jc w:val="center"/>
              <w:rPr>
                <w:rFonts w:eastAsia="Times New Roman" w:cs="Calibri"/>
                <w:color w:val="000000"/>
                <w:sz w:val="18"/>
                <w:szCs w:val="18"/>
                <w:lang w:val="en-US" w:eastAsia="en-GB"/>
              </w:rPr>
            </w:pPr>
            <w:r w:rsidRPr="004133DA">
              <w:rPr>
                <w:rFonts w:eastAsia="Times New Roman" w:cs="Calibri"/>
                <w:color w:val="000000"/>
                <w:sz w:val="18"/>
                <w:szCs w:val="18"/>
                <w:lang w:val="en-US" w:eastAsia="en-GB"/>
              </w:rPr>
              <w:t>N/A</w:t>
            </w:r>
          </w:p>
        </w:tc>
        <w:tc>
          <w:tcPr>
            <w:tcW w:w="1916" w:type="dxa"/>
            <w:shd w:val="clear" w:color="auto" w:fill="auto"/>
            <w:vAlign w:val="center"/>
            <w:hideMark/>
          </w:tcPr>
          <w:p w14:paraId="129F8080" w14:textId="77777777" w:rsidR="00BD154D" w:rsidRPr="004133DA" w:rsidRDefault="00BD154D" w:rsidP="00DF2591">
            <w:pPr>
              <w:spacing w:after="0" w:line="240" w:lineRule="auto"/>
              <w:jc w:val="center"/>
              <w:rPr>
                <w:rFonts w:eastAsia="Times New Roman" w:cs="Calibri"/>
                <w:color w:val="000000"/>
                <w:sz w:val="18"/>
                <w:szCs w:val="18"/>
                <w:lang w:val="en-US" w:eastAsia="en-GB"/>
              </w:rPr>
            </w:pPr>
            <w:r w:rsidRPr="004133DA">
              <w:rPr>
                <w:rFonts w:eastAsia="Times New Roman" w:cs="Calibri"/>
                <w:color w:val="000000"/>
                <w:sz w:val="18"/>
                <w:szCs w:val="18"/>
                <w:lang w:val="en-US" w:eastAsia="en-GB"/>
              </w:rPr>
              <w:t>Total amount of EU financial contribution by Associated Country (EUR million)</w:t>
            </w:r>
          </w:p>
        </w:tc>
        <w:tc>
          <w:tcPr>
            <w:tcW w:w="2320" w:type="dxa"/>
            <w:shd w:val="clear" w:color="auto" w:fill="auto"/>
            <w:vAlign w:val="center"/>
            <w:hideMark/>
          </w:tcPr>
          <w:p w14:paraId="0C1173E3" w14:textId="77777777" w:rsidR="00BD154D" w:rsidRPr="004133DA" w:rsidRDefault="00BD154D" w:rsidP="00DF2591">
            <w:pPr>
              <w:spacing w:after="0" w:line="240" w:lineRule="auto"/>
              <w:jc w:val="center"/>
              <w:rPr>
                <w:rFonts w:eastAsia="Times New Roman" w:cs="Calibri"/>
                <w:color w:val="000000"/>
                <w:sz w:val="18"/>
                <w:szCs w:val="18"/>
                <w:lang w:val="en-US" w:eastAsia="en-GB"/>
              </w:rPr>
            </w:pPr>
            <w:r w:rsidRPr="004133DA">
              <w:rPr>
                <w:rFonts w:eastAsia="Times New Roman" w:cs="Calibri"/>
                <w:color w:val="000000"/>
                <w:sz w:val="18"/>
                <w:szCs w:val="18"/>
                <w:lang w:val="en-US" w:eastAsia="en-GB"/>
              </w:rPr>
              <w:t xml:space="preserve">Nationality of </w:t>
            </w:r>
            <w:r>
              <w:rPr>
                <w:rFonts w:eastAsia="Times New Roman" w:cs="Calibri"/>
                <w:color w:val="000000"/>
                <w:sz w:val="18"/>
                <w:szCs w:val="18"/>
                <w:lang w:val="en-US" w:eastAsia="en-GB"/>
              </w:rPr>
              <w:t>H</w:t>
            </w:r>
            <w:r w:rsidRPr="004133DA">
              <w:rPr>
                <w:rFonts w:eastAsia="Times New Roman" w:cs="Calibri"/>
                <w:color w:val="000000"/>
                <w:sz w:val="18"/>
                <w:szCs w:val="18"/>
                <w:lang w:val="en-US" w:eastAsia="en-GB"/>
              </w:rPr>
              <w:t>2020 beneficiaries and corresponding EU financial contribution</w:t>
            </w:r>
          </w:p>
        </w:tc>
        <w:tc>
          <w:tcPr>
            <w:tcW w:w="4139" w:type="dxa"/>
            <w:shd w:val="clear" w:color="auto" w:fill="auto"/>
            <w:hideMark/>
          </w:tcPr>
          <w:p w14:paraId="14978696" w14:textId="77777777" w:rsidR="00BD154D" w:rsidRDefault="00BD154D" w:rsidP="00DF2591">
            <w:pPr>
              <w:spacing w:after="0" w:line="240" w:lineRule="auto"/>
              <w:jc w:val="center"/>
              <w:rPr>
                <w:sz w:val="18"/>
                <w:szCs w:val="18"/>
              </w:rPr>
            </w:pPr>
          </w:p>
          <w:p w14:paraId="1412E809" w14:textId="77777777" w:rsidR="00BD154D" w:rsidRPr="00461342" w:rsidRDefault="00BD154D" w:rsidP="00DF2591">
            <w:pPr>
              <w:spacing w:after="0" w:line="240" w:lineRule="auto"/>
              <w:jc w:val="center"/>
              <w:rPr>
                <w:rFonts w:asciiTheme="minorHAnsi" w:hAnsiTheme="minorHAnsi" w:cstheme="minorHAnsi"/>
                <w:sz w:val="18"/>
                <w:szCs w:val="18"/>
              </w:rPr>
            </w:pPr>
            <w:r w:rsidRPr="00A01040">
              <w:rPr>
                <w:sz w:val="18"/>
                <w:szCs w:val="18"/>
              </w:rPr>
              <w:t xml:space="preserve">In </w:t>
            </w:r>
            <w:r w:rsidRPr="00461342">
              <w:rPr>
                <w:rFonts w:asciiTheme="minorHAnsi" w:hAnsiTheme="minorHAnsi" w:cstheme="minorHAnsi"/>
                <w:sz w:val="18"/>
                <w:szCs w:val="18"/>
              </w:rPr>
              <w:t>EUR million per country (total EUR 46.63 million):</w:t>
            </w:r>
          </w:p>
          <w:p w14:paraId="345C55F2" w14:textId="77777777" w:rsidR="00BD154D" w:rsidRPr="00461342" w:rsidRDefault="00BD154D" w:rsidP="00DF2591">
            <w:pPr>
              <w:spacing w:after="0" w:line="240" w:lineRule="auto"/>
              <w:jc w:val="center"/>
              <w:rPr>
                <w:rFonts w:asciiTheme="minorHAnsi" w:hAnsiTheme="minorHAnsi" w:cstheme="minorHAnsi"/>
                <w:sz w:val="18"/>
                <w:szCs w:val="18"/>
              </w:rPr>
            </w:pPr>
          </w:p>
          <w:tbl>
            <w:tblPr>
              <w:tblW w:w="0" w:type="auto"/>
              <w:tblInd w:w="932"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486"/>
              <w:gridCol w:w="1367"/>
            </w:tblGrid>
            <w:tr w:rsidR="00BD154D" w:rsidRPr="00461342" w14:paraId="00621E94" w14:textId="77777777" w:rsidTr="00DF2591">
              <w:trPr>
                <w:trHeight w:val="255"/>
              </w:trPr>
              <w:tc>
                <w:tcPr>
                  <w:tcW w:w="486" w:type="dxa"/>
                  <w:shd w:val="clear" w:color="auto" w:fill="auto"/>
                  <w:noWrap/>
                  <w:vAlign w:val="bottom"/>
                  <w:hideMark/>
                </w:tcPr>
                <w:p w14:paraId="5559F2FD" w14:textId="77777777" w:rsidR="00BD154D" w:rsidRPr="00461342" w:rsidRDefault="00BD154D" w:rsidP="00DF2591">
                  <w:pPr>
                    <w:autoSpaceDE w:val="0"/>
                    <w:autoSpaceDN w:val="0"/>
                    <w:adjustRightInd w:val="0"/>
                    <w:spacing w:after="0" w:line="240" w:lineRule="auto"/>
                    <w:rPr>
                      <w:rFonts w:asciiTheme="minorHAnsi" w:hAnsiTheme="minorHAnsi" w:cstheme="minorHAnsi"/>
                      <w:color w:val="000000"/>
                      <w:sz w:val="18"/>
                      <w:szCs w:val="20"/>
                      <w:lang w:eastAsia="en-GB"/>
                    </w:rPr>
                  </w:pPr>
                  <w:r w:rsidRPr="00461342">
                    <w:rPr>
                      <w:rFonts w:asciiTheme="minorHAnsi" w:hAnsiTheme="minorHAnsi" w:cstheme="minorHAnsi"/>
                      <w:color w:val="000000"/>
                      <w:sz w:val="18"/>
                      <w:szCs w:val="20"/>
                      <w:lang w:eastAsia="en-GB"/>
                    </w:rPr>
                    <w:t>CH</w:t>
                  </w:r>
                </w:p>
              </w:tc>
              <w:tc>
                <w:tcPr>
                  <w:tcW w:w="1367" w:type="dxa"/>
                  <w:shd w:val="clear" w:color="auto" w:fill="auto"/>
                  <w:noWrap/>
                  <w:hideMark/>
                </w:tcPr>
                <w:p w14:paraId="76CBB816" w14:textId="77777777" w:rsidR="00BD154D" w:rsidRPr="00461342" w:rsidRDefault="00BD154D" w:rsidP="00DF2591">
                  <w:pPr>
                    <w:autoSpaceDE w:val="0"/>
                    <w:autoSpaceDN w:val="0"/>
                    <w:adjustRightInd w:val="0"/>
                    <w:spacing w:after="0" w:line="240" w:lineRule="auto"/>
                    <w:jc w:val="right"/>
                    <w:rPr>
                      <w:rFonts w:asciiTheme="minorHAnsi" w:hAnsiTheme="minorHAnsi" w:cstheme="minorHAnsi"/>
                      <w:color w:val="000000"/>
                      <w:sz w:val="18"/>
                      <w:szCs w:val="18"/>
                      <w:lang w:eastAsia="en-GB"/>
                    </w:rPr>
                  </w:pPr>
                  <w:r w:rsidRPr="00461342">
                    <w:rPr>
                      <w:rFonts w:asciiTheme="minorHAnsi" w:hAnsiTheme="minorHAnsi" w:cstheme="minorHAnsi"/>
                      <w:sz w:val="18"/>
                      <w:szCs w:val="18"/>
                    </w:rPr>
                    <w:t>12.62</w:t>
                  </w:r>
                </w:p>
              </w:tc>
            </w:tr>
            <w:tr w:rsidR="00BD154D" w:rsidRPr="00461342" w14:paraId="3A398FC2" w14:textId="77777777" w:rsidTr="00DF2591">
              <w:trPr>
                <w:trHeight w:val="255"/>
              </w:trPr>
              <w:tc>
                <w:tcPr>
                  <w:tcW w:w="486" w:type="dxa"/>
                  <w:shd w:val="clear" w:color="auto" w:fill="auto"/>
                  <w:noWrap/>
                  <w:vAlign w:val="bottom"/>
                  <w:hideMark/>
                </w:tcPr>
                <w:p w14:paraId="4F3BCD89" w14:textId="77777777" w:rsidR="00BD154D" w:rsidRPr="00461342" w:rsidRDefault="00BD154D" w:rsidP="00DF2591">
                  <w:pPr>
                    <w:autoSpaceDE w:val="0"/>
                    <w:autoSpaceDN w:val="0"/>
                    <w:adjustRightInd w:val="0"/>
                    <w:spacing w:after="0" w:line="240" w:lineRule="auto"/>
                    <w:rPr>
                      <w:rFonts w:asciiTheme="minorHAnsi" w:hAnsiTheme="minorHAnsi" w:cstheme="minorHAnsi"/>
                      <w:color w:val="000000"/>
                      <w:sz w:val="18"/>
                      <w:szCs w:val="20"/>
                      <w:lang w:eastAsia="en-GB"/>
                    </w:rPr>
                  </w:pPr>
                  <w:r w:rsidRPr="00461342">
                    <w:rPr>
                      <w:rFonts w:asciiTheme="minorHAnsi" w:hAnsiTheme="minorHAnsi" w:cstheme="minorHAnsi"/>
                      <w:color w:val="000000"/>
                      <w:sz w:val="18"/>
                      <w:szCs w:val="20"/>
                      <w:lang w:eastAsia="en-GB"/>
                    </w:rPr>
                    <w:t>IL</w:t>
                  </w:r>
                </w:p>
              </w:tc>
              <w:tc>
                <w:tcPr>
                  <w:tcW w:w="1367" w:type="dxa"/>
                  <w:shd w:val="clear" w:color="auto" w:fill="auto"/>
                  <w:noWrap/>
                  <w:hideMark/>
                </w:tcPr>
                <w:p w14:paraId="4448DC55" w14:textId="77777777" w:rsidR="00BD154D" w:rsidRPr="00461342" w:rsidRDefault="00BD154D" w:rsidP="00DF2591">
                  <w:pPr>
                    <w:autoSpaceDE w:val="0"/>
                    <w:autoSpaceDN w:val="0"/>
                    <w:adjustRightInd w:val="0"/>
                    <w:spacing w:after="0" w:line="240" w:lineRule="auto"/>
                    <w:jc w:val="right"/>
                    <w:rPr>
                      <w:rFonts w:asciiTheme="minorHAnsi" w:hAnsiTheme="minorHAnsi" w:cstheme="minorHAnsi"/>
                      <w:color w:val="000000"/>
                      <w:sz w:val="18"/>
                      <w:szCs w:val="18"/>
                      <w:lang w:eastAsia="en-GB"/>
                    </w:rPr>
                  </w:pPr>
                  <w:r w:rsidRPr="00461342">
                    <w:rPr>
                      <w:rFonts w:asciiTheme="minorHAnsi" w:hAnsiTheme="minorHAnsi" w:cstheme="minorHAnsi"/>
                      <w:sz w:val="18"/>
                      <w:szCs w:val="18"/>
                    </w:rPr>
                    <w:t>0.24</w:t>
                  </w:r>
                </w:p>
              </w:tc>
            </w:tr>
            <w:tr w:rsidR="00BD154D" w:rsidRPr="00461342" w14:paraId="02F30C7B" w14:textId="77777777" w:rsidTr="00DF2591">
              <w:trPr>
                <w:trHeight w:val="255"/>
              </w:trPr>
              <w:tc>
                <w:tcPr>
                  <w:tcW w:w="486" w:type="dxa"/>
                  <w:shd w:val="clear" w:color="auto" w:fill="auto"/>
                  <w:noWrap/>
                  <w:vAlign w:val="bottom"/>
                  <w:hideMark/>
                </w:tcPr>
                <w:p w14:paraId="4D4CC803" w14:textId="77777777" w:rsidR="00BD154D" w:rsidRPr="00461342" w:rsidRDefault="00BD154D" w:rsidP="00DF2591">
                  <w:pPr>
                    <w:autoSpaceDE w:val="0"/>
                    <w:autoSpaceDN w:val="0"/>
                    <w:adjustRightInd w:val="0"/>
                    <w:spacing w:after="0" w:line="240" w:lineRule="auto"/>
                    <w:rPr>
                      <w:rFonts w:asciiTheme="minorHAnsi" w:hAnsiTheme="minorHAnsi" w:cstheme="minorHAnsi"/>
                      <w:color w:val="000000"/>
                      <w:sz w:val="18"/>
                      <w:szCs w:val="20"/>
                      <w:lang w:eastAsia="en-GB"/>
                    </w:rPr>
                  </w:pPr>
                  <w:r w:rsidRPr="00461342">
                    <w:rPr>
                      <w:rFonts w:asciiTheme="minorHAnsi" w:hAnsiTheme="minorHAnsi" w:cstheme="minorHAnsi"/>
                      <w:color w:val="000000"/>
                      <w:sz w:val="18"/>
                      <w:szCs w:val="20"/>
                      <w:lang w:eastAsia="en-GB"/>
                    </w:rPr>
                    <w:t>IS</w:t>
                  </w:r>
                </w:p>
              </w:tc>
              <w:tc>
                <w:tcPr>
                  <w:tcW w:w="1367" w:type="dxa"/>
                  <w:shd w:val="clear" w:color="auto" w:fill="auto"/>
                  <w:noWrap/>
                  <w:hideMark/>
                </w:tcPr>
                <w:p w14:paraId="15A20052" w14:textId="77777777" w:rsidR="00BD154D" w:rsidRPr="00461342" w:rsidRDefault="00BD154D" w:rsidP="00DF2591">
                  <w:pPr>
                    <w:autoSpaceDE w:val="0"/>
                    <w:autoSpaceDN w:val="0"/>
                    <w:adjustRightInd w:val="0"/>
                    <w:spacing w:after="0" w:line="240" w:lineRule="auto"/>
                    <w:jc w:val="right"/>
                    <w:rPr>
                      <w:rFonts w:asciiTheme="minorHAnsi" w:hAnsiTheme="minorHAnsi" w:cstheme="minorHAnsi"/>
                      <w:color w:val="000000"/>
                      <w:sz w:val="18"/>
                      <w:szCs w:val="18"/>
                      <w:lang w:eastAsia="en-GB"/>
                    </w:rPr>
                  </w:pPr>
                  <w:r w:rsidRPr="00461342">
                    <w:rPr>
                      <w:rFonts w:asciiTheme="minorHAnsi" w:hAnsiTheme="minorHAnsi" w:cstheme="minorHAnsi"/>
                      <w:sz w:val="18"/>
                      <w:szCs w:val="18"/>
                    </w:rPr>
                    <w:t>1.07</w:t>
                  </w:r>
                </w:p>
              </w:tc>
            </w:tr>
            <w:tr w:rsidR="00BD154D" w:rsidRPr="00461342" w14:paraId="4758FE18" w14:textId="77777777" w:rsidTr="00DF2591">
              <w:trPr>
                <w:trHeight w:val="255"/>
              </w:trPr>
              <w:tc>
                <w:tcPr>
                  <w:tcW w:w="486" w:type="dxa"/>
                  <w:shd w:val="clear" w:color="auto" w:fill="auto"/>
                  <w:noWrap/>
                  <w:vAlign w:val="bottom"/>
                  <w:hideMark/>
                </w:tcPr>
                <w:p w14:paraId="4132711F" w14:textId="77777777" w:rsidR="00BD154D" w:rsidRPr="00461342" w:rsidRDefault="00BD154D" w:rsidP="00DF2591">
                  <w:pPr>
                    <w:autoSpaceDE w:val="0"/>
                    <w:autoSpaceDN w:val="0"/>
                    <w:adjustRightInd w:val="0"/>
                    <w:spacing w:after="0" w:line="240" w:lineRule="auto"/>
                    <w:rPr>
                      <w:rFonts w:asciiTheme="minorHAnsi" w:hAnsiTheme="minorHAnsi" w:cstheme="minorHAnsi"/>
                      <w:color w:val="000000"/>
                      <w:sz w:val="18"/>
                      <w:szCs w:val="20"/>
                      <w:lang w:eastAsia="en-GB"/>
                    </w:rPr>
                  </w:pPr>
                  <w:r w:rsidRPr="00461342">
                    <w:rPr>
                      <w:rFonts w:asciiTheme="minorHAnsi" w:hAnsiTheme="minorHAnsi" w:cstheme="minorHAnsi"/>
                      <w:color w:val="000000"/>
                      <w:sz w:val="18"/>
                      <w:szCs w:val="20"/>
                      <w:lang w:eastAsia="en-GB"/>
                    </w:rPr>
                    <w:t>NO</w:t>
                  </w:r>
                </w:p>
              </w:tc>
              <w:tc>
                <w:tcPr>
                  <w:tcW w:w="1367" w:type="dxa"/>
                  <w:shd w:val="clear" w:color="auto" w:fill="auto"/>
                  <w:noWrap/>
                  <w:hideMark/>
                </w:tcPr>
                <w:p w14:paraId="472A9312" w14:textId="77777777" w:rsidR="00BD154D" w:rsidRPr="00461342" w:rsidRDefault="00BD154D" w:rsidP="00DF2591">
                  <w:pPr>
                    <w:autoSpaceDE w:val="0"/>
                    <w:autoSpaceDN w:val="0"/>
                    <w:adjustRightInd w:val="0"/>
                    <w:spacing w:after="0" w:line="240" w:lineRule="auto"/>
                    <w:jc w:val="right"/>
                    <w:rPr>
                      <w:rFonts w:asciiTheme="minorHAnsi" w:hAnsiTheme="minorHAnsi" w:cstheme="minorHAnsi"/>
                      <w:color w:val="000000"/>
                      <w:sz w:val="18"/>
                      <w:szCs w:val="18"/>
                      <w:lang w:eastAsia="en-GB"/>
                    </w:rPr>
                  </w:pPr>
                  <w:r w:rsidRPr="00461342">
                    <w:rPr>
                      <w:rFonts w:asciiTheme="minorHAnsi" w:hAnsiTheme="minorHAnsi" w:cstheme="minorHAnsi"/>
                      <w:sz w:val="18"/>
                      <w:szCs w:val="18"/>
                    </w:rPr>
                    <w:t>31.81</w:t>
                  </w:r>
                </w:p>
              </w:tc>
            </w:tr>
            <w:tr w:rsidR="00BD154D" w:rsidRPr="00461342" w14:paraId="35A1917E" w14:textId="77777777" w:rsidTr="00DF2591">
              <w:trPr>
                <w:trHeight w:val="255"/>
              </w:trPr>
              <w:tc>
                <w:tcPr>
                  <w:tcW w:w="486" w:type="dxa"/>
                  <w:shd w:val="clear" w:color="auto" w:fill="auto"/>
                  <w:noWrap/>
                  <w:vAlign w:val="bottom"/>
                </w:tcPr>
                <w:p w14:paraId="3C18AF6B" w14:textId="77777777" w:rsidR="00BD154D" w:rsidRPr="00461342" w:rsidRDefault="00BD154D" w:rsidP="00DF2591">
                  <w:pPr>
                    <w:autoSpaceDE w:val="0"/>
                    <w:autoSpaceDN w:val="0"/>
                    <w:adjustRightInd w:val="0"/>
                    <w:spacing w:after="0" w:line="240" w:lineRule="auto"/>
                    <w:rPr>
                      <w:rFonts w:asciiTheme="minorHAnsi" w:hAnsiTheme="minorHAnsi" w:cstheme="minorHAnsi"/>
                      <w:color w:val="000000"/>
                      <w:sz w:val="18"/>
                      <w:szCs w:val="20"/>
                      <w:lang w:eastAsia="en-GB"/>
                    </w:rPr>
                  </w:pPr>
                  <w:r w:rsidRPr="00461342">
                    <w:rPr>
                      <w:rFonts w:asciiTheme="minorHAnsi" w:hAnsiTheme="minorHAnsi" w:cstheme="minorHAnsi"/>
                      <w:color w:val="000000"/>
                      <w:sz w:val="18"/>
                      <w:szCs w:val="20"/>
                      <w:lang w:eastAsia="en-GB"/>
                    </w:rPr>
                    <w:t>TR</w:t>
                  </w:r>
                </w:p>
              </w:tc>
              <w:tc>
                <w:tcPr>
                  <w:tcW w:w="1367" w:type="dxa"/>
                  <w:shd w:val="clear" w:color="auto" w:fill="auto"/>
                  <w:noWrap/>
                </w:tcPr>
                <w:p w14:paraId="1A0E6767" w14:textId="77777777" w:rsidR="00BD154D" w:rsidRPr="00461342" w:rsidRDefault="00BD154D" w:rsidP="00DF2591">
                  <w:pPr>
                    <w:autoSpaceDE w:val="0"/>
                    <w:autoSpaceDN w:val="0"/>
                    <w:adjustRightInd w:val="0"/>
                    <w:spacing w:after="0" w:line="240" w:lineRule="auto"/>
                    <w:jc w:val="right"/>
                    <w:rPr>
                      <w:rFonts w:asciiTheme="minorHAnsi" w:hAnsiTheme="minorHAnsi" w:cstheme="minorHAnsi"/>
                      <w:color w:val="000000"/>
                      <w:sz w:val="18"/>
                      <w:szCs w:val="18"/>
                      <w:lang w:eastAsia="en-GB"/>
                    </w:rPr>
                  </w:pPr>
                  <w:r w:rsidRPr="00461342">
                    <w:rPr>
                      <w:rFonts w:asciiTheme="minorHAnsi" w:hAnsiTheme="minorHAnsi" w:cstheme="minorHAnsi"/>
                      <w:sz w:val="18"/>
                      <w:szCs w:val="18"/>
                    </w:rPr>
                    <w:t>0.85</w:t>
                  </w:r>
                </w:p>
              </w:tc>
            </w:tr>
            <w:tr w:rsidR="00BD154D" w:rsidRPr="00461342" w14:paraId="673DF2CE" w14:textId="77777777" w:rsidTr="00DF2591">
              <w:trPr>
                <w:trHeight w:val="255"/>
              </w:trPr>
              <w:tc>
                <w:tcPr>
                  <w:tcW w:w="486" w:type="dxa"/>
                  <w:shd w:val="clear" w:color="auto" w:fill="auto"/>
                  <w:noWrap/>
                  <w:vAlign w:val="bottom"/>
                  <w:hideMark/>
                </w:tcPr>
                <w:p w14:paraId="125755A9" w14:textId="77777777" w:rsidR="00BD154D" w:rsidRPr="00461342" w:rsidRDefault="00BD154D" w:rsidP="00DF2591">
                  <w:pPr>
                    <w:autoSpaceDE w:val="0"/>
                    <w:autoSpaceDN w:val="0"/>
                    <w:adjustRightInd w:val="0"/>
                    <w:spacing w:after="0" w:line="240" w:lineRule="auto"/>
                    <w:rPr>
                      <w:rFonts w:asciiTheme="minorHAnsi" w:hAnsiTheme="minorHAnsi" w:cstheme="minorHAnsi"/>
                      <w:color w:val="000000"/>
                      <w:sz w:val="18"/>
                      <w:szCs w:val="20"/>
                      <w:lang w:eastAsia="en-GB"/>
                    </w:rPr>
                  </w:pPr>
                  <w:r w:rsidRPr="00461342">
                    <w:rPr>
                      <w:rFonts w:asciiTheme="minorHAnsi" w:hAnsiTheme="minorHAnsi" w:cstheme="minorHAnsi"/>
                      <w:color w:val="000000"/>
                      <w:sz w:val="18"/>
                      <w:szCs w:val="20"/>
                      <w:lang w:eastAsia="en-GB"/>
                    </w:rPr>
                    <w:t>UA</w:t>
                  </w:r>
                </w:p>
              </w:tc>
              <w:tc>
                <w:tcPr>
                  <w:tcW w:w="1367" w:type="dxa"/>
                  <w:shd w:val="clear" w:color="auto" w:fill="auto"/>
                  <w:noWrap/>
                  <w:hideMark/>
                </w:tcPr>
                <w:p w14:paraId="3B7DE16D" w14:textId="77777777" w:rsidR="00BD154D" w:rsidRPr="00461342" w:rsidRDefault="00BD154D" w:rsidP="00DF2591">
                  <w:pPr>
                    <w:autoSpaceDE w:val="0"/>
                    <w:autoSpaceDN w:val="0"/>
                    <w:adjustRightInd w:val="0"/>
                    <w:spacing w:after="0" w:line="240" w:lineRule="auto"/>
                    <w:jc w:val="right"/>
                    <w:rPr>
                      <w:rFonts w:asciiTheme="minorHAnsi" w:hAnsiTheme="minorHAnsi" w:cstheme="minorHAnsi"/>
                      <w:color w:val="000000"/>
                      <w:sz w:val="18"/>
                      <w:szCs w:val="18"/>
                      <w:lang w:eastAsia="en-GB"/>
                    </w:rPr>
                  </w:pPr>
                  <w:r w:rsidRPr="00461342">
                    <w:rPr>
                      <w:rFonts w:asciiTheme="minorHAnsi" w:hAnsiTheme="minorHAnsi" w:cstheme="minorHAnsi"/>
                      <w:sz w:val="18"/>
                      <w:szCs w:val="18"/>
                    </w:rPr>
                    <w:t>0.06</w:t>
                  </w:r>
                </w:p>
              </w:tc>
            </w:tr>
          </w:tbl>
          <w:p w14:paraId="4E98AB5E" w14:textId="77777777" w:rsidR="00BD154D" w:rsidRPr="00461342" w:rsidRDefault="00BD154D" w:rsidP="00DF2591">
            <w:pPr>
              <w:autoSpaceDE w:val="0"/>
              <w:autoSpaceDN w:val="0"/>
              <w:adjustRightInd w:val="0"/>
              <w:spacing w:after="0" w:line="240" w:lineRule="auto"/>
              <w:rPr>
                <w:rFonts w:asciiTheme="minorHAnsi" w:hAnsiTheme="minorHAnsi" w:cstheme="minorHAnsi"/>
                <w:color w:val="000000"/>
                <w:sz w:val="18"/>
                <w:szCs w:val="20"/>
                <w:lang w:eastAsia="en-GB"/>
              </w:rPr>
            </w:pPr>
          </w:p>
          <w:p w14:paraId="51F30984" w14:textId="77777777" w:rsidR="00BD154D" w:rsidRPr="00A01040" w:rsidRDefault="00BD154D" w:rsidP="00DF2591">
            <w:pPr>
              <w:autoSpaceDE w:val="0"/>
              <w:autoSpaceDN w:val="0"/>
              <w:adjustRightInd w:val="0"/>
              <w:spacing w:after="0" w:line="240" w:lineRule="auto"/>
              <w:rPr>
                <w:rFonts w:ascii="Arial" w:hAnsi="Arial" w:cs="Arial"/>
                <w:color w:val="000000"/>
                <w:sz w:val="18"/>
                <w:szCs w:val="20"/>
                <w:lang w:eastAsia="en-GB"/>
              </w:rPr>
            </w:pPr>
          </w:p>
        </w:tc>
      </w:tr>
      <w:tr w:rsidR="00BD154D" w:rsidRPr="00822ACE" w14:paraId="1A371A28" w14:textId="77777777" w:rsidTr="00DF2591">
        <w:trPr>
          <w:trHeight w:val="720"/>
        </w:trPr>
        <w:tc>
          <w:tcPr>
            <w:tcW w:w="829" w:type="dxa"/>
            <w:vMerge w:val="restart"/>
            <w:shd w:val="clear" w:color="auto" w:fill="auto"/>
            <w:vAlign w:val="center"/>
            <w:hideMark/>
          </w:tcPr>
          <w:p w14:paraId="4D6AE880" w14:textId="77777777" w:rsidR="00BD154D" w:rsidRPr="004133DA" w:rsidRDefault="00BD154D" w:rsidP="00DF2591">
            <w:pPr>
              <w:spacing w:after="0" w:line="240" w:lineRule="auto"/>
              <w:jc w:val="center"/>
              <w:rPr>
                <w:rFonts w:eastAsia="Times New Roman" w:cs="Calibri"/>
                <w:color w:val="000000"/>
                <w:sz w:val="18"/>
                <w:szCs w:val="18"/>
                <w:lang w:val="en-US" w:eastAsia="en-GB"/>
              </w:rPr>
            </w:pPr>
            <w:r w:rsidRPr="004133DA">
              <w:rPr>
                <w:rFonts w:eastAsia="Times New Roman" w:cs="Calibri"/>
                <w:color w:val="000000"/>
                <w:sz w:val="18"/>
                <w:szCs w:val="18"/>
                <w:lang w:val="en-US" w:eastAsia="en-GB"/>
              </w:rPr>
              <w:lastRenderedPageBreak/>
              <w:t>3.1</w:t>
            </w:r>
          </w:p>
        </w:tc>
        <w:tc>
          <w:tcPr>
            <w:tcW w:w="1916" w:type="dxa"/>
            <w:vMerge w:val="restart"/>
            <w:shd w:val="clear" w:color="auto" w:fill="auto"/>
            <w:vAlign w:val="center"/>
            <w:hideMark/>
          </w:tcPr>
          <w:p w14:paraId="19664FBE" w14:textId="77777777" w:rsidR="00BD154D" w:rsidRPr="004133DA" w:rsidRDefault="00BD154D" w:rsidP="00DF2591">
            <w:pPr>
              <w:spacing w:after="0" w:line="240" w:lineRule="auto"/>
              <w:jc w:val="center"/>
              <w:rPr>
                <w:rFonts w:eastAsia="Times New Roman" w:cs="Calibri"/>
                <w:color w:val="000000"/>
                <w:sz w:val="18"/>
                <w:szCs w:val="18"/>
                <w:lang w:val="en-US" w:eastAsia="en-GB"/>
              </w:rPr>
            </w:pPr>
            <w:r w:rsidRPr="004133DA">
              <w:rPr>
                <w:rFonts w:eastAsia="Times New Roman" w:cs="Calibri"/>
                <w:color w:val="000000"/>
                <w:sz w:val="18"/>
                <w:szCs w:val="18"/>
                <w:lang w:val="en-US" w:eastAsia="en-GB"/>
              </w:rPr>
              <w:t xml:space="preserve">Share of EU financial contribution going to SMEs (Enabling </w:t>
            </w:r>
            <w:r>
              <w:rPr>
                <w:rFonts w:eastAsia="Times New Roman" w:cs="Calibri"/>
                <w:color w:val="000000"/>
                <w:sz w:val="18"/>
                <w:szCs w:val="18"/>
                <w:lang w:val="en-US" w:eastAsia="en-GB"/>
              </w:rPr>
              <w:t>and</w:t>
            </w:r>
            <w:r w:rsidRPr="004133DA">
              <w:rPr>
                <w:rFonts w:eastAsia="Times New Roman" w:cs="Calibri"/>
                <w:color w:val="000000"/>
                <w:sz w:val="18"/>
                <w:szCs w:val="18"/>
                <w:lang w:val="en-US" w:eastAsia="en-GB"/>
              </w:rPr>
              <w:t xml:space="preserve"> industrial tech and Part III of H2020)</w:t>
            </w:r>
          </w:p>
        </w:tc>
        <w:tc>
          <w:tcPr>
            <w:tcW w:w="2320" w:type="dxa"/>
            <w:shd w:val="clear" w:color="auto" w:fill="auto"/>
            <w:vAlign w:val="center"/>
            <w:hideMark/>
          </w:tcPr>
          <w:p w14:paraId="050DEC51" w14:textId="77777777" w:rsidR="00BD154D" w:rsidRPr="004133DA" w:rsidRDefault="00BD154D" w:rsidP="00DF2591">
            <w:pPr>
              <w:spacing w:after="0" w:line="240" w:lineRule="auto"/>
              <w:jc w:val="center"/>
              <w:rPr>
                <w:rFonts w:eastAsia="Times New Roman" w:cs="Calibri"/>
                <w:color w:val="000000"/>
                <w:sz w:val="18"/>
                <w:szCs w:val="18"/>
                <w:lang w:val="en-US" w:eastAsia="en-GB"/>
              </w:rPr>
            </w:pPr>
            <w:r w:rsidRPr="004133DA">
              <w:rPr>
                <w:rFonts w:eastAsia="Times New Roman" w:cs="Calibri"/>
                <w:color w:val="000000"/>
                <w:sz w:val="18"/>
                <w:szCs w:val="18"/>
                <w:lang w:val="en-US" w:eastAsia="en-GB"/>
              </w:rPr>
              <w:t>Number of H2020 beneficiaries flagged as SME</w:t>
            </w:r>
            <w:r>
              <w:rPr>
                <w:rFonts w:eastAsia="Times New Roman" w:cs="Calibri"/>
                <w:color w:val="000000"/>
                <w:sz w:val="18"/>
                <w:szCs w:val="18"/>
                <w:lang w:val="en-US" w:eastAsia="en-GB"/>
              </w:rPr>
              <w:t>s</w:t>
            </w:r>
          </w:p>
        </w:tc>
        <w:tc>
          <w:tcPr>
            <w:tcW w:w="4139" w:type="dxa"/>
            <w:vMerge w:val="restart"/>
            <w:shd w:val="clear" w:color="auto" w:fill="auto"/>
            <w:hideMark/>
          </w:tcPr>
          <w:p w14:paraId="022F8D10" w14:textId="77777777" w:rsidR="00BD154D" w:rsidRPr="00210253" w:rsidRDefault="00BD154D" w:rsidP="00DF2591">
            <w:pPr>
              <w:spacing w:after="0" w:line="240" w:lineRule="auto"/>
              <w:jc w:val="center"/>
              <w:rPr>
                <w:sz w:val="18"/>
                <w:szCs w:val="18"/>
                <w:highlight w:val="yellow"/>
              </w:rPr>
            </w:pPr>
          </w:p>
          <w:tbl>
            <w:tblPr>
              <w:tblW w:w="3652" w:type="dxa"/>
              <w:tblInd w:w="94" w:type="dxa"/>
              <w:tblLook w:val="04A0" w:firstRow="1" w:lastRow="0" w:firstColumn="1" w:lastColumn="0" w:noHBand="0" w:noVBand="1"/>
            </w:tblPr>
            <w:tblGrid>
              <w:gridCol w:w="1414"/>
              <w:gridCol w:w="1157"/>
              <w:gridCol w:w="1081"/>
            </w:tblGrid>
            <w:tr w:rsidR="00BD154D" w:rsidRPr="00461342" w14:paraId="7304394C" w14:textId="77777777" w:rsidTr="00DF2591">
              <w:trPr>
                <w:trHeight w:val="456"/>
              </w:trPr>
              <w:tc>
                <w:tcPr>
                  <w:tcW w:w="3652"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4343AD" w14:textId="77777777" w:rsidR="00BD154D" w:rsidRPr="00461342"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461342">
                    <w:rPr>
                      <w:rFonts w:asciiTheme="minorHAnsi" w:eastAsia="Times New Roman" w:hAnsiTheme="minorHAnsi" w:cstheme="minorHAnsi"/>
                      <w:color w:val="000000"/>
                      <w:sz w:val="18"/>
                      <w:szCs w:val="18"/>
                      <w:lang w:eastAsia="en-GB"/>
                    </w:rPr>
                    <w:t>SME beneficiaries</w:t>
                  </w:r>
                </w:p>
                <w:p w14:paraId="30882BC7" w14:textId="77777777" w:rsidR="00BD154D" w:rsidRPr="00461342" w:rsidRDefault="00BD154D" w:rsidP="00DF2591">
                  <w:pPr>
                    <w:spacing w:after="0" w:line="240" w:lineRule="auto"/>
                    <w:jc w:val="center"/>
                    <w:rPr>
                      <w:rFonts w:asciiTheme="minorHAnsi" w:eastAsia="Times New Roman" w:hAnsiTheme="minorHAnsi" w:cstheme="minorHAnsi"/>
                      <w:color w:val="000000"/>
                      <w:sz w:val="18"/>
                      <w:szCs w:val="18"/>
                      <w:lang w:eastAsia="en-GB"/>
                    </w:rPr>
                  </w:pPr>
                </w:p>
              </w:tc>
            </w:tr>
            <w:tr w:rsidR="00BD154D" w:rsidRPr="00461342" w14:paraId="3CC819A3" w14:textId="77777777" w:rsidTr="00DF2591">
              <w:trPr>
                <w:trHeight w:val="255"/>
              </w:trPr>
              <w:tc>
                <w:tcPr>
                  <w:tcW w:w="1414" w:type="dxa"/>
                  <w:tcBorders>
                    <w:top w:val="nil"/>
                    <w:left w:val="single" w:sz="4" w:space="0" w:color="auto"/>
                    <w:bottom w:val="nil"/>
                    <w:right w:val="nil"/>
                  </w:tcBorders>
                  <w:shd w:val="clear" w:color="auto" w:fill="auto"/>
                  <w:noWrap/>
                  <w:vAlign w:val="center"/>
                  <w:hideMark/>
                </w:tcPr>
                <w:p w14:paraId="041707CF" w14:textId="77777777" w:rsidR="00BD154D" w:rsidRPr="00461342"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461342">
                    <w:rPr>
                      <w:rFonts w:asciiTheme="minorHAnsi" w:eastAsia="Times New Roman" w:hAnsiTheme="minorHAnsi" w:cstheme="minorHAnsi"/>
                      <w:color w:val="000000"/>
                      <w:sz w:val="18"/>
                      <w:szCs w:val="18"/>
                      <w:lang w:eastAsia="en-GB"/>
                    </w:rPr>
                    <w:t>Grants participations</w:t>
                  </w:r>
                </w:p>
              </w:tc>
              <w:tc>
                <w:tcPr>
                  <w:tcW w:w="1157" w:type="dxa"/>
                  <w:tcBorders>
                    <w:top w:val="nil"/>
                    <w:left w:val="nil"/>
                    <w:bottom w:val="nil"/>
                  </w:tcBorders>
                  <w:shd w:val="clear" w:color="auto" w:fill="auto"/>
                  <w:noWrap/>
                  <w:vAlign w:val="center"/>
                  <w:hideMark/>
                </w:tcPr>
                <w:p w14:paraId="02933298" w14:textId="77777777" w:rsidR="00BD154D" w:rsidRPr="00461342"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461342">
                    <w:rPr>
                      <w:rFonts w:asciiTheme="minorHAnsi" w:eastAsia="Times New Roman" w:hAnsiTheme="minorHAnsi" w:cstheme="minorHAnsi"/>
                      <w:color w:val="000000"/>
                      <w:sz w:val="18"/>
                      <w:szCs w:val="18"/>
                      <w:lang w:eastAsia="en-GB"/>
                    </w:rPr>
                    <w:t>Grant participants</w:t>
                  </w:r>
                </w:p>
              </w:tc>
              <w:tc>
                <w:tcPr>
                  <w:tcW w:w="1081" w:type="dxa"/>
                  <w:tcBorders>
                    <w:top w:val="nil"/>
                    <w:bottom w:val="nil"/>
                    <w:right w:val="single" w:sz="4" w:space="0" w:color="auto"/>
                  </w:tcBorders>
                  <w:vAlign w:val="center"/>
                </w:tcPr>
                <w:p w14:paraId="6408B301" w14:textId="77777777" w:rsidR="00BD154D" w:rsidRPr="00461342"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461342">
                    <w:rPr>
                      <w:rFonts w:asciiTheme="minorHAnsi" w:eastAsia="Times New Roman" w:hAnsiTheme="minorHAnsi" w:cstheme="minorHAnsi"/>
                      <w:color w:val="000000"/>
                      <w:sz w:val="18"/>
                      <w:szCs w:val="18"/>
                      <w:lang w:eastAsia="en-GB"/>
                    </w:rPr>
                    <w:t>Funding</w:t>
                  </w:r>
                </w:p>
              </w:tc>
            </w:tr>
            <w:tr w:rsidR="00BD154D" w:rsidRPr="00461342" w14:paraId="67CCDEAC" w14:textId="77777777" w:rsidTr="00DF2591">
              <w:trPr>
                <w:trHeight w:val="255"/>
              </w:trPr>
              <w:tc>
                <w:tcPr>
                  <w:tcW w:w="1414" w:type="dxa"/>
                  <w:tcBorders>
                    <w:top w:val="nil"/>
                    <w:left w:val="single" w:sz="4" w:space="0" w:color="auto"/>
                    <w:bottom w:val="single" w:sz="4" w:space="0" w:color="auto"/>
                    <w:right w:val="nil"/>
                  </w:tcBorders>
                  <w:shd w:val="clear" w:color="auto" w:fill="auto"/>
                  <w:noWrap/>
                  <w:vAlign w:val="center"/>
                  <w:hideMark/>
                </w:tcPr>
                <w:p w14:paraId="638C5EC0" w14:textId="77777777" w:rsidR="00BD154D" w:rsidRPr="00461342"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461342">
                    <w:rPr>
                      <w:rFonts w:asciiTheme="minorHAnsi" w:eastAsia="Times New Roman" w:hAnsiTheme="minorHAnsi" w:cstheme="minorHAnsi"/>
                      <w:color w:val="000000"/>
                      <w:sz w:val="18"/>
                      <w:szCs w:val="18"/>
                      <w:lang w:eastAsia="en-GB"/>
                    </w:rPr>
                    <w:t>353</w:t>
                  </w:r>
                </w:p>
                <w:p w14:paraId="1B1BD21B" w14:textId="77777777" w:rsidR="00BD154D" w:rsidRPr="00461342"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461342">
                    <w:rPr>
                      <w:rFonts w:asciiTheme="minorHAnsi" w:eastAsia="Times New Roman" w:hAnsiTheme="minorHAnsi" w:cstheme="minorHAnsi"/>
                      <w:color w:val="000000"/>
                      <w:sz w:val="18"/>
                      <w:szCs w:val="18"/>
                      <w:lang w:eastAsia="en-GB"/>
                    </w:rPr>
                    <w:t>(23 %)</w:t>
                  </w:r>
                </w:p>
              </w:tc>
              <w:tc>
                <w:tcPr>
                  <w:tcW w:w="1157" w:type="dxa"/>
                  <w:tcBorders>
                    <w:top w:val="nil"/>
                    <w:left w:val="nil"/>
                    <w:bottom w:val="single" w:sz="4" w:space="0" w:color="auto"/>
                  </w:tcBorders>
                  <w:shd w:val="clear" w:color="auto" w:fill="auto"/>
                  <w:noWrap/>
                  <w:vAlign w:val="center"/>
                  <w:hideMark/>
                </w:tcPr>
                <w:p w14:paraId="15580DEF" w14:textId="77777777" w:rsidR="00BD154D" w:rsidRPr="00461342"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461342">
                    <w:rPr>
                      <w:rFonts w:asciiTheme="minorHAnsi" w:eastAsia="Times New Roman" w:hAnsiTheme="minorHAnsi" w:cstheme="minorHAnsi"/>
                      <w:color w:val="000000"/>
                      <w:sz w:val="18"/>
                      <w:szCs w:val="18"/>
                      <w:lang w:eastAsia="en-GB"/>
                    </w:rPr>
                    <w:t>166</w:t>
                  </w:r>
                </w:p>
                <w:p w14:paraId="6E1B3F2C" w14:textId="77777777" w:rsidR="00BD154D" w:rsidRPr="00461342"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461342">
                    <w:rPr>
                      <w:rFonts w:asciiTheme="minorHAnsi" w:eastAsia="Times New Roman" w:hAnsiTheme="minorHAnsi" w:cstheme="minorHAnsi"/>
                      <w:color w:val="000000"/>
                      <w:sz w:val="18"/>
                      <w:szCs w:val="18"/>
                      <w:lang w:eastAsia="en-GB"/>
                    </w:rPr>
                    <w:t>(21 %)</w:t>
                  </w:r>
                </w:p>
              </w:tc>
              <w:tc>
                <w:tcPr>
                  <w:tcW w:w="1081" w:type="dxa"/>
                  <w:tcBorders>
                    <w:top w:val="nil"/>
                    <w:bottom w:val="single" w:sz="4" w:space="0" w:color="auto"/>
                    <w:right w:val="single" w:sz="4" w:space="0" w:color="auto"/>
                  </w:tcBorders>
                  <w:vAlign w:val="center"/>
                </w:tcPr>
                <w:p w14:paraId="2653616A" w14:textId="77777777" w:rsidR="00BD154D" w:rsidRPr="00461342"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461342">
                    <w:rPr>
                      <w:rFonts w:asciiTheme="minorHAnsi" w:eastAsia="Times New Roman" w:hAnsiTheme="minorHAnsi" w:cstheme="minorHAnsi"/>
                      <w:color w:val="000000"/>
                      <w:sz w:val="18"/>
                      <w:szCs w:val="18"/>
                      <w:lang w:eastAsia="en-GB"/>
                    </w:rPr>
                    <w:t>EUR 179.8 mil. (32 %)</w:t>
                  </w:r>
                </w:p>
              </w:tc>
            </w:tr>
          </w:tbl>
          <w:p w14:paraId="39874B0B" w14:textId="77777777" w:rsidR="00BD154D" w:rsidRPr="00822ACE" w:rsidRDefault="00BD154D" w:rsidP="00DF2591">
            <w:pPr>
              <w:spacing w:after="0" w:line="240" w:lineRule="auto"/>
              <w:jc w:val="center"/>
              <w:rPr>
                <w:sz w:val="18"/>
                <w:szCs w:val="18"/>
                <w:highlight w:val="yellow"/>
              </w:rPr>
            </w:pPr>
          </w:p>
          <w:p w14:paraId="1656C7AE" w14:textId="77777777" w:rsidR="00BD154D" w:rsidRPr="00822ACE" w:rsidRDefault="00BD154D" w:rsidP="00DF2591">
            <w:pPr>
              <w:spacing w:after="0" w:line="240" w:lineRule="auto"/>
              <w:jc w:val="center"/>
              <w:rPr>
                <w:rFonts w:eastAsia="Times New Roman" w:cs="Calibri"/>
                <w:color w:val="000000"/>
                <w:sz w:val="18"/>
                <w:szCs w:val="18"/>
                <w:highlight w:val="yellow"/>
                <w:lang w:eastAsia="en-GB"/>
              </w:rPr>
            </w:pPr>
          </w:p>
        </w:tc>
      </w:tr>
      <w:tr w:rsidR="00BD154D" w:rsidRPr="004133DA" w14:paraId="3E181D5F" w14:textId="77777777" w:rsidTr="00DF2591">
        <w:trPr>
          <w:trHeight w:val="1219"/>
        </w:trPr>
        <w:tc>
          <w:tcPr>
            <w:tcW w:w="829" w:type="dxa"/>
            <w:vMerge/>
            <w:shd w:val="clear" w:color="auto" w:fill="auto"/>
            <w:vAlign w:val="center"/>
            <w:hideMark/>
          </w:tcPr>
          <w:p w14:paraId="4EF32FFF" w14:textId="77777777" w:rsidR="00BD154D" w:rsidRPr="00822ACE" w:rsidRDefault="00BD154D" w:rsidP="00DF2591">
            <w:pPr>
              <w:spacing w:after="0" w:line="240" w:lineRule="auto"/>
              <w:rPr>
                <w:rFonts w:eastAsia="Times New Roman" w:cs="Calibri"/>
                <w:color w:val="000000"/>
                <w:sz w:val="18"/>
                <w:szCs w:val="18"/>
                <w:lang w:eastAsia="en-GB"/>
              </w:rPr>
            </w:pPr>
          </w:p>
        </w:tc>
        <w:tc>
          <w:tcPr>
            <w:tcW w:w="1916" w:type="dxa"/>
            <w:vMerge/>
            <w:shd w:val="clear" w:color="auto" w:fill="auto"/>
            <w:vAlign w:val="center"/>
            <w:hideMark/>
          </w:tcPr>
          <w:p w14:paraId="62851DB4" w14:textId="77777777" w:rsidR="00BD154D" w:rsidRPr="00822ACE" w:rsidRDefault="00BD154D" w:rsidP="00DF2591">
            <w:pPr>
              <w:spacing w:after="0" w:line="240" w:lineRule="auto"/>
              <w:rPr>
                <w:rFonts w:eastAsia="Times New Roman" w:cs="Calibri"/>
                <w:color w:val="000000"/>
                <w:sz w:val="18"/>
                <w:szCs w:val="18"/>
                <w:lang w:eastAsia="en-GB"/>
              </w:rPr>
            </w:pPr>
          </w:p>
        </w:tc>
        <w:tc>
          <w:tcPr>
            <w:tcW w:w="2320" w:type="dxa"/>
            <w:shd w:val="clear" w:color="auto" w:fill="auto"/>
            <w:vAlign w:val="center"/>
            <w:hideMark/>
          </w:tcPr>
          <w:p w14:paraId="27D17AF4" w14:textId="77777777" w:rsidR="00BD154D" w:rsidRPr="004133DA" w:rsidRDefault="00BD154D" w:rsidP="00DF2591">
            <w:pPr>
              <w:spacing w:after="0" w:line="240" w:lineRule="auto"/>
              <w:jc w:val="center"/>
              <w:rPr>
                <w:rFonts w:eastAsia="Times New Roman" w:cs="Calibri"/>
                <w:color w:val="000000"/>
                <w:sz w:val="18"/>
                <w:szCs w:val="18"/>
                <w:lang w:val="en-US" w:eastAsia="en-GB"/>
              </w:rPr>
            </w:pPr>
            <w:r w:rsidRPr="004133DA">
              <w:rPr>
                <w:rFonts w:eastAsia="Times New Roman" w:cs="Calibri"/>
                <w:color w:val="000000"/>
                <w:sz w:val="18"/>
                <w:szCs w:val="18"/>
                <w:lang w:val="en-US" w:eastAsia="en-GB"/>
              </w:rPr>
              <w:t xml:space="preserve">% </w:t>
            </w:r>
            <w:proofErr w:type="gramStart"/>
            <w:r w:rsidRPr="004133DA">
              <w:rPr>
                <w:rFonts w:eastAsia="Times New Roman" w:cs="Calibri"/>
                <w:color w:val="000000"/>
                <w:sz w:val="18"/>
                <w:szCs w:val="18"/>
                <w:lang w:val="en-US" w:eastAsia="en-GB"/>
              </w:rPr>
              <w:t>of</w:t>
            </w:r>
            <w:proofErr w:type="gramEnd"/>
            <w:r w:rsidRPr="004133DA">
              <w:rPr>
                <w:rFonts w:eastAsia="Times New Roman" w:cs="Calibri"/>
                <w:color w:val="000000"/>
                <w:sz w:val="18"/>
                <w:szCs w:val="18"/>
                <w:lang w:val="en-US" w:eastAsia="en-GB"/>
              </w:rPr>
              <w:t xml:space="preserve"> EU contribution going to beneficiaries flagged as SME</w:t>
            </w:r>
            <w:r>
              <w:rPr>
                <w:rFonts w:eastAsia="Times New Roman" w:cs="Calibri"/>
                <w:color w:val="000000"/>
                <w:sz w:val="18"/>
                <w:szCs w:val="18"/>
                <w:lang w:val="en-US" w:eastAsia="en-GB"/>
              </w:rPr>
              <w:t>s</w:t>
            </w:r>
          </w:p>
        </w:tc>
        <w:tc>
          <w:tcPr>
            <w:tcW w:w="4139" w:type="dxa"/>
            <w:vMerge/>
            <w:shd w:val="clear" w:color="auto" w:fill="auto"/>
            <w:hideMark/>
          </w:tcPr>
          <w:p w14:paraId="2A66A015" w14:textId="77777777" w:rsidR="00BD154D" w:rsidRPr="00B169B6" w:rsidRDefault="00BD154D" w:rsidP="00DF2591">
            <w:pPr>
              <w:spacing w:after="0" w:line="240" w:lineRule="auto"/>
              <w:rPr>
                <w:rFonts w:eastAsia="Times New Roman" w:cs="Calibri"/>
                <w:color w:val="000000"/>
                <w:sz w:val="18"/>
                <w:szCs w:val="18"/>
                <w:highlight w:val="yellow"/>
                <w:lang w:val="en-US" w:eastAsia="en-GB"/>
              </w:rPr>
            </w:pPr>
          </w:p>
        </w:tc>
      </w:tr>
      <w:tr w:rsidR="00BD154D" w:rsidRPr="004133DA" w14:paraId="58D296A3" w14:textId="77777777" w:rsidTr="00DF2591">
        <w:trPr>
          <w:trHeight w:val="829"/>
        </w:trPr>
        <w:tc>
          <w:tcPr>
            <w:tcW w:w="829" w:type="dxa"/>
            <w:shd w:val="clear" w:color="auto" w:fill="auto"/>
            <w:vAlign w:val="center"/>
            <w:hideMark/>
          </w:tcPr>
          <w:p w14:paraId="3E2B93E3" w14:textId="77777777" w:rsidR="00BD154D" w:rsidRPr="004133DA" w:rsidRDefault="00BD154D" w:rsidP="00DF2591">
            <w:pPr>
              <w:spacing w:after="0" w:line="240" w:lineRule="auto"/>
              <w:jc w:val="center"/>
              <w:rPr>
                <w:rFonts w:eastAsia="Times New Roman" w:cs="Calibri"/>
                <w:color w:val="000000"/>
                <w:sz w:val="18"/>
                <w:szCs w:val="18"/>
                <w:lang w:val="en-US" w:eastAsia="en-GB"/>
              </w:rPr>
            </w:pPr>
            <w:r w:rsidRPr="004133DA">
              <w:rPr>
                <w:rFonts w:eastAsia="Times New Roman" w:cs="Calibri"/>
                <w:color w:val="000000"/>
                <w:sz w:val="18"/>
                <w:szCs w:val="18"/>
                <w:lang w:val="en-US" w:eastAsia="en-GB"/>
              </w:rPr>
              <w:t>6.1</w:t>
            </w:r>
          </w:p>
        </w:tc>
        <w:tc>
          <w:tcPr>
            <w:tcW w:w="1916" w:type="dxa"/>
            <w:shd w:val="clear" w:color="auto" w:fill="auto"/>
            <w:vAlign w:val="center"/>
            <w:hideMark/>
          </w:tcPr>
          <w:p w14:paraId="28D54528" w14:textId="77777777" w:rsidR="00BD154D" w:rsidRPr="004133DA" w:rsidRDefault="00BD154D" w:rsidP="00DF2591">
            <w:pPr>
              <w:spacing w:after="0" w:line="240" w:lineRule="auto"/>
              <w:jc w:val="center"/>
              <w:rPr>
                <w:rFonts w:eastAsia="Times New Roman" w:cs="Calibri"/>
                <w:color w:val="000000"/>
                <w:sz w:val="18"/>
                <w:szCs w:val="18"/>
                <w:lang w:val="en-US" w:eastAsia="en-GB"/>
              </w:rPr>
            </w:pPr>
            <w:r w:rsidRPr="004133DA">
              <w:rPr>
                <w:rFonts w:eastAsia="Times New Roman" w:cs="Calibri"/>
                <w:color w:val="000000"/>
                <w:sz w:val="18"/>
                <w:szCs w:val="18"/>
                <w:lang w:val="en-US" w:eastAsia="en-GB"/>
              </w:rPr>
              <w:t>Percentage of women participants in H2020 projects</w:t>
            </w:r>
          </w:p>
        </w:tc>
        <w:tc>
          <w:tcPr>
            <w:tcW w:w="2320" w:type="dxa"/>
            <w:shd w:val="clear" w:color="auto" w:fill="auto"/>
            <w:vAlign w:val="center"/>
            <w:hideMark/>
          </w:tcPr>
          <w:p w14:paraId="18CAD345" w14:textId="77777777" w:rsidR="00BD154D" w:rsidRPr="004133DA" w:rsidRDefault="00BD154D" w:rsidP="00DF2591">
            <w:pPr>
              <w:spacing w:after="0" w:line="240" w:lineRule="auto"/>
              <w:jc w:val="center"/>
              <w:rPr>
                <w:rFonts w:eastAsia="Times New Roman" w:cs="Calibri"/>
                <w:color w:val="000000"/>
                <w:sz w:val="18"/>
                <w:szCs w:val="18"/>
                <w:lang w:val="en-US" w:eastAsia="en-GB"/>
              </w:rPr>
            </w:pPr>
            <w:r w:rsidRPr="004133DA">
              <w:rPr>
                <w:rFonts w:eastAsia="Times New Roman" w:cs="Calibri"/>
                <w:color w:val="000000"/>
                <w:sz w:val="18"/>
                <w:szCs w:val="18"/>
                <w:lang w:val="en-US" w:eastAsia="en-GB"/>
              </w:rPr>
              <w:t>Gender of participants in H2020 projects</w:t>
            </w:r>
          </w:p>
        </w:tc>
        <w:tc>
          <w:tcPr>
            <w:tcW w:w="4139" w:type="dxa"/>
            <w:shd w:val="clear" w:color="auto" w:fill="auto"/>
            <w:vAlign w:val="center"/>
            <w:hideMark/>
          </w:tcPr>
          <w:p w14:paraId="3817B956" w14:textId="77777777" w:rsidR="00BD154D" w:rsidRDefault="00BD154D" w:rsidP="00DF2591">
            <w:pPr>
              <w:spacing w:after="0" w:line="240" w:lineRule="auto"/>
              <w:jc w:val="center"/>
              <w:rPr>
                <w:sz w:val="18"/>
                <w:szCs w:val="18"/>
              </w:rPr>
            </w:pPr>
            <w:r w:rsidRPr="009747DE">
              <w:rPr>
                <w:sz w:val="18"/>
                <w:szCs w:val="18"/>
              </w:rPr>
              <w:t xml:space="preserve">According to continuous reporting: </w:t>
            </w:r>
          </w:p>
          <w:p w14:paraId="012DE5B9" w14:textId="77777777" w:rsidR="00BD154D" w:rsidRPr="00B169B6" w:rsidRDefault="00BD154D" w:rsidP="00DF2591">
            <w:pPr>
              <w:spacing w:after="0" w:line="240" w:lineRule="auto"/>
              <w:jc w:val="center"/>
              <w:rPr>
                <w:rFonts w:eastAsia="Times New Roman" w:cs="Calibri"/>
                <w:color w:val="000000"/>
                <w:sz w:val="18"/>
                <w:szCs w:val="18"/>
                <w:highlight w:val="yellow"/>
                <w:lang w:val="en-US" w:eastAsia="en-GB"/>
              </w:rPr>
            </w:pPr>
            <w:r>
              <w:rPr>
                <w:sz w:val="18"/>
                <w:szCs w:val="18"/>
              </w:rPr>
              <w:t xml:space="preserve">25.94 </w:t>
            </w:r>
            <w:r w:rsidRPr="009747DE">
              <w:rPr>
                <w:sz w:val="18"/>
                <w:szCs w:val="18"/>
              </w:rPr>
              <w:t>%</w:t>
            </w:r>
          </w:p>
        </w:tc>
      </w:tr>
      <w:tr w:rsidR="00BD154D" w:rsidRPr="004133DA" w14:paraId="1CEFC746" w14:textId="77777777" w:rsidTr="00DF2591">
        <w:trPr>
          <w:trHeight w:val="1016"/>
        </w:trPr>
        <w:tc>
          <w:tcPr>
            <w:tcW w:w="829" w:type="dxa"/>
            <w:shd w:val="clear" w:color="auto" w:fill="auto"/>
            <w:vAlign w:val="center"/>
            <w:hideMark/>
          </w:tcPr>
          <w:p w14:paraId="21E9E068" w14:textId="77777777" w:rsidR="00BD154D" w:rsidRPr="004133DA" w:rsidRDefault="00BD154D" w:rsidP="00DF2591">
            <w:pPr>
              <w:spacing w:after="0" w:line="240" w:lineRule="auto"/>
              <w:jc w:val="center"/>
              <w:rPr>
                <w:rFonts w:eastAsia="Times New Roman" w:cs="Calibri"/>
                <w:color w:val="000000"/>
                <w:sz w:val="18"/>
                <w:szCs w:val="18"/>
                <w:lang w:val="en-US" w:eastAsia="en-GB"/>
              </w:rPr>
            </w:pPr>
            <w:r w:rsidRPr="004133DA">
              <w:rPr>
                <w:rFonts w:eastAsia="Times New Roman" w:cs="Calibri"/>
                <w:color w:val="000000"/>
                <w:sz w:val="18"/>
                <w:szCs w:val="18"/>
                <w:lang w:val="en-US" w:eastAsia="en-GB"/>
              </w:rPr>
              <w:t>6.2</w:t>
            </w:r>
          </w:p>
        </w:tc>
        <w:tc>
          <w:tcPr>
            <w:tcW w:w="1916" w:type="dxa"/>
            <w:shd w:val="clear" w:color="auto" w:fill="auto"/>
            <w:vAlign w:val="center"/>
            <w:hideMark/>
          </w:tcPr>
          <w:p w14:paraId="2452B805" w14:textId="77777777" w:rsidR="00BD154D" w:rsidRPr="004133DA" w:rsidRDefault="00BD154D" w:rsidP="00DF2591">
            <w:pPr>
              <w:spacing w:after="0" w:line="240" w:lineRule="auto"/>
              <w:jc w:val="center"/>
              <w:rPr>
                <w:rFonts w:eastAsia="Times New Roman" w:cs="Calibri"/>
                <w:color w:val="000000"/>
                <w:sz w:val="18"/>
                <w:szCs w:val="18"/>
                <w:lang w:val="en-US" w:eastAsia="en-GB"/>
              </w:rPr>
            </w:pPr>
            <w:r w:rsidRPr="004133DA">
              <w:rPr>
                <w:rFonts w:eastAsia="Times New Roman" w:cs="Calibri"/>
                <w:color w:val="000000"/>
                <w:sz w:val="18"/>
                <w:szCs w:val="18"/>
                <w:lang w:val="en-US" w:eastAsia="en-GB"/>
              </w:rPr>
              <w:t>Percentage of women project coordinators in H2020</w:t>
            </w:r>
          </w:p>
        </w:tc>
        <w:tc>
          <w:tcPr>
            <w:tcW w:w="2320" w:type="dxa"/>
            <w:shd w:val="clear" w:color="auto" w:fill="auto"/>
            <w:vAlign w:val="center"/>
            <w:hideMark/>
          </w:tcPr>
          <w:p w14:paraId="146A612D" w14:textId="77777777" w:rsidR="00BD154D" w:rsidRPr="004133DA" w:rsidRDefault="00BD154D" w:rsidP="00DF2591">
            <w:pPr>
              <w:spacing w:after="0" w:line="240" w:lineRule="auto"/>
              <w:jc w:val="center"/>
              <w:rPr>
                <w:rFonts w:eastAsia="Times New Roman" w:cs="Calibri"/>
                <w:color w:val="000000"/>
                <w:sz w:val="18"/>
                <w:szCs w:val="18"/>
                <w:lang w:val="en-US" w:eastAsia="en-GB"/>
              </w:rPr>
            </w:pPr>
            <w:r w:rsidRPr="004133DA">
              <w:rPr>
                <w:rFonts w:eastAsia="Times New Roman" w:cs="Calibri"/>
                <w:color w:val="000000"/>
                <w:sz w:val="18"/>
                <w:szCs w:val="18"/>
                <w:lang w:val="en-US" w:eastAsia="en-GB"/>
              </w:rPr>
              <w:t>Gender of MSC fellows, ERC princip</w:t>
            </w:r>
            <w:r>
              <w:rPr>
                <w:rFonts w:eastAsia="Times New Roman" w:cs="Calibri"/>
                <w:color w:val="000000"/>
                <w:sz w:val="18"/>
                <w:szCs w:val="18"/>
                <w:lang w:val="en-US" w:eastAsia="en-GB"/>
              </w:rPr>
              <w:t>al</w:t>
            </w:r>
            <w:r w:rsidRPr="004133DA">
              <w:rPr>
                <w:rFonts w:eastAsia="Times New Roman" w:cs="Calibri"/>
                <w:color w:val="000000"/>
                <w:sz w:val="18"/>
                <w:szCs w:val="18"/>
                <w:lang w:val="en-US" w:eastAsia="en-GB"/>
              </w:rPr>
              <w:t xml:space="preserve"> investigators and scientific coordinators in other H2020 activities</w:t>
            </w:r>
          </w:p>
        </w:tc>
        <w:tc>
          <w:tcPr>
            <w:tcW w:w="4139" w:type="dxa"/>
            <w:shd w:val="clear" w:color="auto" w:fill="auto"/>
            <w:vAlign w:val="center"/>
            <w:hideMark/>
          </w:tcPr>
          <w:p w14:paraId="501EA827" w14:textId="77777777" w:rsidR="00BD154D" w:rsidRPr="002F2096" w:rsidRDefault="00BD154D" w:rsidP="00DF2591">
            <w:pPr>
              <w:spacing w:after="0" w:line="240" w:lineRule="auto"/>
              <w:jc w:val="center"/>
              <w:rPr>
                <w:rFonts w:cs="Calibri"/>
                <w:color w:val="000000"/>
                <w:sz w:val="18"/>
                <w:szCs w:val="18"/>
                <w:lang w:eastAsia="en-GB"/>
              </w:rPr>
            </w:pPr>
            <w:r w:rsidRPr="002F2096">
              <w:rPr>
                <w:rFonts w:cs="Calibri"/>
                <w:color w:val="000000"/>
                <w:sz w:val="18"/>
                <w:szCs w:val="18"/>
              </w:rPr>
              <w:t>3</w:t>
            </w:r>
            <w:r>
              <w:rPr>
                <w:rFonts w:cs="Calibri"/>
                <w:color w:val="000000"/>
                <w:sz w:val="18"/>
                <w:szCs w:val="18"/>
              </w:rPr>
              <w:t>9</w:t>
            </w:r>
            <w:r w:rsidRPr="002F2096">
              <w:rPr>
                <w:rFonts w:cs="Calibri"/>
                <w:color w:val="000000"/>
                <w:sz w:val="18"/>
                <w:szCs w:val="18"/>
              </w:rPr>
              <w:t>/13</w:t>
            </w:r>
            <w:r>
              <w:rPr>
                <w:rFonts w:cs="Calibri"/>
                <w:color w:val="000000"/>
                <w:sz w:val="18"/>
                <w:szCs w:val="18"/>
              </w:rPr>
              <w:t>3</w:t>
            </w:r>
            <w:r w:rsidRPr="002F2096">
              <w:rPr>
                <w:rFonts w:cs="Calibri"/>
                <w:color w:val="000000"/>
                <w:sz w:val="18"/>
                <w:szCs w:val="18"/>
              </w:rPr>
              <w:t xml:space="preserve"> (2</w:t>
            </w:r>
            <w:r>
              <w:rPr>
                <w:rFonts w:cs="Calibri"/>
                <w:color w:val="000000"/>
                <w:sz w:val="18"/>
                <w:szCs w:val="18"/>
              </w:rPr>
              <w:t>9</w:t>
            </w:r>
            <w:r w:rsidRPr="002F2096">
              <w:rPr>
                <w:rFonts w:cs="Calibri"/>
                <w:color w:val="000000"/>
                <w:sz w:val="18"/>
                <w:szCs w:val="18"/>
              </w:rPr>
              <w:t>.</w:t>
            </w:r>
            <w:r>
              <w:rPr>
                <w:rFonts w:cs="Calibri"/>
                <w:color w:val="000000"/>
                <w:sz w:val="18"/>
                <w:szCs w:val="18"/>
              </w:rPr>
              <w:t>3</w:t>
            </w:r>
            <w:r w:rsidRPr="002F2096">
              <w:rPr>
                <w:rFonts w:cs="Calibri"/>
                <w:color w:val="000000"/>
                <w:sz w:val="18"/>
                <w:szCs w:val="18"/>
              </w:rPr>
              <w:t> %)</w:t>
            </w:r>
          </w:p>
          <w:p w14:paraId="4325D1D6" w14:textId="77777777" w:rsidR="00BD154D" w:rsidRPr="00B169B6" w:rsidRDefault="00BD154D" w:rsidP="00DF2591">
            <w:pPr>
              <w:spacing w:after="0" w:line="240" w:lineRule="auto"/>
              <w:jc w:val="center"/>
              <w:rPr>
                <w:rFonts w:eastAsia="Times New Roman" w:cs="Calibri"/>
                <w:color w:val="000000"/>
                <w:sz w:val="18"/>
                <w:szCs w:val="18"/>
                <w:highlight w:val="yellow"/>
                <w:lang w:val="en-US" w:eastAsia="en-GB"/>
              </w:rPr>
            </w:pPr>
          </w:p>
        </w:tc>
      </w:tr>
      <w:tr w:rsidR="00BD154D" w:rsidRPr="004133DA" w14:paraId="10E7DB1F" w14:textId="77777777" w:rsidTr="00DF2591">
        <w:trPr>
          <w:trHeight w:val="1315"/>
        </w:trPr>
        <w:tc>
          <w:tcPr>
            <w:tcW w:w="829" w:type="dxa"/>
            <w:shd w:val="clear" w:color="auto" w:fill="auto"/>
            <w:vAlign w:val="center"/>
            <w:hideMark/>
          </w:tcPr>
          <w:p w14:paraId="35BC9BAD" w14:textId="77777777" w:rsidR="00BD154D" w:rsidRPr="004133DA" w:rsidRDefault="00BD154D" w:rsidP="00DF2591">
            <w:pPr>
              <w:spacing w:after="0" w:line="240" w:lineRule="auto"/>
              <w:jc w:val="center"/>
              <w:rPr>
                <w:rFonts w:eastAsia="Times New Roman" w:cs="Calibri"/>
                <w:color w:val="000000"/>
                <w:sz w:val="18"/>
                <w:szCs w:val="18"/>
                <w:lang w:val="en-US" w:eastAsia="en-GB"/>
              </w:rPr>
            </w:pPr>
            <w:r w:rsidRPr="004133DA">
              <w:rPr>
                <w:rFonts w:eastAsia="Times New Roman" w:cs="Calibri"/>
                <w:color w:val="000000"/>
                <w:sz w:val="18"/>
                <w:szCs w:val="18"/>
                <w:lang w:val="en-US" w:eastAsia="en-GB"/>
              </w:rPr>
              <w:t>6.3</w:t>
            </w:r>
          </w:p>
        </w:tc>
        <w:tc>
          <w:tcPr>
            <w:tcW w:w="1916" w:type="dxa"/>
            <w:shd w:val="clear" w:color="auto" w:fill="auto"/>
            <w:vAlign w:val="center"/>
            <w:hideMark/>
          </w:tcPr>
          <w:p w14:paraId="1FAD0E1F" w14:textId="77777777" w:rsidR="00BD154D" w:rsidRPr="001B339D" w:rsidRDefault="00BD154D" w:rsidP="00DF2591">
            <w:pPr>
              <w:spacing w:after="0" w:line="240" w:lineRule="auto"/>
              <w:jc w:val="center"/>
              <w:rPr>
                <w:rFonts w:eastAsia="Times New Roman" w:cs="Calibri"/>
                <w:color w:val="000000"/>
                <w:sz w:val="18"/>
                <w:szCs w:val="18"/>
                <w:lang w:val="en-US" w:eastAsia="en-GB"/>
              </w:rPr>
            </w:pPr>
            <w:r w:rsidRPr="001B339D">
              <w:rPr>
                <w:rFonts w:eastAsia="Times New Roman" w:cs="Calibri"/>
                <w:color w:val="000000"/>
                <w:sz w:val="18"/>
                <w:szCs w:val="18"/>
                <w:lang w:val="en-US" w:eastAsia="en-GB"/>
              </w:rPr>
              <w:t>Percentage of women in EC advisory groups, expert groups, evaluation panels, individual experts, etc.</w:t>
            </w:r>
          </w:p>
        </w:tc>
        <w:tc>
          <w:tcPr>
            <w:tcW w:w="2320" w:type="dxa"/>
            <w:shd w:val="clear" w:color="auto" w:fill="auto"/>
            <w:vAlign w:val="center"/>
            <w:hideMark/>
          </w:tcPr>
          <w:p w14:paraId="4D037FAC" w14:textId="77777777" w:rsidR="00BD154D" w:rsidRPr="001B339D" w:rsidRDefault="00BD154D" w:rsidP="00DF2591">
            <w:pPr>
              <w:spacing w:after="0" w:line="240" w:lineRule="auto"/>
              <w:jc w:val="center"/>
              <w:rPr>
                <w:rFonts w:eastAsia="Times New Roman" w:cs="Calibri"/>
                <w:color w:val="000000"/>
                <w:sz w:val="18"/>
                <w:szCs w:val="18"/>
                <w:lang w:val="en-US" w:eastAsia="en-GB"/>
              </w:rPr>
            </w:pPr>
            <w:r w:rsidRPr="001B339D">
              <w:rPr>
                <w:rFonts w:eastAsia="Times New Roman" w:cs="Calibri"/>
                <w:color w:val="000000"/>
                <w:sz w:val="18"/>
                <w:szCs w:val="18"/>
                <w:lang w:val="en-US" w:eastAsia="en-GB"/>
              </w:rPr>
              <w:t>Gender of members of advisory groups, panels, etc.</w:t>
            </w:r>
          </w:p>
        </w:tc>
        <w:tc>
          <w:tcPr>
            <w:tcW w:w="4139" w:type="dxa"/>
            <w:shd w:val="clear" w:color="auto" w:fill="auto"/>
            <w:vAlign w:val="center"/>
            <w:hideMark/>
          </w:tcPr>
          <w:p w14:paraId="1A45BD1B" w14:textId="77777777" w:rsidR="00BD154D" w:rsidRDefault="00BD154D" w:rsidP="00DF2591">
            <w:pPr>
              <w:spacing w:after="0" w:line="240" w:lineRule="auto"/>
              <w:jc w:val="center"/>
              <w:rPr>
                <w:rFonts w:cs="Calibri"/>
                <w:color w:val="000000"/>
                <w:sz w:val="18"/>
                <w:szCs w:val="18"/>
              </w:rPr>
            </w:pPr>
            <w:r w:rsidRPr="005C1915">
              <w:rPr>
                <w:rFonts w:cs="Calibri"/>
                <w:color w:val="000000"/>
                <w:sz w:val="18"/>
                <w:szCs w:val="18"/>
              </w:rPr>
              <w:t>Scientific Com</w:t>
            </w:r>
            <w:r>
              <w:rPr>
                <w:rFonts w:cs="Calibri"/>
                <w:color w:val="000000"/>
                <w:sz w:val="18"/>
                <w:szCs w:val="18"/>
              </w:rPr>
              <w:t>:</w:t>
            </w:r>
            <w:r w:rsidRPr="005C1915">
              <w:rPr>
                <w:rFonts w:cs="Calibri"/>
                <w:color w:val="000000"/>
                <w:sz w:val="18"/>
                <w:szCs w:val="18"/>
              </w:rPr>
              <w:t xml:space="preserve"> 3/9 (33.3 %) </w:t>
            </w:r>
            <w:r w:rsidRPr="005C1915">
              <w:rPr>
                <w:rFonts w:cs="Calibri"/>
                <w:color w:val="000000"/>
                <w:sz w:val="18"/>
                <w:szCs w:val="18"/>
              </w:rPr>
              <w:br/>
            </w:r>
            <w:r w:rsidRPr="001E34AB">
              <w:rPr>
                <w:rFonts w:cs="Calibri"/>
                <w:color w:val="000000"/>
                <w:sz w:val="18"/>
                <w:szCs w:val="18"/>
              </w:rPr>
              <w:t xml:space="preserve">SRG: 9/42 (21.4 %) </w:t>
            </w:r>
          </w:p>
          <w:p w14:paraId="00748390" w14:textId="77777777" w:rsidR="00BD154D" w:rsidRPr="00B169B6" w:rsidRDefault="00BD154D" w:rsidP="00DF2591">
            <w:pPr>
              <w:spacing w:after="0" w:line="240" w:lineRule="auto"/>
              <w:jc w:val="center"/>
              <w:rPr>
                <w:rFonts w:eastAsia="Times New Roman" w:cs="Calibri"/>
                <w:sz w:val="18"/>
                <w:szCs w:val="18"/>
                <w:highlight w:val="yellow"/>
                <w:lang w:val="en-US" w:eastAsia="en-GB"/>
              </w:rPr>
            </w:pPr>
            <w:r>
              <w:rPr>
                <w:rFonts w:cs="Calibri"/>
                <w:color w:val="000000"/>
                <w:sz w:val="18"/>
                <w:szCs w:val="18"/>
              </w:rPr>
              <w:t>Evaluators: N/A (no evaluations in 2021)</w:t>
            </w:r>
          </w:p>
        </w:tc>
      </w:tr>
      <w:tr w:rsidR="00BD154D" w:rsidRPr="004133DA" w14:paraId="1633738F" w14:textId="77777777" w:rsidTr="00DF2591">
        <w:trPr>
          <w:trHeight w:val="975"/>
        </w:trPr>
        <w:tc>
          <w:tcPr>
            <w:tcW w:w="829" w:type="dxa"/>
            <w:shd w:val="clear" w:color="auto" w:fill="auto"/>
            <w:vAlign w:val="center"/>
            <w:hideMark/>
          </w:tcPr>
          <w:p w14:paraId="29CDE365" w14:textId="77777777" w:rsidR="00BD154D" w:rsidRPr="004133DA" w:rsidRDefault="00BD154D" w:rsidP="00DF2591">
            <w:pPr>
              <w:spacing w:after="0" w:line="240" w:lineRule="auto"/>
              <w:jc w:val="center"/>
              <w:rPr>
                <w:rFonts w:eastAsia="Times New Roman" w:cs="Calibri"/>
                <w:color w:val="000000"/>
                <w:sz w:val="18"/>
                <w:szCs w:val="18"/>
                <w:lang w:val="en-US" w:eastAsia="en-GB"/>
              </w:rPr>
            </w:pPr>
            <w:r w:rsidRPr="004133DA">
              <w:rPr>
                <w:rFonts w:eastAsia="Times New Roman" w:cs="Calibri"/>
                <w:color w:val="000000"/>
                <w:sz w:val="18"/>
                <w:szCs w:val="18"/>
                <w:lang w:val="en-US" w:eastAsia="en-GB"/>
              </w:rPr>
              <w:t>7.1</w:t>
            </w:r>
          </w:p>
        </w:tc>
        <w:tc>
          <w:tcPr>
            <w:tcW w:w="1916" w:type="dxa"/>
            <w:shd w:val="clear" w:color="auto" w:fill="auto"/>
            <w:vAlign w:val="center"/>
            <w:hideMark/>
          </w:tcPr>
          <w:p w14:paraId="5A996255" w14:textId="77777777" w:rsidR="00BD154D" w:rsidRPr="001B339D" w:rsidRDefault="00BD154D" w:rsidP="00DF2591">
            <w:pPr>
              <w:spacing w:after="0" w:line="240" w:lineRule="auto"/>
              <w:jc w:val="center"/>
              <w:rPr>
                <w:rFonts w:eastAsia="Times New Roman" w:cs="Calibri"/>
                <w:color w:val="000000"/>
                <w:sz w:val="18"/>
                <w:szCs w:val="18"/>
                <w:lang w:val="en-US" w:eastAsia="en-GB"/>
              </w:rPr>
            </w:pPr>
            <w:r w:rsidRPr="001B339D">
              <w:rPr>
                <w:rFonts w:eastAsia="Times New Roman" w:cs="Calibri"/>
                <w:color w:val="000000"/>
                <w:sz w:val="18"/>
                <w:szCs w:val="18"/>
                <w:lang w:val="en-US" w:eastAsia="en-GB"/>
              </w:rPr>
              <w:t>Share of third-country participants in H2020</w:t>
            </w:r>
          </w:p>
        </w:tc>
        <w:tc>
          <w:tcPr>
            <w:tcW w:w="2320" w:type="dxa"/>
            <w:shd w:val="clear" w:color="auto" w:fill="auto"/>
            <w:vAlign w:val="center"/>
            <w:hideMark/>
          </w:tcPr>
          <w:p w14:paraId="495E47C2" w14:textId="77777777" w:rsidR="00BD154D" w:rsidRPr="001B339D" w:rsidRDefault="00BD154D" w:rsidP="00DF2591">
            <w:pPr>
              <w:spacing w:after="0" w:line="240" w:lineRule="auto"/>
              <w:jc w:val="center"/>
              <w:rPr>
                <w:rFonts w:eastAsia="Times New Roman" w:cs="Calibri"/>
                <w:color w:val="000000"/>
                <w:sz w:val="18"/>
                <w:szCs w:val="18"/>
                <w:lang w:val="en-US" w:eastAsia="en-GB"/>
              </w:rPr>
            </w:pPr>
            <w:r w:rsidRPr="001B339D">
              <w:rPr>
                <w:rFonts w:eastAsia="Times New Roman" w:cs="Calibri"/>
                <w:color w:val="000000"/>
                <w:sz w:val="18"/>
                <w:szCs w:val="18"/>
                <w:lang w:val="en-US" w:eastAsia="en-GB"/>
              </w:rPr>
              <w:t>Nationality of H2020 beneficiaries</w:t>
            </w:r>
          </w:p>
        </w:tc>
        <w:tc>
          <w:tcPr>
            <w:tcW w:w="4139" w:type="dxa"/>
            <w:shd w:val="clear" w:color="auto" w:fill="auto"/>
            <w:vAlign w:val="center"/>
            <w:hideMark/>
          </w:tcPr>
          <w:p w14:paraId="40F3BCC9" w14:textId="77777777" w:rsidR="00BD154D" w:rsidRDefault="00BD154D" w:rsidP="00DF2591">
            <w:pPr>
              <w:spacing w:after="0" w:line="240" w:lineRule="auto"/>
              <w:jc w:val="center"/>
              <w:rPr>
                <w:rFonts w:cs="Calibri"/>
                <w:color w:val="000000"/>
                <w:sz w:val="18"/>
                <w:szCs w:val="18"/>
              </w:rPr>
            </w:pPr>
          </w:p>
          <w:tbl>
            <w:tblPr>
              <w:tblW w:w="3639" w:type="dxa"/>
              <w:tblInd w:w="94" w:type="dxa"/>
              <w:tblLook w:val="04A0" w:firstRow="1" w:lastRow="0" w:firstColumn="1" w:lastColumn="0" w:noHBand="0" w:noVBand="1"/>
            </w:tblPr>
            <w:tblGrid>
              <w:gridCol w:w="1409"/>
              <w:gridCol w:w="1153"/>
              <w:gridCol w:w="1077"/>
            </w:tblGrid>
            <w:tr w:rsidR="00BD154D" w:rsidRPr="00461342" w14:paraId="56ACF6FC" w14:textId="77777777" w:rsidTr="00DF2591">
              <w:trPr>
                <w:trHeight w:val="644"/>
              </w:trPr>
              <w:tc>
                <w:tcPr>
                  <w:tcW w:w="3639"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9E46A8" w14:textId="77777777" w:rsidR="00BD154D" w:rsidRPr="00461342"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461342">
                    <w:rPr>
                      <w:rFonts w:asciiTheme="minorHAnsi" w:eastAsia="Times New Roman" w:hAnsiTheme="minorHAnsi" w:cstheme="minorHAnsi"/>
                      <w:color w:val="000000"/>
                      <w:sz w:val="18"/>
                      <w:szCs w:val="18"/>
                      <w:lang w:eastAsia="en-GB"/>
                    </w:rPr>
                    <w:t>Third Countries</w:t>
                  </w:r>
                </w:p>
                <w:p w14:paraId="10097A7E" w14:textId="77777777" w:rsidR="00BD154D" w:rsidRPr="00461342" w:rsidRDefault="00BD154D" w:rsidP="00DF2591">
                  <w:pPr>
                    <w:spacing w:after="0" w:line="240" w:lineRule="auto"/>
                    <w:jc w:val="center"/>
                    <w:rPr>
                      <w:rFonts w:asciiTheme="minorHAnsi" w:eastAsia="Times New Roman" w:hAnsiTheme="minorHAnsi" w:cstheme="minorHAnsi"/>
                      <w:color w:val="000000"/>
                      <w:sz w:val="18"/>
                      <w:szCs w:val="18"/>
                      <w:lang w:eastAsia="en-GB"/>
                    </w:rPr>
                  </w:pPr>
                </w:p>
              </w:tc>
            </w:tr>
            <w:tr w:rsidR="00BD154D" w:rsidRPr="00461342" w14:paraId="6C78856F" w14:textId="77777777" w:rsidTr="00DF2591">
              <w:trPr>
                <w:trHeight w:val="360"/>
              </w:trPr>
              <w:tc>
                <w:tcPr>
                  <w:tcW w:w="1409" w:type="dxa"/>
                  <w:tcBorders>
                    <w:top w:val="nil"/>
                    <w:left w:val="single" w:sz="4" w:space="0" w:color="auto"/>
                    <w:bottom w:val="nil"/>
                    <w:right w:val="nil"/>
                  </w:tcBorders>
                  <w:shd w:val="clear" w:color="auto" w:fill="auto"/>
                  <w:noWrap/>
                  <w:vAlign w:val="center"/>
                  <w:hideMark/>
                </w:tcPr>
                <w:p w14:paraId="448BF8C3" w14:textId="77777777" w:rsidR="00BD154D" w:rsidRPr="00461342"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461342">
                    <w:rPr>
                      <w:rFonts w:asciiTheme="minorHAnsi" w:eastAsia="Times New Roman" w:hAnsiTheme="minorHAnsi" w:cstheme="minorHAnsi"/>
                      <w:color w:val="000000"/>
                      <w:sz w:val="18"/>
                      <w:szCs w:val="18"/>
                      <w:lang w:eastAsia="en-GB"/>
                    </w:rPr>
                    <w:t>Grants participations</w:t>
                  </w:r>
                </w:p>
              </w:tc>
              <w:tc>
                <w:tcPr>
                  <w:tcW w:w="1153" w:type="dxa"/>
                  <w:tcBorders>
                    <w:top w:val="nil"/>
                    <w:left w:val="nil"/>
                    <w:bottom w:val="nil"/>
                  </w:tcBorders>
                  <w:shd w:val="clear" w:color="auto" w:fill="auto"/>
                  <w:noWrap/>
                  <w:vAlign w:val="center"/>
                  <w:hideMark/>
                </w:tcPr>
                <w:p w14:paraId="48D33B2A" w14:textId="77777777" w:rsidR="00BD154D" w:rsidRPr="00461342"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461342">
                    <w:rPr>
                      <w:rFonts w:asciiTheme="minorHAnsi" w:eastAsia="Times New Roman" w:hAnsiTheme="minorHAnsi" w:cstheme="minorHAnsi"/>
                      <w:color w:val="000000"/>
                      <w:sz w:val="18"/>
                      <w:szCs w:val="18"/>
                      <w:lang w:eastAsia="en-GB"/>
                    </w:rPr>
                    <w:t>Grant participants</w:t>
                  </w:r>
                </w:p>
              </w:tc>
              <w:tc>
                <w:tcPr>
                  <w:tcW w:w="1077" w:type="dxa"/>
                  <w:tcBorders>
                    <w:top w:val="nil"/>
                    <w:bottom w:val="nil"/>
                    <w:right w:val="single" w:sz="4" w:space="0" w:color="auto"/>
                  </w:tcBorders>
                  <w:vAlign w:val="center"/>
                </w:tcPr>
                <w:p w14:paraId="6A918A6E" w14:textId="77777777" w:rsidR="00BD154D" w:rsidRPr="00461342"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461342">
                    <w:rPr>
                      <w:rFonts w:asciiTheme="minorHAnsi" w:eastAsia="Times New Roman" w:hAnsiTheme="minorHAnsi" w:cstheme="minorHAnsi"/>
                      <w:color w:val="000000"/>
                      <w:sz w:val="18"/>
                      <w:szCs w:val="18"/>
                      <w:lang w:eastAsia="en-GB"/>
                    </w:rPr>
                    <w:t>EU Funding</w:t>
                  </w:r>
                </w:p>
              </w:tc>
            </w:tr>
            <w:tr w:rsidR="00BD154D" w:rsidRPr="00461342" w14:paraId="33E6FAC3" w14:textId="77777777" w:rsidTr="00DF2591">
              <w:trPr>
                <w:trHeight w:val="570"/>
              </w:trPr>
              <w:tc>
                <w:tcPr>
                  <w:tcW w:w="1409" w:type="dxa"/>
                  <w:tcBorders>
                    <w:top w:val="nil"/>
                    <w:left w:val="single" w:sz="4" w:space="0" w:color="auto"/>
                    <w:bottom w:val="single" w:sz="4" w:space="0" w:color="auto"/>
                    <w:right w:val="nil"/>
                  </w:tcBorders>
                  <w:shd w:val="clear" w:color="auto" w:fill="auto"/>
                  <w:noWrap/>
                  <w:vAlign w:val="center"/>
                </w:tcPr>
                <w:p w14:paraId="66A3ED9B" w14:textId="77777777" w:rsidR="00BD154D" w:rsidRPr="00461342"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461342">
                    <w:rPr>
                      <w:rFonts w:asciiTheme="minorHAnsi" w:eastAsia="Times New Roman" w:hAnsiTheme="minorHAnsi" w:cstheme="minorHAnsi"/>
                      <w:color w:val="000000"/>
                      <w:sz w:val="18"/>
                      <w:szCs w:val="18"/>
                      <w:lang w:eastAsia="en-GB"/>
                    </w:rPr>
                    <w:t>14</w:t>
                  </w:r>
                </w:p>
              </w:tc>
              <w:tc>
                <w:tcPr>
                  <w:tcW w:w="1153" w:type="dxa"/>
                  <w:tcBorders>
                    <w:top w:val="nil"/>
                    <w:left w:val="nil"/>
                    <w:bottom w:val="single" w:sz="4" w:space="0" w:color="auto"/>
                  </w:tcBorders>
                  <w:shd w:val="clear" w:color="auto" w:fill="auto"/>
                  <w:noWrap/>
                  <w:vAlign w:val="center"/>
                </w:tcPr>
                <w:p w14:paraId="39DF3DEF" w14:textId="77777777" w:rsidR="00BD154D" w:rsidRPr="00461342"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461342">
                    <w:rPr>
                      <w:rFonts w:asciiTheme="minorHAnsi" w:eastAsia="Times New Roman" w:hAnsiTheme="minorHAnsi" w:cstheme="minorHAnsi"/>
                      <w:color w:val="000000"/>
                      <w:sz w:val="18"/>
                      <w:szCs w:val="18"/>
                      <w:lang w:eastAsia="en-GB"/>
                    </w:rPr>
                    <w:t>12</w:t>
                  </w:r>
                </w:p>
              </w:tc>
              <w:tc>
                <w:tcPr>
                  <w:tcW w:w="1077" w:type="dxa"/>
                  <w:tcBorders>
                    <w:top w:val="nil"/>
                    <w:bottom w:val="single" w:sz="4" w:space="0" w:color="auto"/>
                    <w:right w:val="single" w:sz="4" w:space="0" w:color="auto"/>
                  </w:tcBorders>
                  <w:vAlign w:val="center"/>
                </w:tcPr>
                <w:p w14:paraId="4457BF82" w14:textId="77777777" w:rsidR="00BD154D" w:rsidRPr="00461342"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461342">
                    <w:rPr>
                      <w:rFonts w:asciiTheme="minorHAnsi" w:eastAsia="Times New Roman" w:hAnsiTheme="minorHAnsi" w:cstheme="minorHAnsi"/>
                      <w:color w:val="000000"/>
                      <w:sz w:val="18"/>
                      <w:szCs w:val="18"/>
                      <w:lang w:eastAsia="en-GB"/>
                    </w:rPr>
                    <w:t>EUR</w:t>
                  </w:r>
                </w:p>
                <w:p w14:paraId="755AB537" w14:textId="77777777" w:rsidR="00BD154D" w:rsidRPr="00461342" w:rsidRDefault="00BD154D" w:rsidP="00DF2591">
                  <w:pPr>
                    <w:spacing w:after="0" w:line="240" w:lineRule="auto"/>
                    <w:jc w:val="center"/>
                    <w:rPr>
                      <w:rFonts w:asciiTheme="minorHAnsi" w:eastAsia="Times New Roman" w:hAnsiTheme="minorHAnsi" w:cstheme="minorHAnsi"/>
                      <w:color w:val="000000"/>
                      <w:sz w:val="18"/>
                      <w:szCs w:val="18"/>
                      <w:lang w:eastAsia="en-GB"/>
                    </w:rPr>
                  </w:pPr>
                  <w:r w:rsidRPr="00461342">
                    <w:rPr>
                      <w:rFonts w:asciiTheme="minorHAnsi" w:eastAsia="Times New Roman" w:hAnsiTheme="minorHAnsi" w:cstheme="minorHAnsi"/>
                      <w:color w:val="000000"/>
                      <w:sz w:val="18"/>
                      <w:szCs w:val="18"/>
                      <w:lang w:eastAsia="en-GB"/>
                    </w:rPr>
                    <w:t>0.26 mil.</w:t>
                  </w:r>
                </w:p>
              </w:tc>
            </w:tr>
          </w:tbl>
          <w:p w14:paraId="3F2EE760" w14:textId="77777777" w:rsidR="00BD154D" w:rsidRDefault="00BD154D" w:rsidP="00DF2591">
            <w:pPr>
              <w:spacing w:after="0" w:line="240" w:lineRule="auto"/>
              <w:jc w:val="center"/>
              <w:rPr>
                <w:rFonts w:cs="Calibri"/>
                <w:color w:val="000000"/>
                <w:sz w:val="18"/>
                <w:szCs w:val="18"/>
              </w:rPr>
            </w:pPr>
          </w:p>
          <w:p w14:paraId="056F343B" w14:textId="77777777" w:rsidR="00BD154D" w:rsidRPr="00B169B6" w:rsidRDefault="00BD154D" w:rsidP="00DF2591">
            <w:pPr>
              <w:spacing w:after="0" w:line="240" w:lineRule="auto"/>
              <w:jc w:val="center"/>
              <w:rPr>
                <w:rFonts w:eastAsia="Times New Roman" w:cs="Calibri"/>
                <w:color w:val="000000"/>
                <w:sz w:val="18"/>
                <w:szCs w:val="18"/>
                <w:highlight w:val="yellow"/>
                <w:lang w:val="en-US" w:eastAsia="en-GB"/>
              </w:rPr>
            </w:pPr>
          </w:p>
        </w:tc>
      </w:tr>
      <w:tr w:rsidR="00BD154D" w:rsidRPr="004133DA" w14:paraId="448EF2E9" w14:textId="77777777" w:rsidTr="00DF2591">
        <w:trPr>
          <w:trHeight w:val="1059"/>
        </w:trPr>
        <w:tc>
          <w:tcPr>
            <w:tcW w:w="829" w:type="dxa"/>
            <w:shd w:val="clear" w:color="auto" w:fill="auto"/>
            <w:vAlign w:val="center"/>
            <w:hideMark/>
          </w:tcPr>
          <w:p w14:paraId="4EE4EA4C" w14:textId="77777777" w:rsidR="00BD154D" w:rsidRPr="004133DA" w:rsidRDefault="00BD154D" w:rsidP="00DF2591">
            <w:pPr>
              <w:spacing w:after="0" w:line="240" w:lineRule="auto"/>
              <w:jc w:val="center"/>
              <w:rPr>
                <w:rFonts w:eastAsia="Times New Roman" w:cs="Calibri"/>
                <w:color w:val="000000"/>
                <w:sz w:val="18"/>
                <w:szCs w:val="18"/>
                <w:lang w:val="en-US" w:eastAsia="en-GB"/>
              </w:rPr>
            </w:pPr>
            <w:r w:rsidRPr="004133DA">
              <w:rPr>
                <w:rFonts w:eastAsia="Times New Roman" w:cs="Calibri"/>
                <w:color w:val="000000"/>
                <w:sz w:val="18"/>
                <w:szCs w:val="18"/>
                <w:lang w:val="en-US" w:eastAsia="en-GB"/>
              </w:rPr>
              <w:t>7.2</w:t>
            </w:r>
          </w:p>
        </w:tc>
        <w:tc>
          <w:tcPr>
            <w:tcW w:w="1916" w:type="dxa"/>
            <w:shd w:val="clear" w:color="auto" w:fill="auto"/>
            <w:vAlign w:val="center"/>
            <w:hideMark/>
          </w:tcPr>
          <w:p w14:paraId="3EFD4C09" w14:textId="77777777" w:rsidR="00BD154D" w:rsidRPr="001B339D" w:rsidRDefault="00BD154D" w:rsidP="00DF2591">
            <w:pPr>
              <w:spacing w:after="0" w:line="240" w:lineRule="auto"/>
              <w:jc w:val="center"/>
              <w:rPr>
                <w:rFonts w:eastAsia="Times New Roman" w:cs="Calibri"/>
                <w:color w:val="000000"/>
                <w:sz w:val="18"/>
                <w:szCs w:val="18"/>
                <w:lang w:val="en-US" w:eastAsia="en-GB"/>
              </w:rPr>
            </w:pPr>
            <w:r w:rsidRPr="001B339D">
              <w:rPr>
                <w:rFonts w:eastAsia="Times New Roman" w:cs="Calibri"/>
                <w:color w:val="000000"/>
                <w:sz w:val="18"/>
                <w:szCs w:val="18"/>
                <w:lang w:val="en-US" w:eastAsia="en-GB"/>
              </w:rPr>
              <w:t>Percentage of EU financial contribution attributed to third-country participants</w:t>
            </w:r>
          </w:p>
        </w:tc>
        <w:tc>
          <w:tcPr>
            <w:tcW w:w="2320" w:type="dxa"/>
            <w:shd w:val="clear" w:color="auto" w:fill="auto"/>
            <w:vAlign w:val="center"/>
            <w:hideMark/>
          </w:tcPr>
          <w:p w14:paraId="165ADABA" w14:textId="77777777" w:rsidR="00BD154D" w:rsidRPr="001B339D" w:rsidRDefault="00BD154D" w:rsidP="00DF2591">
            <w:pPr>
              <w:spacing w:after="0" w:line="240" w:lineRule="auto"/>
              <w:jc w:val="center"/>
              <w:rPr>
                <w:rFonts w:eastAsia="Times New Roman" w:cs="Calibri"/>
                <w:color w:val="000000"/>
                <w:sz w:val="18"/>
                <w:szCs w:val="18"/>
                <w:lang w:val="en-US" w:eastAsia="en-GB"/>
              </w:rPr>
            </w:pPr>
            <w:r w:rsidRPr="001B339D">
              <w:rPr>
                <w:rFonts w:eastAsia="Times New Roman" w:cs="Calibri"/>
                <w:color w:val="000000"/>
                <w:sz w:val="18"/>
                <w:szCs w:val="18"/>
                <w:lang w:val="en-US" w:eastAsia="en-GB"/>
              </w:rPr>
              <w:t>Nationality of H2020 beneficiaries and corresponding EU financial contribution</w:t>
            </w:r>
          </w:p>
        </w:tc>
        <w:tc>
          <w:tcPr>
            <w:tcW w:w="4139" w:type="dxa"/>
            <w:shd w:val="clear" w:color="auto" w:fill="auto"/>
            <w:vAlign w:val="center"/>
            <w:hideMark/>
          </w:tcPr>
          <w:p w14:paraId="3685C2CD" w14:textId="77777777" w:rsidR="00BD154D" w:rsidRPr="00B169B6" w:rsidRDefault="00BD154D" w:rsidP="00DF2591">
            <w:pPr>
              <w:spacing w:after="0" w:line="240" w:lineRule="auto"/>
              <w:jc w:val="center"/>
              <w:rPr>
                <w:rFonts w:eastAsia="Times New Roman" w:cs="Calibri"/>
                <w:color w:val="000000"/>
                <w:sz w:val="18"/>
                <w:szCs w:val="18"/>
                <w:highlight w:val="yellow"/>
                <w:lang w:val="en-US" w:eastAsia="en-GB"/>
              </w:rPr>
            </w:pPr>
            <w:r w:rsidRPr="00E86153">
              <w:rPr>
                <w:rFonts w:cs="Calibri"/>
                <w:color w:val="000000"/>
                <w:sz w:val="18"/>
                <w:szCs w:val="18"/>
              </w:rPr>
              <w:t>0.</w:t>
            </w:r>
            <w:r>
              <w:rPr>
                <w:rFonts w:cs="Calibri"/>
                <w:color w:val="000000"/>
                <w:sz w:val="18"/>
                <w:szCs w:val="18"/>
              </w:rPr>
              <w:t>04</w:t>
            </w:r>
            <w:r w:rsidRPr="00E86153">
              <w:rPr>
                <w:rFonts w:cs="Calibri"/>
                <w:color w:val="000000"/>
                <w:sz w:val="18"/>
                <w:szCs w:val="18"/>
              </w:rPr>
              <w:t> %</w:t>
            </w:r>
          </w:p>
        </w:tc>
      </w:tr>
      <w:tr w:rsidR="00BD154D" w:rsidRPr="004133DA" w14:paraId="2F2B1176" w14:textId="77777777" w:rsidTr="00DF2591">
        <w:trPr>
          <w:trHeight w:val="1292"/>
        </w:trPr>
        <w:tc>
          <w:tcPr>
            <w:tcW w:w="829" w:type="dxa"/>
            <w:shd w:val="clear" w:color="auto" w:fill="auto"/>
            <w:vAlign w:val="center"/>
            <w:hideMark/>
          </w:tcPr>
          <w:p w14:paraId="3B09B694" w14:textId="77777777" w:rsidR="00BD154D" w:rsidRPr="004133DA" w:rsidRDefault="00BD154D" w:rsidP="00DF2591">
            <w:pPr>
              <w:spacing w:after="0" w:line="240" w:lineRule="auto"/>
              <w:jc w:val="center"/>
              <w:rPr>
                <w:rFonts w:eastAsia="Times New Roman" w:cs="Calibri"/>
                <w:color w:val="000000"/>
                <w:sz w:val="18"/>
                <w:szCs w:val="18"/>
                <w:lang w:val="en-US" w:eastAsia="en-GB"/>
              </w:rPr>
            </w:pPr>
            <w:r w:rsidRPr="004133DA">
              <w:rPr>
                <w:rFonts w:eastAsia="Times New Roman" w:cs="Calibri"/>
                <w:color w:val="000000"/>
                <w:sz w:val="18"/>
                <w:szCs w:val="18"/>
                <w:lang w:val="en-US" w:eastAsia="en-GB"/>
              </w:rPr>
              <w:t>9.1</w:t>
            </w:r>
          </w:p>
        </w:tc>
        <w:tc>
          <w:tcPr>
            <w:tcW w:w="1916" w:type="dxa"/>
            <w:shd w:val="clear" w:color="auto" w:fill="auto"/>
            <w:vAlign w:val="center"/>
            <w:hideMark/>
          </w:tcPr>
          <w:p w14:paraId="7EAE0EBF" w14:textId="77777777" w:rsidR="00BD154D" w:rsidRPr="001B339D" w:rsidRDefault="00BD154D" w:rsidP="00DF2591">
            <w:pPr>
              <w:spacing w:after="0" w:line="240" w:lineRule="auto"/>
              <w:jc w:val="center"/>
              <w:rPr>
                <w:rFonts w:eastAsia="Times New Roman" w:cs="Calibri"/>
                <w:color w:val="000000"/>
                <w:sz w:val="18"/>
                <w:szCs w:val="18"/>
                <w:lang w:val="en-US" w:eastAsia="en-GB"/>
              </w:rPr>
            </w:pPr>
            <w:r w:rsidRPr="001B339D">
              <w:rPr>
                <w:rFonts w:eastAsia="Times New Roman" w:cs="Calibri"/>
                <w:color w:val="000000"/>
                <w:sz w:val="18"/>
                <w:szCs w:val="18"/>
                <w:lang w:val="en-US" w:eastAsia="en-GB"/>
              </w:rPr>
              <w:t>Share of projects and EU financial contribution allocated to IAs</w:t>
            </w:r>
          </w:p>
        </w:tc>
        <w:tc>
          <w:tcPr>
            <w:tcW w:w="2320" w:type="dxa"/>
            <w:shd w:val="clear" w:color="auto" w:fill="auto"/>
            <w:vAlign w:val="center"/>
            <w:hideMark/>
          </w:tcPr>
          <w:p w14:paraId="7678C46C" w14:textId="77777777" w:rsidR="00BD154D" w:rsidRPr="001B339D" w:rsidRDefault="00BD154D" w:rsidP="00DF2591">
            <w:pPr>
              <w:spacing w:after="0" w:line="240" w:lineRule="auto"/>
              <w:jc w:val="center"/>
              <w:rPr>
                <w:rFonts w:eastAsia="Times New Roman" w:cs="Calibri"/>
                <w:color w:val="000000"/>
                <w:sz w:val="18"/>
                <w:szCs w:val="18"/>
                <w:lang w:val="en-US" w:eastAsia="en-GB"/>
              </w:rPr>
            </w:pPr>
            <w:r w:rsidRPr="001B339D">
              <w:rPr>
                <w:rFonts w:eastAsia="Times New Roman" w:cs="Calibri"/>
                <w:color w:val="000000"/>
                <w:sz w:val="18"/>
                <w:szCs w:val="18"/>
                <w:lang w:val="en-US" w:eastAsia="en-GB"/>
              </w:rPr>
              <w:t>Number of IA proposals and projects properly flagged in the WP; follow-up at grant level</w:t>
            </w:r>
          </w:p>
        </w:tc>
        <w:tc>
          <w:tcPr>
            <w:tcW w:w="4139" w:type="dxa"/>
            <w:shd w:val="clear" w:color="auto" w:fill="auto"/>
            <w:vAlign w:val="center"/>
            <w:hideMark/>
          </w:tcPr>
          <w:p w14:paraId="12145A00" w14:textId="77777777" w:rsidR="00BD154D" w:rsidRPr="004821E4" w:rsidRDefault="00BD154D" w:rsidP="00DF2591">
            <w:pPr>
              <w:spacing w:after="0" w:line="240" w:lineRule="auto"/>
              <w:jc w:val="center"/>
              <w:rPr>
                <w:rFonts w:cs="Calibri"/>
                <w:color w:val="000000"/>
                <w:sz w:val="18"/>
                <w:szCs w:val="18"/>
              </w:rPr>
            </w:pPr>
            <w:r w:rsidRPr="004821E4">
              <w:rPr>
                <w:rFonts w:cs="Calibri"/>
                <w:color w:val="000000"/>
                <w:sz w:val="18"/>
                <w:szCs w:val="18"/>
              </w:rPr>
              <w:t>No: 37/131 (28.2%) Funding: EUR 372 732 793.62/ EUR 632 885 427.4 (58.89 %)</w:t>
            </w:r>
          </w:p>
          <w:p w14:paraId="31CD61BB" w14:textId="55218058" w:rsidR="00BD154D" w:rsidRPr="006564DF" w:rsidRDefault="00BD154D" w:rsidP="00DF2591">
            <w:pPr>
              <w:spacing w:after="0" w:line="240" w:lineRule="auto"/>
              <w:jc w:val="center"/>
              <w:rPr>
                <w:rFonts w:eastAsia="Times New Roman" w:cs="Calibri"/>
                <w:color w:val="000000"/>
                <w:sz w:val="18"/>
                <w:szCs w:val="18"/>
                <w:highlight w:val="yellow"/>
                <w:lang w:val="en-US" w:eastAsia="en-GB"/>
              </w:rPr>
            </w:pPr>
          </w:p>
        </w:tc>
      </w:tr>
      <w:tr w:rsidR="00BD154D" w:rsidRPr="004133DA" w14:paraId="51AC6962" w14:textId="77777777" w:rsidTr="00DF2591">
        <w:trPr>
          <w:trHeight w:val="117"/>
        </w:trPr>
        <w:tc>
          <w:tcPr>
            <w:tcW w:w="829" w:type="dxa"/>
            <w:shd w:val="clear" w:color="auto" w:fill="auto"/>
            <w:vAlign w:val="center"/>
            <w:hideMark/>
          </w:tcPr>
          <w:p w14:paraId="22499D22" w14:textId="77777777" w:rsidR="00BD154D" w:rsidRPr="004133DA" w:rsidRDefault="00BD154D" w:rsidP="00DF2591">
            <w:pPr>
              <w:spacing w:after="0" w:line="240" w:lineRule="auto"/>
              <w:jc w:val="center"/>
              <w:rPr>
                <w:rFonts w:eastAsia="Times New Roman" w:cs="Calibri"/>
                <w:color w:val="000000"/>
                <w:sz w:val="18"/>
                <w:szCs w:val="18"/>
                <w:lang w:val="en-US" w:eastAsia="en-GB"/>
              </w:rPr>
            </w:pPr>
            <w:r w:rsidRPr="004133DA">
              <w:rPr>
                <w:rFonts w:eastAsia="Times New Roman" w:cs="Calibri"/>
                <w:color w:val="000000"/>
                <w:sz w:val="18"/>
                <w:szCs w:val="18"/>
                <w:lang w:val="en-US" w:eastAsia="en-GB"/>
              </w:rPr>
              <w:t>9.2</w:t>
            </w:r>
          </w:p>
        </w:tc>
        <w:tc>
          <w:tcPr>
            <w:tcW w:w="1916" w:type="dxa"/>
            <w:shd w:val="clear" w:color="auto" w:fill="auto"/>
            <w:vAlign w:val="center"/>
            <w:hideMark/>
          </w:tcPr>
          <w:p w14:paraId="7D1DDCD7" w14:textId="77777777" w:rsidR="00BD154D" w:rsidRPr="001B339D" w:rsidRDefault="00BD154D" w:rsidP="00DF2591">
            <w:pPr>
              <w:spacing w:after="0" w:line="240" w:lineRule="auto"/>
              <w:jc w:val="center"/>
              <w:rPr>
                <w:rFonts w:eastAsia="Times New Roman" w:cs="Calibri"/>
                <w:color w:val="000000"/>
                <w:sz w:val="18"/>
                <w:szCs w:val="18"/>
                <w:lang w:val="en-US" w:eastAsia="en-GB"/>
              </w:rPr>
            </w:pPr>
            <w:r w:rsidRPr="001B339D">
              <w:rPr>
                <w:rFonts w:eastAsia="Times New Roman" w:cs="Calibri"/>
                <w:color w:val="000000"/>
                <w:sz w:val="18"/>
                <w:szCs w:val="18"/>
                <w:lang w:val="en-US" w:eastAsia="en-GB"/>
              </w:rPr>
              <w:t>Within the IAs, share of EU financial contribution focused on demonstration and first-of-a-kind activities</w:t>
            </w:r>
          </w:p>
        </w:tc>
        <w:tc>
          <w:tcPr>
            <w:tcW w:w="2320" w:type="dxa"/>
            <w:shd w:val="clear" w:color="auto" w:fill="auto"/>
            <w:vAlign w:val="center"/>
            <w:hideMark/>
          </w:tcPr>
          <w:p w14:paraId="7DAE2CD9" w14:textId="77777777" w:rsidR="00BD154D" w:rsidRPr="001B339D" w:rsidRDefault="00BD154D" w:rsidP="00DF2591">
            <w:pPr>
              <w:spacing w:after="0" w:line="240" w:lineRule="auto"/>
              <w:jc w:val="center"/>
              <w:rPr>
                <w:rFonts w:eastAsia="Times New Roman" w:cs="Calibri"/>
                <w:color w:val="000000"/>
                <w:sz w:val="18"/>
                <w:szCs w:val="18"/>
                <w:lang w:val="en-US" w:eastAsia="en-GB"/>
              </w:rPr>
            </w:pPr>
            <w:r w:rsidRPr="001B339D">
              <w:rPr>
                <w:rFonts w:eastAsia="Times New Roman" w:cs="Calibri"/>
                <w:color w:val="000000"/>
                <w:sz w:val="18"/>
                <w:szCs w:val="18"/>
                <w:lang w:val="en-US" w:eastAsia="en-GB"/>
              </w:rPr>
              <w:t>Topics properly flagged in the WP; follow-up at grant level</w:t>
            </w:r>
          </w:p>
        </w:tc>
        <w:tc>
          <w:tcPr>
            <w:tcW w:w="4139" w:type="dxa"/>
            <w:shd w:val="clear" w:color="auto" w:fill="auto"/>
            <w:vAlign w:val="center"/>
            <w:hideMark/>
          </w:tcPr>
          <w:p w14:paraId="1DFB6DB5" w14:textId="77777777" w:rsidR="00BD154D" w:rsidRPr="00B169B6" w:rsidRDefault="00BD154D" w:rsidP="00DF2591">
            <w:pPr>
              <w:spacing w:after="0" w:line="240" w:lineRule="auto"/>
              <w:jc w:val="center"/>
              <w:rPr>
                <w:rFonts w:eastAsia="Times New Roman" w:cs="Calibri"/>
                <w:color w:val="000000"/>
                <w:sz w:val="18"/>
                <w:szCs w:val="18"/>
                <w:highlight w:val="yellow"/>
                <w:lang w:val="en-US" w:eastAsia="en-GB"/>
              </w:rPr>
            </w:pPr>
            <w:r>
              <w:rPr>
                <w:rFonts w:cs="Calibri"/>
                <w:color w:val="000000"/>
                <w:sz w:val="18"/>
                <w:szCs w:val="18"/>
              </w:rPr>
              <w:t>40.2%</w:t>
            </w:r>
          </w:p>
        </w:tc>
      </w:tr>
      <w:tr w:rsidR="00BD154D" w:rsidRPr="004133DA" w14:paraId="429FF3F3" w14:textId="77777777" w:rsidTr="00DF2591">
        <w:trPr>
          <w:trHeight w:val="2824"/>
        </w:trPr>
        <w:tc>
          <w:tcPr>
            <w:tcW w:w="829" w:type="dxa"/>
            <w:shd w:val="clear" w:color="auto" w:fill="auto"/>
            <w:vAlign w:val="center"/>
            <w:hideMark/>
          </w:tcPr>
          <w:p w14:paraId="5E53AA05" w14:textId="77777777" w:rsidR="00BD154D" w:rsidRPr="004133DA" w:rsidRDefault="00BD154D" w:rsidP="00DF2591">
            <w:pPr>
              <w:spacing w:after="0" w:line="240" w:lineRule="auto"/>
              <w:jc w:val="center"/>
              <w:rPr>
                <w:rFonts w:eastAsia="Times New Roman" w:cs="Calibri"/>
                <w:color w:val="000000"/>
                <w:sz w:val="18"/>
                <w:szCs w:val="18"/>
                <w:lang w:val="en-US" w:eastAsia="en-GB"/>
              </w:rPr>
            </w:pPr>
            <w:r w:rsidRPr="004133DA">
              <w:rPr>
                <w:rFonts w:eastAsia="Times New Roman" w:cs="Calibri"/>
                <w:color w:val="000000"/>
                <w:sz w:val="18"/>
                <w:szCs w:val="18"/>
                <w:lang w:val="en-US" w:eastAsia="en-GB"/>
              </w:rPr>
              <w:lastRenderedPageBreak/>
              <w:t>N/A</w:t>
            </w:r>
          </w:p>
        </w:tc>
        <w:tc>
          <w:tcPr>
            <w:tcW w:w="1916" w:type="dxa"/>
            <w:shd w:val="clear" w:color="auto" w:fill="auto"/>
            <w:vAlign w:val="center"/>
            <w:hideMark/>
          </w:tcPr>
          <w:p w14:paraId="4AAE5E5A" w14:textId="77777777" w:rsidR="00BD154D" w:rsidRPr="004133DA" w:rsidRDefault="00BD154D" w:rsidP="00DF2591">
            <w:pPr>
              <w:spacing w:after="0" w:line="240" w:lineRule="auto"/>
              <w:jc w:val="center"/>
              <w:rPr>
                <w:rFonts w:eastAsia="Times New Roman" w:cs="Calibri"/>
                <w:color w:val="000000"/>
                <w:sz w:val="18"/>
                <w:szCs w:val="18"/>
                <w:lang w:val="en-US" w:eastAsia="en-GB"/>
              </w:rPr>
            </w:pPr>
            <w:r w:rsidRPr="004133DA">
              <w:rPr>
                <w:rFonts w:eastAsia="Times New Roman" w:cs="Calibri"/>
                <w:color w:val="000000"/>
                <w:sz w:val="18"/>
                <w:szCs w:val="18"/>
                <w:lang w:val="en-US" w:eastAsia="en-GB"/>
              </w:rPr>
              <w:t>Scale of impact of projects (</w:t>
            </w:r>
            <w:r>
              <w:rPr>
                <w:rFonts w:eastAsia="Times New Roman" w:cs="Calibri"/>
                <w:color w:val="000000"/>
                <w:sz w:val="18"/>
                <w:szCs w:val="18"/>
                <w:lang w:val="en-US" w:eastAsia="en-GB"/>
              </w:rPr>
              <w:t>h</w:t>
            </w:r>
            <w:r w:rsidRPr="004133DA">
              <w:rPr>
                <w:rFonts w:eastAsia="Times New Roman" w:cs="Calibri"/>
                <w:color w:val="000000"/>
                <w:sz w:val="18"/>
                <w:szCs w:val="18"/>
                <w:lang w:val="en-US" w:eastAsia="en-GB"/>
              </w:rPr>
              <w:t xml:space="preserve">igh </w:t>
            </w:r>
            <w:r>
              <w:rPr>
                <w:rFonts w:eastAsia="Times New Roman" w:cs="Calibri"/>
                <w:color w:val="000000"/>
                <w:sz w:val="18"/>
                <w:szCs w:val="18"/>
                <w:lang w:val="en-US" w:eastAsia="en-GB"/>
              </w:rPr>
              <w:t>t</w:t>
            </w:r>
            <w:r w:rsidRPr="004133DA">
              <w:rPr>
                <w:rFonts w:eastAsia="Times New Roman" w:cs="Calibri"/>
                <w:color w:val="000000"/>
                <w:sz w:val="18"/>
                <w:szCs w:val="18"/>
                <w:lang w:val="en-US" w:eastAsia="en-GB"/>
              </w:rPr>
              <w:t xml:space="preserve">echnology </w:t>
            </w:r>
            <w:r>
              <w:rPr>
                <w:rFonts w:eastAsia="Times New Roman" w:cs="Calibri"/>
                <w:color w:val="000000"/>
                <w:sz w:val="18"/>
                <w:szCs w:val="18"/>
                <w:lang w:val="en-US" w:eastAsia="en-GB"/>
              </w:rPr>
              <w:t>r</w:t>
            </w:r>
            <w:r w:rsidRPr="004133DA">
              <w:rPr>
                <w:rFonts w:eastAsia="Times New Roman" w:cs="Calibri"/>
                <w:color w:val="000000"/>
                <w:sz w:val="18"/>
                <w:szCs w:val="18"/>
                <w:lang w:val="en-US" w:eastAsia="en-GB"/>
              </w:rPr>
              <w:t xml:space="preserve">eadiness </w:t>
            </w:r>
            <w:r>
              <w:rPr>
                <w:rFonts w:eastAsia="Times New Roman" w:cs="Calibri"/>
                <w:color w:val="000000"/>
                <w:sz w:val="18"/>
                <w:szCs w:val="18"/>
                <w:lang w:val="en-US" w:eastAsia="en-GB"/>
              </w:rPr>
              <w:t>l</w:t>
            </w:r>
            <w:r w:rsidRPr="004133DA">
              <w:rPr>
                <w:rFonts w:eastAsia="Times New Roman" w:cs="Calibri"/>
                <w:color w:val="000000"/>
                <w:sz w:val="18"/>
                <w:szCs w:val="18"/>
                <w:lang w:val="en-US" w:eastAsia="en-GB"/>
              </w:rPr>
              <w:t>evel</w:t>
            </w:r>
            <w:r>
              <w:rPr>
                <w:rFonts w:eastAsia="Times New Roman" w:cs="Calibri"/>
                <w:color w:val="000000"/>
                <w:sz w:val="18"/>
                <w:szCs w:val="18"/>
                <w:lang w:val="en-US" w:eastAsia="en-GB"/>
              </w:rPr>
              <w:t xml:space="preserve"> - TRL</w:t>
            </w:r>
            <w:r w:rsidRPr="004133DA">
              <w:rPr>
                <w:rFonts w:eastAsia="Times New Roman" w:cs="Calibri"/>
                <w:color w:val="000000"/>
                <w:sz w:val="18"/>
                <w:szCs w:val="18"/>
                <w:lang w:val="en-US" w:eastAsia="en-GB"/>
              </w:rPr>
              <w:t>)</w:t>
            </w:r>
          </w:p>
        </w:tc>
        <w:tc>
          <w:tcPr>
            <w:tcW w:w="2320" w:type="dxa"/>
            <w:shd w:val="clear" w:color="auto" w:fill="auto"/>
            <w:vAlign w:val="center"/>
            <w:hideMark/>
          </w:tcPr>
          <w:p w14:paraId="1E66890D" w14:textId="77777777" w:rsidR="00BD154D" w:rsidRPr="004133DA" w:rsidRDefault="00BD154D" w:rsidP="00DF2591">
            <w:pPr>
              <w:spacing w:after="0" w:line="240" w:lineRule="auto"/>
              <w:jc w:val="center"/>
              <w:rPr>
                <w:rFonts w:eastAsia="Times New Roman" w:cs="Calibri"/>
                <w:color w:val="000000"/>
                <w:sz w:val="18"/>
                <w:szCs w:val="18"/>
                <w:lang w:val="en-US" w:eastAsia="en-GB"/>
              </w:rPr>
            </w:pPr>
            <w:r w:rsidRPr="004133DA">
              <w:rPr>
                <w:rFonts w:eastAsia="Times New Roman" w:cs="Calibri"/>
                <w:color w:val="000000"/>
                <w:sz w:val="18"/>
                <w:szCs w:val="18"/>
                <w:lang w:val="en-US" w:eastAsia="en-GB"/>
              </w:rPr>
              <w:t>Number of projects addressing TRL between (2-3, 4-6, 5-7)</w:t>
            </w:r>
          </w:p>
        </w:tc>
        <w:tc>
          <w:tcPr>
            <w:tcW w:w="4139" w:type="dxa"/>
            <w:shd w:val="clear" w:color="auto" w:fill="auto"/>
            <w:vAlign w:val="center"/>
            <w:hideMark/>
          </w:tcPr>
          <w:p w14:paraId="5EA46FD8" w14:textId="77777777" w:rsidR="00BD154D" w:rsidRPr="000E047B" w:rsidRDefault="00BD154D" w:rsidP="00DF2591">
            <w:pPr>
              <w:spacing w:after="0" w:line="240" w:lineRule="auto"/>
              <w:jc w:val="center"/>
              <w:rPr>
                <w:rFonts w:cs="Calibri"/>
                <w:color w:val="000000"/>
                <w:sz w:val="18"/>
                <w:szCs w:val="18"/>
              </w:rPr>
            </w:pPr>
            <w:r w:rsidRPr="000E047B">
              <w:rPr>
                <w:rFonts w:cs="Calibri"/>
                <w:color w:val="000000"/>
                <w:sz w:val="18"/>
                <w:szCs w:val="18"/>
              </w:rPr>
              <w:t xml:space="preserve">Based on TRL specified in the topic (project start) </w:t>
            </w:r>
          </w:p>
          <w:p w14:paraId="65638D2E" w14:textId="77777777" w:rsidR="00BD154D" w:rsidRPr="000E047B" w:rsidRDefault="00BD154D" w:rsidP="00DF2591">
            <w:pPr>
              <w:spacing w:after="0" w:line="240" w:lineRule="auto"/>
              <w:jc w:val="center"/>
              <w:rPr>
                <w:rFonts w:cs="Calibri"/>
                <w:color w:val="000000"/>
                <w:sz w:val="18"/>
                <w:szCs w:val="18"/>
              </w:rPr>
            </w:pPr>
          </w:p>
          <w:tbl>
            <w:tblPr>
              <w:tblStyle w:val="TableGrid"/>
              <w:tblW w:w="0" w:type="auto"/>
              <w:tblLook w:val="04A0" w:firstRow="1" w:lastRow="0" w:firstColumn="1" w:lastColumn="0" w:noHBand="0" w:noVBand="1"/>
            </w:tblPr>
            <w:tblGrid>
              <w:gridCol w:w="1873"/>
              <w:gridCol w:w="1873"/>
            </w:tblGrid>
            <w:tr w:rsidR="00BD154D" w14:paraId="6E858136" w14:textId="77777777" w:rsidTr="00DF2591">
              <w:tc>
                <w:tcPr>
                  <w:tcW w:w="1873" w:type="dxa"/>
                </w:tcPr>
                <w:p w14:paraId="372C0424" w14:textId="77777777" w:rsidR="00BD154D" w:rsidRDefault="00BD154D" w:rsidP="00DF2591">
                  <w:pPr>
                    <w:spacing w:after="0" w:line="240" w:lineRule="auto"/>
                    <w:jc w:val="center"/>
                    <w:rPr>
                      <w:rFonts w:cs="Calibri"/>
                      <w:color w:val="000000"/>
                      <w:sz w:val="18"/>
                      <w:szCs w:val="18"/>
                    </w:rPr>
                  </w:pPr>
                  <w:r>
                    <w:rPr>
                      <w:rFonts w:cs="Calibri"/>
                      <w:color w:val="000000"/>
                      <w:sz w:val="18"/>
                      <w:szCs w:val="18"/>
                    </w:rPr>
                    <w:t>TRL</w:t>
                  </w:r>
                </w:p>
              </w:tc>
              <w:tc>
                <w:tcPr>
                  <w:tcW w:w="1873" w:type="dxa"/>
                </w:tcPr>
                <w:p w14:paraId="2EA7982B" w14:textId="77777777" w:rsidR="00BD154D" w:rsidRDefault="00BD154D" w:rsidP="00DF2591">
                  <w:pPr>
                    <w:spacing w:after="0" w:line="240" w:lineRule="auto"/>
                    <w:jc w:val="center"/>
                    <w:rPr>
                      <w:rFonts w:cs="Calibri"/>
                      <w:color w:val="000000"/>
                      <w:sz w:val="18"/>
                      <w:szCs w:val="18"/>
                    </w:rPr>
                  </w:pPr>
                  <w:r>
                    <w:rPr>
                      <w:rFonts w:cs="Calibri"/>
                      <w:color w:val="000000"/>
                      <w:sz w:val="18"/>
                      <w:szCs w:val="18"/>
                    </w:rPr>
                    <w:t xml:space="preserve"># </w:t>
                  </w:r>
                  <w:proofErr w:type="gramStart"/>
                  <w:r>
                    <w:rPr>
                      <w:rFonts w:cs="Calibri"/>
                      <w:color w:val="000000"/>
                      <w:sz w:val="18"/>
                      <w:szCs w:val="18"/>
                    </w:rPr>
                    <w:t>projects</w:t>
                  </w:r>
                  <w:proofErr w:type="gramEnd"/>
                </w:p>
              </w:tc>
            </w:tr>
            <w:tr w:rsidR="00BD154D" w14:paraId="4CCD96D2" w14:textId="77777777" w:rsidTr="00DF2591">
              <w:tc>
                <w:tcPr>
                  <w:tcW w:w="1873" w:type="dxa"/>
                </w:tcPr>
                <w:p w14:paraId="12BADB6C" w14:textId="77777777" w:rsidR="00BD154D" w:rsidRDefault="00BD154D" w:rsidP="00DF2591">
                  <w:pPr>
                    <w:spacing w:after="0" w:line="240" w:lineRule="auto"/>
                    <w:jc w:val="center"/>
                    <w:rPr>
                      <w:rFonts w:cs="Calibri"/>
                      <w:color w:val="000000"/>
                      <w:sz w:val="18"/>
                      <w:szCs w:val="18"/>
                    </w:rPr>
                  </w:pPr>
                  <w:r>
                    <w:rPr>
                      <w:rFonts w:cs="Calibri"/>
                      <w:color w:val="000000"/>
                      <w:sz w:val="18"/>
                      <w:szCs w:val="18"/>
                    </w:rPr>
                    <w:t>2</w:t>
                  </w:r>
                </w:p>
              </w:tc>
              <w:tc>
                <w:tcPr>
                  <w:tcW w:w="1873" w:type="dxa"/>
                </w:tcPr>
                <w:p w14:paraId="258079CE" w14:textId="77777777" w:rsidR="00BD154D" w:rsidRDefault="00BD154D" w:rsidP="00DF2591">
                  <w:pPr>
                    <w:spacing w:after="0" w:line="240" w:lineRule="auto"/>
                    <w:jc w:val="center"/>
                    <w:rPr>
                      <w:rFonts w:cs="Calibri"/>
                      <w:color w:val="000000"/>
                      <w:sz w:val="18"/>
                      <w:szCs w:val="18"/>
                    </w:rPr>
                  </w:pPr>
                  <w:r>
                    <w:rPr>
                      <w:rFonts w:cs="Calibri"/>
                      <w:color w:val="000000"/>
                      <w:sz w:val="18"/>
                      <w:szCs w:val="18"/>
                    </w:rPr>
                    <w:t>14</w:t>
                  </w:r>
                </w:p>
              </w:tc>
            </w:tr>
            <w:tr w:rsidR="00BD154D" w14:paraId="598C3A22" w14:textId="77777777" w:rsidTr="00DF2591">
              <w:tc>
                <w:tcPr>
                  <w:tcW w:w="1873" w:type="dxa"/>
                </w:tcPr>
                <w:p w14:paraId="061FDEF8" w14:textId="77777777" w:rsidR="00BD154D" w:rsidRDefault="00BD154D" w:rsidP="00DF2591">
                  <w:pPr>
                    <w:spacing w:after="0" w:line="240" w:lineRule="auto"/>
                    <w:jc w:val="center"/>
                    <w:rPr>
                      <w:rFonts w:cs="Calibri"/>
                      <w:color w:val="000000"/>
                      <w:sz w:val="18"/>
                      <w:szCs w:val="18"/>
                    </w:rPr>
                  </w:pPr>
                  <w:r>
                    <w:rPr>
                      <w:rFonts w:cs="Calibri"/>
                      <w:color w:val="000000"/>
                      <w:sz w:val="18"/>
                      <w:szCs w:val="18"/>
                    </w:rPr>
                    <w:t>3</w:t>
                  </w:r>
                </w:p>
              </w:tc>
              <w:tc>
                <w:tcPr>
                  <w:tcW w:w="1873" w:type="dxa"/>
                </w:tcPr>
                <w:p w14:paraId="0FB97A0F" w14:textId="77777777" w:rsidR="00BD154D" w:rsidRDefault="00BD154D" w:rsidP="00DF2591">
                  <w:pPr>
                    <w:spacing w:after="0" w:line="240" w:lineRule="auto"/>
                    <w:jc w:val="center"/>
                    <w:rPr>
                      <w:rFonts w:cs="Calibri"/>
                      <w:color w:val="000000"/>
                      <w:sz w:val="18"/>
                      <w:szCs w:val="18"/>
                    </w:rPr>
                  </w:pPr>
                  <w:r>
                    <w:rPr>
                      <w:rFonts w:cs="Calibri"/>
                      <w:color w:val="000000"/>
                      <w:sz w:val="18"/>
                      <w:szCs w:val="18"/>
                    </w:rPr>
                    <w:t>30</w:t>
                  </w:r>
                </w:p>
              </w:tc>
            </w:tr>
            <w:tr w:rsidR="00BD154D" w14:paraId="3C2D9F1B" w14:textId="77777777" w:rsidTr="00DF2591">
              <w:tc>
                <w:tcPr>
                  <w:tcW w:w="1873" w:type="dxa"/>
                </w:tcPr>
                <w:p w14:paraId="739F1C64" w14:textId="77777777" w:rsidR="00BD154D" w:rsidRDefault="00BD154D" w:rsidP="00DF2591">
                  <w:pPr>
                    <w:spacing w:after="0" w:line="240" w:lineRule="auto"/>
                    <w:jc w:val="center"/>
                    <w:rPr>
                      <w:rFonts w:cs="Calibri"/>
                      <w:color w:val="000000"/>
                      <w:sz w:val="18"/>
                      <w:szCs w:val="18"/>
                    </w:rPr>
                  </w:pPr>
                  <w:r>
                    <w:rPr>
                      <w:rFonts w:cs="Calibri"/>
                      <w:color w:val="000000"/>
                      <w:sz w:val="18"/>
                      <w:szCs w:val="18"/>
                    </w:rPr>
                    <w:t>4</w:t>
                  </w:r>
                </w:p>
              </w:tc>
              <w:tc>
                <w:tcPr>
                  <w:tcW w:w="1873" w:type="dxa"/>
                </w:tcPr>
                <w:p w14:paraId="3A1113B3" w14:textId="77777777" w:rsidR="00BD154D" w:rsidRDefault="00BD154D" w:rsidP="00DF2591">
                  <w:pPr>
                    <w:spacing w:after="0" w:line="240" w:lineRule="auto"/>
                    <w:jc w:val="center"/>
                    <w:rPr>
                      <w:rFonts w:cs="Calibri"/>
                      <w:color w:val="000000"/>
                      <w:sz w:val="18"/>
                      <w:szCs w:val="18"/>
                    </w:rPr>
                  </w:pPr>
                  <w:r>
                    <w:rPr>
                      <w:rFonts w:cs="Calibri"/>
                      <w:color w:val="000000"/>
                      <w:sz w:val="18"/>
                      <w:szCs w:val="18"/>
                    </w:rPr>
                    <w:t>27</w:t>
                  </w:r>
                </w:p>
              </w:tc>
            </w:tr>
            <w:tr w:rsidR="00BD154D" w14:paraId="55478D5A" w14:textId="77777777" w:rsidTr="00DF2591">
              <w:tc>
                <w:tcPr>
                  <w:tcW w:w="1873" w:type="dxa"/>
                </w:tcPr>
                <w:p w14:paraId="3D3DA9EC" w14:textId="77777777" w:rsidR="00BD154D" w:rsidRDefault="00BD154D" w:rsidP="00DF2591">
                  <w:pPr>
                    <w:spacing w:after="0" w:line="240" w:lineRule="auto"/>
                    <w:jc w:val="center"/>
                    <w:rPr>
                      <w:rFonts w:cs="Calibri"/>
                      <w:color w:val="000000"/>
                      <w:sz w:val="18"/>
                      <w:szCs w:val="18"/>
                    </w:rPr>
                  </w:pPr>
                  <w:r>
                    <w:rPr>
                      <w:rFonts w:cs="Calibri"/>
                      <w:color w:val="000000"/>
                      <w:sz w:val="18"/>
                      <w:szCs w:val="18"/>
                    </w:rPr>
                    <w:t>5</w:t>
                  </w:r>
                </w:p>
              </w:tc>
              <w:tc>
                <w:tcPr>
                  <w:tcW w:w="1873" w:type="dxa"/>
                </w:tcPr>
                <w:p w14:paraId="01AC97C8" w14:textId="77777777" w:rsidR="00BD154D" w:rsidRDefault="00BD154D" w:rsidP="00DF2591">
                  <w:pPr>
                    <w:spacing w:after="0" w:line="240" w:lineRule="auto"/>
                    <w:jc w:val="center"/>
                    <w:rPr>
                      <w:rFonts w:cs="Calibri"/>
                      <w:color w:val="000000"/>
                      <w:sz w:val="18"/>
                      <w:szCs w:val="18"/>
                    </w:rPr>
                  </w:pPr>
                  <w:r>
                    <w:rPr>
                      <w:rFonts w:cs="Calibri"/>
                      <w:color w:val="000000"/>
                      <w:sz w:val="18"/>
                      <w:szCs w:val="18"/>
                    </w:rPr>
                    <w:t>15</w:t>
                  </w:r>
                </w:p>
              </w:tc>
            </w:tr>
            <w:tr w:rsidR="00BD154D" w14:paraId="705BE863" w14:textId="77777777" w:rsidTr="00DF2591">
              <w:tc>
                <w:tcPr>
                  <w:tcW w:w="1873" w:type="dxa"/>
                </w:tcPr>
                <w:p w14:paraId="35068A4B" w14:textId="77777777" w:rsidR="00BD154D" w:rsidRDefault="00BD154D" w:rsidP="00DF2591">
                  <w:pPr>
                    <w:spacing w:after="0" w:line="240" w:lineRule="auto"/>
                    <w:jc w:val="center"/>
                    <w:rPr>
                      <w:rFonts w:cs="Calibri"/>
                      <w:color w:val="000000"/>
                      <w:sz w:val="18"/>
                      <w:szCs w:val="18"/>
                    </w:rPr>
                  </w:pPr>
                  <w:r>
                    <w:rPr>
                      <w:rFonts w:cs="Calibri"/>
                      <w:color w:val="000000"/>
                      <w:sz w:val="18"/>
                      <w:szCs w:val="18"/>
                    </w:rPr>
                    <w:t>6</w:t>
                  </w:r>
                </w:p>
              </w:tc>
              <w:tc>
                <w:tcPr>
                  <w:tcW w:w="1873" w:type="dxa"/>
                </w:tcPr>
                <w:p w14:paraId="56F42C7F" w14:textId="77777777" w:rsidR="00BD154D" w:rsidRDefault="00BD154D" w:rsidP="00DF2591">
                  <w:pPr>
                    <w:spacing w:after="0" w:line="240" w:lineRule="auto"/>
                    <w:jc w:val="center"/>
                    <w:rPr>
                      <w:rFonts w:cs="Calibri"/>
                      <w:color w:val="000000"/>
                      <w:sz w:val="18"/>
                      <w:szCs w:val="18"/>
                    </w:rPr>
                  </w:pPr>
                  <w:r>
                    <w:rPr>
                      <w:rFonts w:cs="Calibri"/>
                      <w:color w:val="000000"/>
                      <w:sz w:val="18"/>
                      <w:szCs w:val="18"/>
                    </w:rPr>
                    <w:t>11</w:t>
                  </w:r>
                </w:p>
              </w:tc>
            </w:tr>
            <w:tr w:rsidR="00BD154D" w14:paraId="44E44D8A" w14:textId="77777777" w:rsidTr="00DF2591">
              <w:tc>
                <w:tcPr>
                  <w:tcW w:w="1873" w:type="dxa"/>
                </w:tcPr>
                <w:p w14:paraId="10EF1F85" w14:textId="77777777" w:rsidR="00BD154D" w:rsidRDefault="00BD154D" w:rsidP="00DF2591">
                  <w:pPr>
                    <w:spacing w:after="0" w:line="240" w:lineRule="auto"/>
                    <w:jc w:val="center"/>
                    <w:rPr>
                      <w:rFonts w:cs="Calibri"/>
                      <w:color w:val="000000"/>
                      <w:sz w:val="18"/>
                      <w:szCs w:val="18"/>
                    </w:rPr>
                  </w:pPr>
                  <w:r>
                    <w:rPr>
                      <w:rFonts w:cs="Calibri"/>
                      <w:color w:val="000000"/>
                      <w:sz w:val="18"/>
                      <w:szCs w:val="18"/>
                    </w:rPr>
                    <w:t>7</w:t>
                  </w:r>
                </w:p>
              </w:tc>
              <w:tc>
                <w:tcPr>
                  <w:tcW w:w="1873" w:type="dxa"/>
                </w:tcPr>
                <w:p w14:paraId="4098E70A" w14:textId="77777777" w:rsidR="00BD154D" w:rsidRDefault="00BD154D" w:rsidP="00DF2591">
                  <w:pPr>
                    <w:spacing w:after="0" w:line="240" w:lineRule="auto"/>
                    <w:jc w:val="center"/>
                    <w:rPr>
                      <w:rFonts w:cs="Calibri"/>
                      <w:color w:val="000000"/>
                      <w:sz w:val="18"/>
                      <w:szCs w:val="18"/>
                    </w:rPr>
                  </w:pPr>
                  <w:r>
                    <w:rPr>
                      <w:rFonts w:cs="Calibri"/>
                      <w:color w:val="000000"/>
                      <w:sz w:val="18"/>
                      <w:szCs w:val="18"/>
                    </w:rPr>
                    <w:t>10</w:t>
                  </w:r>
                </w:p>
              </w:tc>
            </w:tr>
            <w:tr w:rsidR="00BD154D" w14:paraId="2EEE0280" w14:textId="77777777" w:rsidTr="00DF2591">
              <w:tc>
                <w:tcPr>
                  <w:tcW w:w="1873" w:type="dxa"/>
                </w:tcPr>
                <w:p w14:paraId="057F77FC" w14:textId="77777777" w:rsidR="00BD154D" w:rsidRDefault="00BD154D" w:rsidP="00DF2591">
                  <w:pPr>
                    <w:spacing w:after="0" w:line="240" w:lineRule="auto"/>
                    <w:jc w:val="center"/>
                    <w:rPr>
                      <w:rFonts w:cs="Calibri"/>
                      <w:color w:val="000000"/>
                      <w:sz w:val="18"/>
                      <w:szCs w:val="18"/>
                    </w:rPr>
                  </w:pPr>
                  <w:r>
                    <w:rPr>
                      <w:rFonts w:cs="Calibri"/>
                      <w:color w:val="000000"/>
                      <w:sz w:val="18"/>
                      <w:szCs w:val="18"/>
                    </w:rPr>
                    <w:t>8</w:t>
                  </w:r>
                </w:p>
              </w:tc>
              <w:tc>
                <w:tcPr>
                  <w:tcW w:w="1873" w:type="dxa"/>
                </w:tcPr>
                <w:p w14:paraId="062AB1A7" w14:textId="77777777" w:rsidR="00BD154D" w:rsidRDefault="00BD154D" w:rsidP="00DF2591">
                  <w:pPr>
                    <w:spacing w:after="0" w:line="240" w:lineRule="auto"/>
                    <w:jc w:val="center"/>
                    <w:rPr>
                      <w:rFonts w:cs="Calibri"/>
                      <w:color w:val="000000"/>
                      <w:sz w:val="18"/>
                      <w:szCs w:val="18"/>
                    </w:rPr>
                  </w:pPr>
                  <w:r>
                    <w:rPr>
                      <w:rFonts w:cs="Calibri"/>
                      <w:color w:val="000000"/>
                      <w:sz w:val="18"/>
                      <w:szCs w:val="18"/>
                    </w:rPr>
                    <w:t>1</w:t>
                  </w:r>
                </w:p>
              </w:tc>
            </w:tr>
            <w:tr w:rsidR="00BD154D" w14:paraId="096BDAD4" w14:textId="77777777" w:rsidTr="00DF2591">
              <w:tc>
                <w:tcPr>
                  <w:tcW w:w="1873" w:type="dxa"/>
                </w:tcPr>
                <w:p w14:paraId="7BE2B021" w14:textId="77777777" w:rsidR="00BD154D" w:rsidRDefault="00BD154D" w:rsidP="00DF2591">
                  <w:pPr>
                    <w:spacing w:after="0" w:line="240" w:lineRule="auto"/>
                    <w:jc w:val="center"/>
                    <w:rPr>
                      <w:rFonts w:cs="Calibri"/>
                      <w:color w:val="000000"/>
                      <w:sz w:val="18"/>
                      <w:szCs w:val="18"/>
                    </w:rPr>
                  </w:pPr>
                  <w:r>
                    <w:rPr>
                      <w:rFonts w:cs="Calibri"/>
                      <w:color w:val="000000"/>
                      <w:sz w:val="18"/>
                      <w:szCs w:val="18"/>
                    </w:rPr>
                    <w:t>unspecified</w:t>
                  </w:r>
                </w:p>
              </w:tc>
              <w:tc>
                <w:tcPr>
                  <w:tcW w:w="1873" w:type="dxa"/>
                </w:tcPr>
                <w:p w14:paraId="428BD4B4" w14:textId="77777777" w:rsidR="00BD154D" w:rsidRDefault="00BD154D" w:rsidP="00DF2591">
                  <w:pPr>
                    <w:spacing w:after="0" w:line="240" w:lineRule="auto"/>
                    <w:jc w:val="center"/>
                    <w:rPr>
                      <w:rFonts w:cs="Calibri"/>
                      <w:color w:val="000000"/>
                      <w:sz w:val="18"/>
                      <w:szCs w:val="18"/>
                    </w:rPr>
                  </w:pPr>
                  <w:r>
                    <w:rPr>
                      <w:rFonts w:cs="Calibri"/>
                      <w:color w:val="000000"/>
                      <w:sz w:val="18"/>
                      <w:szCs w:val="18"/>
                    </w:rPr>
                    <w:t>24</w:t>
                  </w:r>
                </w:p>
              </w:tc>
            </w:tr>
          </w:tbl>
          <w:p w14:paraId="09B6BDE7" w14:textId="77777777" w:rsidR="00BD154D" w:rsidRPr="00B169B6" w:rsidRDefault="00BD154D" w:rsidP="00DF2591">
            <w:pPr>
              <w:spacing w:after="0" w:line="240" w:lineRule="auto"/>
              <w:rPr>
                <w:rFonts w:eastAsia="Times New Roman" w:cs="Calibri"/>
                <w:color w:val="000000"/>
                <w:sz w:val="18"/>
                <w:szCs w:val="18"/>
                <w:highlight w:val="yellow"/>
                <w:lang w:val="en-US" w:eastAsia="en-GB"/>
              </w:rPr>
            </w:pPr>
          </w:p>
        </w:tc>
      </w:tr>
      <w:tr w:rsidR="00BD154D" w:rsidRPr="004133DA" w14:paraId="6475E707" w14:textId="77777777" w:rsidTr="00DF2591">
        <w:trPr>
          <w:trHeight w:val="1308"/>
        </w:trPr>
        <w:tc>
          <w:tcPr>
            <w:tcW w:w="829" w:type="dxa"/>
            <w:shd w:val="clear" w:color="auto" w:fill="auto"/>
            <w:vAlign w:val="center"/>
            <w:hideMark/>
          </w:tcPr>
          <w:p w14:paraId="0D5E917D" w14:textId="77777777" w:rsidR="00BD154D" w:rsidRPr="004133DA" w:rsidRDefault="00BD154D" w:rsidP="00DF2591">
            <w:pPr>
              <w:spacing w:after="0" w:line="240" w:lineRule="auto"/>
              <w:jc w:val="center"/>
              <w:rPr>
                <w:rFonts w:eastAsia="Times New Roman" w:cs="Calibri"/>
                <w:color w:val="000000"/>
                <w:sz w:val="18"/>
                <w:szCs w:val="18"/>
                <w:lang w:val="en-US" w:eastAsia="en-GB"/>
              </w:rPr>
            </w:pPr>
            <w:r w:rsidRPr="004133DA">
              <w:rPr>
                <w:rFonts w:eastAsia="Times New Roman" w:cs="Calibri"/>
                <w:color w:val="000000"/>
                <w:sz w:val="18"/>
                <w:szCs w:val="18"/>
                <w:lang w:val="en-US" w:eastAsia="en-GB"/>
              </w:rPr>
              <w:t>11.1</w:t>
            </w:r>
          </w:p>
        </w:tc>
        <w:tc>
          <w:tcPr>
            <w:tcW w:w="1916" w:type="dxa"/>
            <w:shd w:val="clear" w:color="auto" w:fill="auto"/>
            <w:vAlign w:val="center"/>
            <w:hideMark/>
          </w:tcPr>
          <w:p w14:paraId="00002495" w14:textId="77777777" w:rsidR="00BD154D" w:rsidRPr="002E4BC7" w:rsidRDefault="00BD154D" w:rsidP="00DF2591">
            <w:pPr>
              <w:spacing w:after="0" w:line="240" w:lineRule="auto"/>
              <w:jc w:val="center"/>
              <w:rPr>
                <w:rFonts w:eastAsia="Times New Roman" w:cs="Calibri"/>
                <w:color w:val="000000"/>
                <w:sz w:val="18"/>
                <w:szCs w:val="18"/>
                <w:lang w:val="en-US" w:eastAsia="en-GB"/>
              </w:rPr>
            </w:pPr>
            <w:r w:rsidRPr="002E4BC7">
              <w:rPr>
                <w:rFonts w:eastAsia="Times New Roman" w:cs="Calibri"/>
                <w:color w:val="000000"/>
                <w:sz w:val="18"/>
                <w:szCs w:val="18"/>
                <w:lang w:val="en-US" w:eastAsia="en-GB"/>
              </w:rPr>
              <w:t>Percentage of H2020 beneficiaries from the private-for-profit sector</w:t>
            </w:r>
          </w:p>
        </w:tc>
        <w:tc>
          <w:tcPr>
            <w:tcW w:w="2320" w:type="dxa"/>
            <w:shd w:val="clear" w:color="auto" w:fill="auto"/>
            <w:vAlign w:val="center"/>
            <w:hideMark/>
          </w:tcPr>
          <w:p w14:paraId="20881623" w14:textId="77777777" w:rsidR="00BD154D" w:rsidRPr="002E4BC7" w:rsidRDefault="00BD154D" w:rsidP="00DF2591">
            <w:pPr>
              <w:spacing w:after="0" w:line="240" w:lineRule="auto"/>
              <w:jc w:val="center"/>
              <w:rPr>
                <w:rFonts w:eastAsia="Times New Roman" w:cs="Calibri"/>
                <w:color w:val="000000"/>
                <w:sz w:val="18"/>
                <w:szCs w:val="18"/>
                <w:lang w:val="en-US" w:eastAsia="en-GB"/>
              </w:rPr>
            </w:pPr>
            <w:r w:rsidRPr="002E4BC7">
              <w:rPr>
                <w:rFonts w:eastAsia="Times New Roman" w:cs="Calibri"/>
                <w:color w:val="000000"/>
                <w:sz w:val="18"/>
                <w:szCs w:val="18"/>
                <w:lang w:val="en-US" w:eastAsia="en-GB"/>
              </w:rPr>
              <w:t>Number of and % of the total H2020 beneficiaries classified by type of activity and legal status</w:t>
            </w:r>
          </w:p>
        </w:tc>
        <w:tc>
          <w:tcPr>
            <w:tcW w:w="4139" w:type="dxa"/>
            <w:shd w:val="clear" w:color="auto" w:fill="auto"/>
            <w:vAlign w:val="center"/>
            <w:hideMark/>
          </w:tcPr>
          <w:p w14:paraId="1FC6046D" w14:textId="77777777" w:rsidR="00BD154D" w:rsidRPr="00500B90" w:rsidRDefault="00BD154D" w:rsidP="00DF2591">
            <w:pPr>
              <w:spacing w:after="0" w:line="240" w:lineRule="auto"/>
              <w:jc w:val="center"/>
              <w:rPr>
                <w:rFonts w:cs="Calibri"/>
                <w:color w:val="000000"/>
                <w:sz w:val="18"/>
                <w:szCs w:val="18"/>
              </w:rPr>
            </w:pPr>
            <w:r w:rsidRPr="00500B90">
              <w:rPr>
                <w:rFonts w:cs="Calibri"/>
                <w:color w:val="000000"/>
                <w:sz w:val="18"/>
                <w:szCs w:val="18"/>
              </w:rPr>
              <w:t xml:space="preserve">Participations: 915 / 1537 (59.5 %) </w:t>
            </w:r>
          </w:p>
          <w:p w14:paraId="0AA48458" w14:textId="77777777" w:rsidR="00BD154D" w:rsidRPr="00B169B6" w:rsidRDefault="00BD154D" w:rsidP="00DF2591">
            <w:pPr>
              <w:spacing w:after="0" w:line="240" w:lineRule="auto"/>
              <w:jc w:val="center"/>
              <w:rPr>
                <w:rFonts w:eastAsia="Times New Roman" w:cs="Calibri"/>
                <w:color w:val="000000"/>
                <w:sz w:val="18"/>
                <w:szCs w:val="18"/>
                <w:highlight w:val="yellow"/>
                <w:lang w:val="en-US" w:eastAsia="en-GB"/>
              </w:rPr>
            </w:pPr>
            <w:r w:rsidRPr="00500B90">
              <w:rPr>
                <w:rFonts w:cs="Calibri"/>
                <w:color w:val="000000"/>
                <w:sz w:val="18"/>
                <w:szCs w:val="18"/>
              </w:rPr>
              <w:t>Participants: 523/ 790 (66.2 %)</w:t>
            </w:r>
          </w:p>
        </w:tc>
      </w:tr>
      <w:tr w:rsidR="00BD154D" w:rsidRPr="004133DA" w14:paraId="017AB261" w14:textId="77777777" w:rsidTr="00DF2591">
        <w:trPr>
          <w:trHeight w:val="1708"/>
        </w:trPr>
        <w:tc>
          <w:tcPr>
            <w:tcW w:w="829" w:type="dxa"/>
            <w:shd w:val="clear" w:color="auto" w:fill="auto"/>
            <w:vAlign w:val="center"/>
            <w:hideMark/>
          </w:tcPr>
          <w:p w14:paraId="1A2CE730" w14:textId="77777777" w:rsidR="00BD154D" w:rsidRPr="004133DA" w:rsidRDefault="00BD154D" w:rsidP="00DF2591">
            <w:pPr>
              <w:spacing w:after="0" w:line="240" w:lineRule="auto"/>
              <w:jc w:val="center"/>
              <w:rPr>
                <w:rFonts w:eastAsia="Times New Roman" w:cs="Calibri"/>
                <w:color w:val="000000"/>
                <w:sz w:val="18"/>
                <w:szCs w:val="18"/>
                <w:lang w:val="en-US" w:eastAsia="en-GB"/>
              </w:rPr>
            </w:pPr>
            <w:r w:rsidRPr="004133DA">
              <w:rPr>
                <w:rFonts w:eastAsia="Times New Roman" w:cs="Calibri"/>
                <w:color w:val="000000"/>
                <w:sz w:val="18"/>
                <w:szCs w:val="18"/>
                <w:lang w:val="en-US" w:eastAsia="en-GB"/>
              </w:rPr>
              <w:t>11.2</w:t>
            </w:r>
          </w:p>
        </w:tc>
        <w:tc>
          <w:tcPr>
            <w:tcW w:w="1916" w:type="dxa"/>
            <w:shd w:val="clear" w:color="auto" w:fill="auto"/>
            <w:vAlign w:val="center"/>
            <w:hideMark/>
          </w:tcPr>
          <w:p w14:paraId="47ADE8A4" w14:textId="77777777" w:rsidR="00BD154D" w:rsidRPr="004133DA" w:rsidRDefault="00BD154D" w:rsidP="00DF2591">
            <w:pPr>
              <w:spacing w:after="0" w:line="240" w:lineRule="auto"/>
              <w:jc w:val="center"/>
              <w:rPr>
                <w:rFonts w:eastAsia="Times New Roman" w:cs="Calibri"/>
                <w:color w:val="000000"/>
                <w:sz w:val="18"/>
                <w:szCs w:val="18"/>
                <w:lang w:val="en-US" w:eastAsia="en-GB"/>
              </w:rPr>
            </w:pPr>
            <w:r w:rsidRPr="004133DA">
              <w:rPr>
                <w:rFonts w:eastAsia="Times New Roman" w:cs="Calibri"/>
                <w:color w:val="000000"/>
                <w:sz w:val="18"/>
                <w:szCs w:val="18"/>
                <w:lang w:val="en-US" w:eastAsia="en-GB"/>
              </w:rPr>
              <w:t xml:space="preserve">Share of EU financial </w:t>
            </w:r>
            <w:r w:rsidRPr="002E4BC7">
              <w:rPr>
                <w:rFonts w:eastAsia="Times New Roman" w:cs="Calibri"/>
                <w:color w:val="000000"/>
                <w:sz w:val="18"/>
                <w:szCs w:val="18"/>
                <w:lang w:val="en-US" w:eastAsia="en-GB"/>
              </w:rPr>
              <w:t xml:space="preserve">contribution going to private-for-profit entities (Enabling </w:t>
            </w:r>
            <w:r>
              <w:rPr>
                <w:rFonts w:eastAsia="Times New Roman" w:cs="Calibri"/>
                <w:color w:val="000000"/>
                <w:sz w:val="18"/>
                <w:szCs w:val="18"/>
                <w:lang w:val="en-US" w:eastAsia="en-GB"/>
              </w:rPr>
              <w:t>and</w:t>
            </w:r>
            <w:r w:rsidRPr="002E4BC7">
              <w:rPr>
                <w:rFonts w:eastAsia="Times New Roman" w:cs="Calibri"/>
                <w:color w:val="000000"/>
                <w:sz w:val="18"/>
                <w:szCs w:val="18"/>
                <w:lang w:val="en-US" w:eastAsia="en-GB"/>
              </w:rPr>
              <w:t xml:space="preserve"> industrial tech and Part</w:t>
            </w:r>
            <w:r w:rsidRPr="004133DA">
              <w:rPr>
                <w:rFonts w:eastAsia="Times New Roman" w:cs="Calibri"/>
                <w:color w:val="000000"/>
                <w:sz w:val="18"/>
                <w:szCs w:val="18"/>
                <w:lang w:val="en-US" w:eastAsia="en-GB"/>
              </w:rPr>
              <w:t xml:space="preserve"> III of Horizon 2020)</w:t>
            </w:r>
          </w:p>
        </w:tc>
        <w:tc>
          <w:tcPr>
            <w:tcW w:w="2320" w:type="dxa"/>
            <w:shd w:val="clear" w:color="auto" w:fill="auto"/>
            <w:vAlign w:val="center"/>
            <w:hideMark/>
          </w:tcPr>
          <w:p w14:paraId="75C2AB00" w14:textId="77777777" w:rsidR="00BD154D" w:rsidRPr="004133DA" w:rsidRDefault="00BD154D" w:rsidP="00DF2591">
            <w:pPr>
              <w:spacing w:after="0" w:line="240" w:lineRule="auto"/>
              <w:jc w:val="center"/>
              <w:rPr>
                <w:rFonts w:eastAsia="Times New Roman" w:cs="Calibri"/>
                <w:color w:val="000000"/>
                <w:sz w:val="18"/>
                <w:szCs w:val="18"/>
                <w:lang w:val="en-US" w:eastAsia="en-GB"/>
              </w:rPr>
            </w:pPr>
            <w:r w:rsidRPr="004133DA">
              <w:rPr>
                <w:rFonts w:eastAsia="Times New Roman" w:cs="Calibri"/>
                <w:color w:val="000000"/>
                <w:sz w:val="18"/>
                <w:szCs w:val="18"/>
                <w:lang w:val="en-US" w:eastAsia="en-GB"/>
              </w:rPr>
              <w:t>H2020 beneficiaries classified by type of activity; corresponding EU contribution</w:t>
            </w:r>
          </w:p>
        </w:tc>
        <w:tc>
          <w:tcPr>
            <w:tcW w:w="4139" w:type="dxa"/>
            <w:shd w:val="clear" w:color="auto" w:fill="auto"/>
            <w:vAlign w:val="center"/>
            <w:hideMark/>
          </w:tcPr>
          <w:p w14:paraId="48270D85" w14:textId="77777777" w:rsidR="00BD154D" w:rsidRDefault="00BD154D" w:rsidP="00DF2591">
            <w:pPr>
              <w:spacing w:after="0" w:line="240" w:lineRule="auto"/>
              <w:jc w:val="center"/>
              <w:rPr>
                <w:rFonts w:cs="Calibri"/>
                <w:color w:val="000000"/>
                <w:sz w:val="18"/>
                <w:szCs w:val="18"/>
              </w:rPr>
            </w:pPr>
            <w:r w:rsidRPr="00500B90">
              <w:rPr>
                <w:rFonts w:cs="Calibri"/>
                <w:color w:val="000000"/>
                <w:sz w:val="18"/>
                <w:szCs w:val="18"/>
              </w:rPr>
              <w:t xml:space="preserve">EUR 442.3 mil </w:t>
            </w:r>
            <w:r>
              <w:rPr>
                <w:rFonts w:cs="Calibri"/>
                <w:color w:val="000000"/>
                <w:sz w:val="18"/>
                <w:szCs w:val="18"/>
              </w:rPr>
              <w:t>/ EUR 632.9 mil</w:t>
            </w:r>
          </w:p>
          <w:p w14:paraId="1D3E7E29" w14:textId="77777777" w:rsidR="00BD154D" w:rsidRPr="00B169B6" w:rsidRDefault="00BD154D" w:rsidP="00DF2591">
            <w:pPr>
              <w:spacing w:after="0" w:line="240" w:lineRule="auto"/>
              <w:jc w:val="center"/>
              <w:rPr>
                <w:rFonts w:eastAsia="Times New Roman" w:cs="Calibri"/>
                <w:color w:val="000000"/>
                <w:sz w:val="18"/>
                <w:szCs w:val="18"/>
                <w:highlight w:val="yellow"/>
                <w:lang w:val="en-US" w:eastAsia="en-GB"/>
              </w:rPr>
            </w:pPr>
            <w:r w:rsidRPr="00500B90">
              <w:rPr>
                <w:rFonts w:cs="Calibri"/>
                <w:color w:val="000000"/>
                <w:sz w:val="18"/>
                <w:szCs w:val="18"/>
              </w:rPr>
              <w:t>(69.9 %)</w:t>
            </w:r>
          </w:p>
        </w:tc>
      </w:tr>
      <w:tr w:rsidR="00BD154D" w:rsidRPr="004133DA" w14:paraId="6C60E287" w14:textId="77777777" w:rsidTr="00DF2591">
        <w:trPr>
          <w:trHeight w:val="585"/>
        </w:trPr>
        <w:tc>
          <w:tcPr>
            <w:tcW w:w="829" w:type="dxa"/>
            <w:vMerge w:val="restart"/>
            <w:shd w:val="clear" w:color="auto" w:fill="auto"/>
            <w:vAlign w:val="center"/>
            <w:hideMark/>
          </w:tcPr>
          <w:p w14:paraId="5B19F1A7" w14:textId="77777777" w:rsidR="00BD154D" w:rsidRPr="00030FB3" w:rsidRDefault="00BD154D" w:rsidP="00DF2591">
            <w:pPr>
              <w:spacing w:after="0" w:line="240" w:lineRule="auto"/>
              <w:jc w:val="center"/>
              <w:rPr>
                <w:rFonts w:eastAsia="Times New Roman" w:cs="Calibri"/>
                <w:color w:val="000000"/>
                <w:sz w:val="18"/>
                <w:szCs w:val="18"/>
                <w:lang w:val="en-US" w:eastAsia="en-GB"/>
              </w:rPr>
            </w:pPr>
            <w:r w:rsidRPr="00030FB3">
              <w:rPr>
                <w:rFonts w:eastAsia="Times New Roman" w:cs="Calibri"/>
                <w:color w:val="000000"/>
                <w:sz w:val="18"/>
                <w:szCs w:val="18"/>
                <w:lang w:val="en-US" w:eastAsia="en-GB"/>
              </w:rPr>
              <w:t>12.1</w:t>
            </w:r>
          </w:p>
        </w:tc>
        <w:tc>
          <w:tcPr>
            <w:tcW w:w="1916" w:type="dxa"/>
            <w:vMerge w:val="restart"/>
            <w:shd w:val="clear" w:color="auto" w:fill="auto"/>
            <w:vAlign w:val="center"/>
            <w:hideMark/>
          </w:tcPr>
          <w:p w14:paraId="0D587946" w14:textId="77777777" w:rsidR="00BD154D" w:rsidRPr="00175ADB" w:rsidRDefault="00BD154D" w:rsidP="00DF2591">
            <w:pPr>
              <w:spacing w:after="0" w:line="240" w:lineRule="auto"/>
              <w:jc w:val="center"/>
              <w:rPr>
                <w:rFonts w:eastAsia="Times New Roman" w:cs="Calibri"/>
                <w:color w:val="000000"/>
                <w:sz w:val="18"/>
                <w:szCs w:val="18"/>
                <w:lang w:val="en-US" w:eastAsia="en-GB"/>
              </w:rPr>
            </w:pPr>
            <w:r w:rsidRPr="00175ADB">
              <w:rPr>
                <w:rFonts w:eastAsia="Times New Roman" w:cs="Calibri"/>
                <w:color w:val="000000"/>
                <w:sz w:val="18"/>
                <w:szCs w:val="18"/>
                <w:lang w:val="en-US" w:eastAsia="en-GB"/>
              </w:rPr>
              <w:t>EU financial contribution for public-private partnerships (PPP) (Art. 187)</w:t>
            </w:r>
          </w:p>
        </w:tc>
        <w:tc>
          <w:tcPr>
            <w:tcW w:w="2320" w:type="dxa"/>
            <w:vMerge w:val="restart"/>
            <w:shd w:val="clear" w:color="auto" w:fill="auto"/>
            <w:vAlign w:val="center"/>
            <w:hideMark/>
          </w:tcPr>
          <w:p w14:paraId="16313D10" w14:textId="77777777" w:rsidR="00BD154D" w:rsidRPr="00175ADB" w:rsidRDefault="00BD154D" w:rsidP="00DF2591">
            <w:pPr>
              <w:spacing w:after="0" w:line="240" w:lineRule="auto"/>
              <w:jc w:val="center"/>
              <w:rPr>
                <w:rFonts w:eastAsia="Times New Roman" w:cs="Calibri"/>
                <w:color w:val="000000"/>
                <w:sz w:val="18"/>
                <w:szCs w:val="18"/>
                <w:lang w:val="en-US" w:eastAsia="en-GB"/>
              </w:rPr>
            </w:pPr>
            <w:r w:rsidRPr="00175ADB">
              <w:rPr>
                <w:rFonts w:eastAsia="Times New Roman" w:cs="Calibri"/>
                <w:color w:val="000000"/>
                <w:sz w:val="18"/>
                <w:szCs w:val="18"/>
                <w:lang w:val="en-US" w:eastAsia="en-GB"/>
              </w:rPr>
              <w:t>EU contribution to PPP (Art. 187)</w:t>
            </w:r>
          </w:p>
        </w:tc>
        <w:tc>
          <w:tcPr>
            <w:tcW w:w="4139" w:type="dxa"/>
            <w:vMerge w:val="restart"/>
            <w:shd w:val="clear" w:color="auto" w:fill="auto"/>
            <w:vAlign w:val="center"/>
            <w:hideMark/>
          </w:tcPr>
          <w:p w14:paraId="4769E0A5" w14:textId="77777777" w:rsidR="004821E4" w:rsidRPr="004821E4" w:rsidRDefault="004821E4" w:rsidP="004821E4">
            <w:pPr>
              <w:spacing w:after="0" w:line="240" w:lineRule="auto"/>
              <w:jc w:val="center"/>
              <w:rPr>
                <w:rFonts w:eastAsia="Times New Roman" w:cs="Calibri"/>
                <w:color w:val="000000"/>
                <w:sz w:val="18"/>
                <w:szCs w:val="18"/>
                <w:lang w:val="en-US" w:eastAsia="en-GB"/>
              </w:rPr>
            </w:pPr>
            <w:r w:rsidRPr="004821E4">
              <w:rPr>
                <w:rFonts w:eastAsia="Times New Roman" w:cs="Calibri"/>
                <w:color w:val="000000"/>
                <w:sz w:val="18"/>
                <w:szCs w:val="18"/>
                <w:lang w:val="en-US" w:eastAsia="en-GB"/>
              </w:rPr>
              <w:t>Cumulative EU contribution to administrative and operational budget for the period 2014-2021:</w:t>
            </w:r>
          </w:p>
          <w:p w14:paraId="43DBF248" w14:textId="77777777" w:rsidR="004821E4" w:rsidRPr="004821E4" w:rsidRDefault="004821E4" w:rsidP="004821E4">
            <w:pPr>
              <w:spacing w:after="0" w:line="240" w:lineRule="auto"/>
              <w:jc w:val="center"/>
              <w:rPr>
                <w:rFonts w:eastAsia="Times New Roman" w:cs="Calibri"/>
                <w:color w:val="000000"/>
                <w:sz w:val="18"/>
                <w:szCs w:val="18"/>
                <w:lang w:val="en-US" w:eastAsia="en-GB"/>
              </w:rPr>
            </w:pPr>
            <w:r w:rsidRPr="004821E4">
              <w:rPr>
                <w:rFonts w:eastAsia="Times New Roman" w:cs="Calibri"/>
                <w:color w:val="000000"/>
                <w:sz w:val="18"/>
                <w:szCs w:val="18"/>
                <w:lang w:val="en-US" w:eastAsia="en-GB"/>
              </w:rPr>
              <w:t>CA: 657,362,659</w:t>
            </w:r>
          </w:p>
          <w:p w14:paraId="75DE4DF0" w14:textId="67EA93EA" w:rsidR="00BD154D" w:rsidRPr="00681EA4" w:rsidRDefault="004821E4" w:rsidP="004821E4">
            <w:pPr>
              <w:spacing w:after="0" w:line="240" w:lineRule="auto"/>
              <w:jc w:val="center"/>
              <w:rPr>
                <w:rFonts w:eastAsia="Times New Roman" w:cs="Calibri"/>
                <w:color w:val="000000"/>
                <w:sz w:val="18"/>
                <w:szCs w:val="18"/>
                <w:lang w:val="en-US" w:eastAsia="en-GB"/>
              </w:rPr>
            </w:pPr>
            <w:r w:rsidRPr="004821E4">
              <w:rPr>
                <w:rFonts w:eastAsia="Times New Roman" w:cs="Calibri"/>
                <w:color w:val="000000"/>
                <w:sz w:val="18"/>
                <w:szCs w:val="18"/>
                <w:lang w:val="en-US" w:eastAsia="en-GB"/>
              </w:rPr>
              <w:t>PA: 550,402,484</w:t>
            </w:r>
          </w:p>
        </w:tc>
      </w:tr>
      <w:tr w:rsidR="00BD154D" w:rsidRPr="004133DA" w14:paraId="6A4396E8" w14:textId="77777777" w:rsidTr="00DF2591">
        <w:trPr>
          <w:trHeight w:val="660"/>
        </w:trPr>
        <w:tc>
          <w:tcPr>
            <w:tcW w:w="829" w:type="dxa"/>
            <w:vMerge/>
            <w:shd w:val="clear" w:color="auto" w:fill="auto"/>
            <w:vAlign w:val="center"/>
            <w:hideMark/>
          </w:tcPr>
          <w:p w14:paraId="5BDF3613" w14:textId="77777777" w:rsidR="00BD154D" w:rsidRPr="007B7B78" w:rsidRDefault="00BD154D" w:rsidP="00DF2591">
            <w:pPr>
              <w:spacing w:after="0" w:line="240" w:lineRule="auto"/>
              <w:rPr>
                <w:rFonts w:eastAsia="Times New Roman" w:cs="Calibri"/>
                <w:color w:val="000000"/>
                <w:sz w:val="18"/>
                <w:szCs w:val="18"/>
                <w:highlight w:val="yellow"/>
                <w:lang w:val="en-US" w:eastAsia="en-GB"/>
              </w:rPr>
            </w:pPr>
          </w:p>
        </w:tc>
        <w:tc>
          <w:tcPr>
            <w:tcW w:w="1916" w:type="dxa"/>
            <w:vMerge/>
            <w:shd w:val="clear" w:color="auto" w:fill="auto"/>
            <w:vAlign w:val="center"/>
            <w:hideMark/>
          </w:tcPr>
          <w:p w14:paraId="1D2A596F" w14:textId="77777777" w:rsidR="00BD154D" w:rsidRPr="007B7B78" w:rsidRDefault="00BD154D" w:rsidP="00DF2591">
            <w:pPr>
              <w:spacing w:after="0" w:line="240" w:lineRule="auto"/>
              <w:rPr>
                <w:rFonts w:eastAsia="Times New Roman" w:cs="Calibri"/>
                <w:color w:val="000000"/>
                <w:sz w:val="18"/>
                <w:szCs w:val="18"/>
                <w:highlight w:val="yellow"/>
                <w:lang w:val="en-US" w:eastAsia="en-GB"/>
              </w:rPr>
            </w:pPr>
          </w:p>
        </w:tc>
        <w:tc>
          <w:tcPr>
            <w:tcW w:w="2320" w:type="dxa"/>
            <w:vMerge/>
            <w:shd w:val="clear" w:color="auto" w:fill="auto"/>
            <w:vAlign w:val="center"/>
            <w:hideMark/>
          </w:tcPr>
          <w:p w14:paraId="7CB5CBB1" w14:textId="77777777" w:rsidR="00BD154D" w:rsidRPr="007B7B78" w:rsidRDefault="00BD154D" w:rsidP="00DF2591">
            <w:pPr>
              <w:spacing w:after="0" w:line="240" w:lineRule="auto"/>
              <w:rPr>
                <w:rFonts w:eastAsia="Times New Roman" w:cs="Calibri"/>
                <w:color w:val="000000"/>
                <w:sz w:val="18"/>
                <w:szCs w:val="18"/>
                <w:highlight w:val="yellow"/>
                <w:lang w:val="en-US" w:eastAsia="en-GB"/>
              </w:rPr>
            </w:pPr>
          </w:p>
        </w:tc>
        <w:tc>
          <w:tcPr>
            <w:tcW w:w="4139" w:type="dxa"/>
            <w:vMerge/>
            <w:shd w:val="clear" w:color="auto" w:fill="auto"/>
            <w:vAlign w:val="center"/>
            <w:hideMark/>
          </w:tcPr>
          <w:p w14:paraId="6554335E" w14:textId="77777777" w:rsidR="00BD154D" w:rsidRPr="00B169B6" w:rsidRDefault="00BD154D" w:rsidP="00DF2591">
            <w:pPr>
              <w:spacing w:after="0" w:line="240" w:lineRule="auto"/>
              <w:rPr>
                <w:rFonts w:eastAsia="Times New Roman" w:cs="Calibri"/>
                <w:color w:val="000000"/>
                <w:sz w:val="18"/>
                <w:szCs w:val="18"/>
                <w:highlight w:val="yellow"/>
                <w:lang w:val="en-US" w:eastAsia="en-GB"/>
              </w:rPr>
            </w:pPr>
          </w:p>
        </w:tc>
      </w:tr>
      <w:tr w:rsidR="00BD154D" w:rsidRPr="004133DA" w14:paraId="1B0FF8C1" w14:textId="77777777" w:rsidTr="00DF2591">
        <w:trPr>
          <w:trHeight w:val="720"/>
        </w:trPr>
        <w:tc>
          <w:tcPr>
            <w:tcW w:w="829" w:type="dxa"/>
            <w:vMerge w:val="restart"/>
            <w:shd w:val="clear" w:color="auto" w:fill="auto"/>
            <w:vAlign w:val="center"/>
            <w:hideMark/>
          </w:tcPr>
          <w:p w14:paraId="3E01227D" w14:textId="77777777" w:rsidR="00BD154D" w:rsidRPr="007B7B78" w:rsidRDefault="00BD154D" w:rsidP="00DF2591">
            <w:pPr>
              <w:spacing w:after="0" w:line="240" w:lineRule="auto"/>
              <w:jc w:val="center"/>
              <w:rPr>
                <w:rFonts w:eastAsia="Times New Roman" w:cs="Calibri"/>
                <w:color w:val="000000"/>
                <w:sz w:val="18"/>
                <w:szCs w:val="18"/>
                <w:highlight w:val="yellow"/>
                <w:lang w:val="en-US" w:eastAsia="en-GB"/>
              </w:rPr>
            </w:pPr>
            <w:r w:rsidRPr="006D2589">
              <w:rPr>
                <w:rFonts w:eastAsia="Times New Roman" w:cs="Calibri"/>
                <w:color w:val="000000"/>
                <w:sz w:val="18"/>
                <w:szCs w:val="18"/>
                <w:lang w:val="en-US" w:eastAsia="en-GB"/>
              </w:rPr>
              <w:t>12.2</w:t>
            </w:r>
          </w:p>
        </w:tc>
        <w:tc>
          <w:tcPr>
            <w:tcW w:w="1916" w:type="dxa"/>
            <w:vMerge w:val="restart"/>
            <w:shd w:val="clear" w:color="auto" w:fill="auto"/>
            <w:vAlign w:val="center"/>
            <w:hideMark/>
          </w:tcPr>
          <w:p w14:paraId="4C94F7F1" w14:textId="77777777" w:rsidR="00BD154D" w:rsidRPr="007B7B78" w:rsidRDefault="00BD154D" w:rsidP="00DF2591">
            <w:pPr>
              <w:spacing w:after="0" w:line="240" w:lineRule="auto"/>
              <w:jc w:val="center"/>
              <w:rPr>
                <w:rFonts w:eastAsia="Times New Roman" w:cs="Calibri"/>
                <w:color w:val="000000"/>
                <w:sz w:val="18"/>
                <w:szCs w:val="18"/>
                <w:highlight w:val="yellow"/>
                <w:lang w:val="en-US" w:eastAsia="en-GB"/>
              </w:rPr>
            </w:pPr>
            <w:r w:rsidRPr="006D2589">
              <w:rPr>
                <w:rFonts w:eastAsia="Times New Roman" w:cs="Calibri"/>
                <w:color w:val="000000"/>
                <w:sz w:val="18"/>
                <w:szCs w:val="18"/>
                <w:lang w:val="en-US" w:eastAsia="en-GB"/>
              </w:rPr>
              <w:t>PPPs leverage: total amount of funds leveraged through Art. 187 initiatives, including additional activities, divided by the EU contribution</w:t>
            </w:r>
          </w:p>
        </w:tc>
        <w:tc>
          <w:tcPr>
            <w:tcW w:w="2320" w:type="dxa"/>
            <w:shd w:val="clear" w:color="auto" w:fill="auto"/>
            <w:vAlign w:val="center"/>
            <w:hideMark/>
          </w:tcPr>
          <w:p w14:paraId="09F8ACEC" w14:textId="77777777" w:rsidR="00BD154D" w:rsidRPr="006D2589" w:rsidRDefault="00BD154D" w:rsidP="00DF2591">
            <w:pPr>
              <w:spacing w:after="0" w:line="240" w:lineRule="auto"/>
              <w:jc w:val="center"/>
              <w:rPr>
                <w:rFonts w:eastAsia="Times New Roman" w:cs="Calibri"/>
                <w:color w:val="000000"/>
                <w:sz w:val="18"/>
                <w:szCs w:val="18"/>
                <w:lang w:val="en-US" w:eastAsia="en-GB"/>
              </w:rPr>
            </w:pPr>
            <w:r w:rsidRPr="006D2589">
              <w:rPr>
                <w:rFonts w:eastAsia="Times New Roman" w:cs="Calibri"/>
                <w:color w:val="000000"/>
                <w:sz w:val="18"/>
                <w:szCs w:val="18"/>
                <w:lang w:val="en-US" w:eastAsia="en-GB"/>
              </w:rPr>
              <w:t>Total funding made by private actors involved in PPPs</w:t>
            </w:r>
          </w:p>
        </w:tc>
        <w:tc>
          <w:tcPr>
            <w:tcW w:w="4139" w:type="dxa"/>
            <w:vMerge w:val="restart"/>
            <w:shd w:val="clear" w:color="auto" w:fill="auto"/>
            <w:vAlign w:val="center"/>
            <w:hideMark/>
          </w:tcPr>
          <w:p w14:paraId="240EA171" w14:textId="08F64B09" w:rsidR="00BD154D" w:rsidRPr="004821E4" w:rsidRDefault="00BD154D" w:rsidP="00DF2591">
            <w:pPr>
              <w:spacing w:after="0" w:line="240" w:lineRule="auto"/>
              <w:jc w:val="center"/>
              <w:rPr>
                <w:rFonts w:eastAsia="Times New Roman" w:cs="Calibri"/>
                <w:sz w:val="18"/>
                <w:szCs w:val="18"/>
                <w:lang w:val="en-US" w:eastAsia="en-GB"/>
              </w:rPr>
            </w:pPr>
            <w:r w:rsidRPr="004821E4">
              <w:rPr>
                <w:rFonts w:eastAsia="Times New Roman" w:cs="Calibri"/>
                <w:sz w:val="18"/>
                <w:szCs w:val="18"/>
                <w:lang w:val="en-US" w:eastAsia="en-GB"/>
              </w:rPr>
              <w:t>2.</w:t>
            </w:r>
            <w:r w:rsidR="004821E4" w:rsidRPr="004821E4">
              <w:rPr>
                <w:rFonts w:eastAsia="Times New Roman" w:cs="Calibri"/>
                <w:sz w:val="18"/>
                <w:szCs w:val="18"/>
                <w:lang w:val="en-US" w:eastAsia="en-GB"/>
              </w:rPr>
              <w:t>56</w:t>
            </w:r>
            <w:r w:rsidRPr="004821E4">
              <w:rPr>
                <w:rFonts w:eastAsia="Times New Roman" w:cs="Calibri"/>
                <w:sz w:val="18"/>
                <w:szCs w:val="18"/>
                <w:lang w:val="en-US" w:eastAsia="en-GB"/>
              </w:rPr>
              <w:t xml:space="preserve"> </w:t>
            </w:r>
          </w:p>
          <w:p w14:paraId="60543F5F" w14:textId="77777777" w:rsidR="00BD154D" w:rsidRPr="00B169B6" w:rsidRDefault="00BD154D" w:rsidP="00DF2591">
            <w:pPr>
              <w:spacing w:after="0" w:line="240" w:lineRule="auto"/>
              <w:jc w:val="center"/>
              <w:rPr>
                <w:rFonts w:eastAsia="Times New Roman" w:cs="Calibri"/>
                <w:sz w:val="18"/>
                <w:szCs w:val="18"/>
                <w:highlight w:val="yellow"/>
                <w:lang w:val="en-US" w:eastAsia="en-GB"/>
              </w:rPr>
            </w:pPr>
            <w:r w:rsidRPr="004821E4">
              <w:rPr>
                <w:rFonts w:eastAsia="Times New Roman" w:cs="Calibri"/>
                <w:sz w:val="18"/>
                <w:szCs w:val="18"/>
                <w:lang w:val="en-US" w:eastAsia="en-GB"/>
              </w:rPr>
              <w:t>(</w:t>
            </w:r>
            <w:proofErr w:type="gramStart"/>
            <w:r w:rsidRPr="004821E4">
              <w:rPr>
                <w:rFonts w:eastAsia="Times New Roman" w:cs="Calibri"/>
                <w:sz w:val="18"/>
                <w:szCs w:val="18"/>
                <w:lang w:val="en-US" w:eastAsia="en-GB"/>
              </w:rPr>
              <w:t>see</w:t>
            </w:r>
            <w:proofErr w:type="gramEnd"/>
            <w:r w:rsidRPr="004821E4">
              <w:rPr>
                <w:rFonts w:eastAsia="Times New Roman" w:cs="Calibri"/>
                <w:sz w:val="18"/>
                <w:szCs w:val="18"/>
                <w:lang w:val="en-US" w:eastAsia="en-GB"/>
              </w:rPr>
              <w:t xml:space="preserve"> section 1.1, Formula B)</w:t>
            </w:r>
            <w:r w:rsidRPr="001676B9">
              <w:rPr>
                <w:rFonts w:eastAsia="Times New Roman" w:cs="Calibri"/>
                <w:sz w:val="18"/>
                <w:szCs w:val="18"/>
                <w:lang w:val="en-US" w:eastAsia="en-GB"/>
              </w:rPr>
              <w:t xml:space="preserve"> </w:t>
            </w:r>
          </w:p>
        </w:tc>
      </w:tr>
      <w:tr w:rsidR="00BD154D" w:rsidRPr="004133DA" w14:paraId="383DCE26" w14:textId="77777777" w:rsidTr="00DF2591">
        <w:trPr>
          <w:trHeight w:val="1200"/>
        </w:trPr>
        <w:tc>
          <w:tcPr>
            <w:tcW w:w="829" w:type="dxa"/>
            <w:vMerge/>
            <w:shd w:val="clear" w:color="auto" w:fill="auto"/>
            <w:vAlign w:val="center"/>
            <w:hideMark/>
          </w:tcPr>
          <w:p w14:paraId="4EC6C467" w14:textId="77777777" w:rsidR="00BD154D" w:rsidRPr="007B7B78" w:rsidRDefault="00BD154D" w:rsidP="00DF2591">
            <w:pPr>
              <w:spacing w:after="0" w:line="240" w:lineRule="auto"/>
              <w:rPr>
                <w:rFonts w:eastAsia="Times New Roman" w:cs="Calibri"/>
                <w:color w:val="000000"/>
                <w:sz w:val="18"/>
                <w:szCs w:val="18"/>
                <w:highlight w:val="yellow"/>
                <w:lang w:val="en-US" w:eastAsia="en-GB"/>
              </w:rPr>
            </w:pPr>
          </w:p>
        </w:tc>
        <w:tc>
          <w:tcPr>
            <w:tcW w:w="1916" w:type="dxa"/>
            <w:vMerge/>
            <w:shd w:val="clear" w:color="auto" w:fill="auto"/>
            <w:vAlign w:val="center"/>
            <w:hideMark/>
          </w:tcPr>
          <w:p w14:paraId="3A69776A" w14:textId="77777777" w:rsidR="00BD154D" w:rsidRPr="007B7B78" w:rsidRDefault="00BD154D" w:rsidP="00DF2591">
            <w:pPr>
              <w:spacing w:after="0" w:line="240" w:lineRule="auto"/>
              <w:rPr>
                <w:rFonts w:eastAsia="Times New Roman" w:cs="Calibri"/>
                <w:color w:val="000000"/>
                <w:sz w:val="18"/>
                <w:szCs w:val="18"/>
                <w:highlight w:val="yellow"/>
                <w:lang w:val="en-US" w:eastAsia="en-GB"/>
              </w:rPr>
            </w:pPr>
          </w:p>
        </w:tc>
        <w:tc>
          <w:tcPr>
            <w:tcW w:w="2320" w:type="dxa"/>
            <w:shd w:val="clear" w:color="auto" w:fill="auto"/>
            <w:vAlign w:val="center"/>
            <w:hideMark/>
          </w:tcPr>
          <w:p w14:paraId="7B16E8BC" w14:textId="77777777" w:rsidR="00BD154D" w:rsidRPr="006D2589" w:rsidRDefault="00BD154D" w:rsidP="00DF2591">
            <w:pPr>
              <w:spacing w:after="0" w:line="240" w:lineRule="auto"/>
              <w:jc w:val="center"/>
              <w:rPr>
                <w:rFonts w:eastAsia="Times New Roman" w:cs="Calibri"/>
                <w:color w:val="000000"/>
                <w:sz w:val="18"/>
                <w:szCs w:val="18"/>
                <w:lang w:val="en-US" w:eastAsia="en-GB"/>
              </w:rPr>
            </w:pPr>
            <w:r w:rsidRPr="006D2589">
              <w:rPr>
                <w:rFonts w:eastAsia="Times New Roman" w:cs="Calibri"/>
                <w:color w:val="000000"/>
                <w:sz w:val="18"/>
                <w:szCs w:val="18"/>
                <w:lang w:val="en-US" w:eastAsia="en-GB"/>
              </w:rPr>
              <w:t>- in-kind contribution already committed by private members in project</w:t>
            </w:r>
            <w:r>
              <w:rPr>
                <w:rFonts w:eastAsia="Times New Roman" w:cs="Calibri"/>
                <w:color w:val="000000"/>
                <w:sz w:val="18"/>
                <w:szCs w:val="18"/>
                <w:lang w:val="en-US" w:eastAsia="en-GB"/>
              </w:rPr>
              <w:t>s</w:t>
            </w:r>
            <w:r w:rsidRPr="006D2589">
              <w:rPr>
                <w:rFonts w:eastAsia="Times New Roman" w:cs="Calibri"/>
                <w:color w:val="000000"/>
                <w:sz w:val="18"/>
                <w:szCs w:val="18"/>
                <w:lang w:val="en-US" w:eastAsia="en-GB"/>
              </w:rPr>
              <w:t xml:space="preserve"> selected for funding</w:t>
            </w:r>
          </w:p>
        </w:tc>
        <w:tc>
          <w:tcPr>
            <w:tcW w:w="4139" w:type="dxa"/>
            <w:vMerge/>
            <w:shd w:val="clear" w:color="auto" w:fill="auto"/>
            <w:vAlign w:val="center"/>
            <w:hideMark/>
          </w:tcPr>
          <w:p w14:paraId="38EB5C39" w14:textId="77777777" w:rsidR="00BD154D" w:rsidRPr="00B169B6" w:rsidRDefault="00BD154D" w:rsidP="00DF2591">
            <w:pPr>
              <w:spacing w:after="0" w:line="240" w:lineRule="auto"/>
              <w:rPr>
                <w:rFonts w:eastAsia="Times New Roman" w:cs="Calibri"/>
                <w:sz w:val="18"/>
                <w:szCs w:val="18"/>
                <w:highlight w:val="yellow"/>
                <w:lang w:val="en-US" w:eastAsia="en-GB"/>
              </w:rPr>
            </w:pPr>
          </w:p>
        </w:tc>
      </w:tr>
      <w:tr w:rsidR="00BD154D" w:rsidRPr="004133DA" w14:paraId="121C799C" w14:textId="77777777" w:rsidTr="00DF2591">
        <w:trPr>
          <w:trHeight w:val="901"/>
        </w:trPr>
        <w:tc>
          <w:tcPr>
            <w:tcW w:w="829" w:type="dxa"/>
            <w:vMerge/>
            <w:shd w:val="clear" w:color="auto" w:fill="auto"/>
            <w:vAlign w:val="center"/>
            <w:hideMark/>
          </w:tcPr>
          <w:p w14:paraId="361A60AC" w14:textId="77777777" w:rsidR="00BD154D" w:rsidRPr="007B7B78" w:rsidRDefault="00BD154D" w:rsidP="00DF2591">
            <w:pPr>
              <w:spacing w:after="0" w:line="240" w:lineRule="auto"/>
              <w:rPr>
                <w:rFonts w:eastAsia="Times New Roman" w:cs="Calibri"/>
                <w:color w:val="000000"/>
                <w:sz w:val="18"/>
                <w:szCs w:val="18"/>
                <w:highlight w:val="yellow"/>
                <w:lang w:val="en-US" w:eastAsia="en-GB"/>
              </w:rPr>
            </w:pPr>
          </w:p>
        </w:tc>
        <w:tc>
          <w:tcPr>
            <w:tcW w:w="1916" w:type="dxa"/>
            <w:vMerge/>
            <w:shd w:val="clear" w:color="auto" w:fill="auto"/>
            <w:vAlign w:val="center"/>
            <w:hideMark/>
          </w:tcPr>
          <w:p w14:paraId="2CFB6A4C" w14:textId="77777777" w:rsidR="00BD154D" w:rsidRPr="007B7B78" w:rsidRDefault="00BD154D" w:rsidP="00DF2591">
            <w:pPr>
              <w:spacing w:after="0" w:line="240" w:lineRule="auto"/>
              <w:rPr>
                <w:rFonts w:eastAsia="Times New Roman" w:cs="Calibri"/>
                <w:color w:val="000000"/>
                <w:sz w:val="18"/>
                <w:szCs w:val="18"/>
                <w:highlight w:val="yellow"/>
                <w:lang w:val="en-US" w:eastAsia="en-GB"/>
              </w:rPr>
            </w:pPr>
          </w:p>
        </w:tc>
        <w:tc>
          <w:tcPr>
            <w:tcW w:w="2320" w:type="dxa"/>
            <w:shd w:val="clear" w:color="auto" w:fill="auto"/>
            <w:vAlign w:val="center"/>
            <w:hideMark/>
          </w:tcPr>
          <w:p w14:paraId="4429A7D9" w14:textId="77777777" w:rsidR="00BD154D" w:rsidRPr="006D2589" w:rsidRDefault="00BD154D" w:rsidP="00DF2591">
            <w:pPr>
              <w:spacing w:after="0" w:line="240" w:lineRule="auto"/>
              <w:jc w:val="center"/>
              <w:rPr>
                <w:rFonts w:eastAsia="Times New Roman" w:cs="Calibri"/>
                <w:color w:val="000000"/>
                <w:sz w:val="18"/>
                <w:szCs w:val="18"/>
                <w:lang w:val="en-US" w:eastAsia="en-GB"/>
              </w:rPr>
            </w:pPr>
            <w:r w:rsidRPr="006D2589">
              <w:rPr>
                <w:rFonts w:eastAsia="Times New Roman" w:cs="Calibri"/>
                <w:color w:val="000000"/>
                <w:sz w:val="18"/>
                <w:szCs w:val="18"/>
                <w:lang w:val="en-US" w:eastAsia="en-GB"/>
              </w:rPr>
              <w:t>- additional activities (</w:t>
            </w:r>
            <w:proofErr w:type="gramStart"/>
            <w:r w:rsidRPr="006D2589">
              <w:rPr>
                <w:rFonts w:eastAsia="Times New Roman" w:cs="Calibri"/>
                <w:color w:val="000000"/>
                <w:sz w:val="18"/>
                <w:szCs w:val="18"/>
                <w:lang w:val="en-US" w:eastAsia="en-GB"/>
              </w:rPr>
              <w:t>i.e.</w:t>
            </w:r>
            <w:proofErr w:type="gramEnd"/>
            <w:r w:rsidRPr="006D2589">
              <w:rPr>
                <w:rFonts w:eastAsia="Times New Roman" w:cs="Calibri"/>
                <w:color w:val="000000"/>
                <w:sz w:val="18"/>
                <w:szCs w:val="18"/>
                <w:lang w:val="en-US" w:eastAsia="en-GB"/>
              </w:rPr>
              <w:t xml:space="preserve"> research expenditure/investment of industry in the sector, compared to previous year)</w:t>
            </w:r>
          </w:p>
        </w:tc>
        <w:tc>
          <w:tcPr>
            <w:tcW w:w="4139" w:type="dxa"/>
            <w:vMerge/>
            <w:shd w:val="clear" w:color="auto" w:fill="auto"/>
            <w:vAlign w:val="center"/>
            <w:hideMark/>
          </w:tcPr>
          <w:p w14:paraId="0D18F931" w14:textId="77777777" w:rsidR="00BD154D" w:rsidRPr="00B169B6" w:rsidRDefault="00BD154D" w:rsidP="00DF2591">
            <w:pPr>
              <w:spacing w:after="0" w:line="240" w:lineRule="auto"/>
              <w:rPr>
                <w:rFonts w:eastAsia="Times New Roman" w:cs="Calibri"/>
                <w:sz w:val="18"/>
                <w:szCs w:val="18"/>
                <w:highlight w:val="yellow"/>
                <w:lang w:val="en-US" w:eastAsia="en-GB"/>
              </w:rPr>
            </w:pPr>
          </w:p>
        </w:tc>
      </w:tr>
      <w:tr w:rsidR="00BD154D" w:rsidRPr="004133DA" w14:paraId="17962B44" w14:textId="77777777" w:rsidTr="00DF2591">
        <w:trPr>
          <w:trHeight w:val="4335"/>
        </w:trPr>
        <w:tc>
          <w:tcPr>
            <w:tcW w:w="829" w:type="dxa"/>
            <w:shd w:val="clear" w:color="auto" w:fill="auto"/>
            <w:vAlign w:val="center"/>
            <w:hideMark/>
          </w:tcPr>
          <w:p w14:paraId="697220F9" w14:textId="77777777" w:rsidR="00BD154D" w:rsidRPr="004133DA" w:rsidRDefault="00BD154D" w:rsidP="00DF2591">
            <w:pPr>
              <w:spacing w:after="0" w:line="240" w:lineRule="auto"/>
              <w:jc w:val="center"/>
              <w:rPr>
                <w:rFonts w:eastAsia="Times New Roman" w:cs="Calibri"/>
                <w:color w:val="000000"/>
                <w:sz w:val="18"/>
                <w:szCs w:val="18"/>
                <w:lang w:val="en-US" w:eastAsia="en-GB"/>
              </w:rPr>
            </w:pPr>
            <w:r w:rsidRPr="004133DA">
              <w:rPr>
                <w:rFonts w:eastAsia="Times New Roman" w:cs="Calibri"/>
                <w:color w:val="000000"/>
                <w:sz w:val="18"/>
                <w:szCs w:val="18"/>
                <w:lang w:val="en-US" w:eastAsia="en-GB"/>
              </w:rPr>
              <w:lastRenderedPageBreak/>
              <w:t>13.3</w:t>
            </w:r>
          </w:p>
        </w:tc>
        <w:tc>
          <w:tcPr>
            <w:tcW w:w="1916" w:type="dxa"/>
            <w:shd w:val="clear" w:color="auto" w:fill="auto"/>
            <w:vAlign w:val="center"/>
            <w:hideMark/>
          </w:tcPr>
          <w:p w14:paraId="5A67DF5A" w14:textId="77777777" w:rsidR="00BD154D" w:rsidRPr="002E4BC7" w:rsidRDefault="00BD154D" w:rsidP="00DF2591">
            <w:pPr>
              <w:spacing w:after="0" w:line="240" w:lineRule="auto"/>
              <w:jc w:val="center"/>
              <w:rPr>
                <w:rFonts w:eastAsia="Times New Roman" w:cs="Calibri"/>
                <w:color w:val="000000"/>
                <w:sz w:val="18"/>
                <w:szCs w:val="18"/>
                <w:lang w:val="en-US" w:eastAsia="en-GB"/>
              </w:rPr>
            </w:pPr>
            <w:r w:rsidRPr="002E4BC7">
              <w:rPr>
                <w:rFonts w:eastAsia="Times New Roman" w:cs="Calibri"/>
                <w:color w:val="000000"/>
                <w:sz w:val="18"/>
                <w:szCs w:val="18"/>
                <w:lang w:val="en-US" w:eastAsia="en-GB"/>
              </w:rPr>
              <w:t>Dissemination and outreach activities other than peer-reviewed publications [conferences, workshops, press releases, publications, flyers, exhibitions, training, social media, websites, communication campaigns (</w:t>
            </w:r>
            <w:proofErr w:type="gramStart"/>
            <w:r w:rsidRPr="002E4BC7">
              <w:rPr>
                <w:rFonts w:eastAsia="Times New Roman" w:cs="Calibri"/>
                <w:color w:val="000000"/>
                <w:sz w:val="18"/>
                <w:szCs w:val="18"/>
                <w:lang w:val="en-US" w:eastAsia="en-GB"/>
              </w:rPr>
              <w:t>e.g.</w:t>
            </w:r>
            <w:proofErr w:type="gramEnd"/>
            <w:r w:rsidRPr="002E4BC7">
              <w:rPr>
                <w:rFonts w:eastAsia="Times New Roman" w:cs="Calibri"/>
                <w:color w:val="000000"/>
                <w:sz w:val="18"/>
                <w:szCs w:val="18"/>
                <w:lang w:val="en-US" w:eastAsia="en-GB"/>
              </w:rPr>
              <w:t xml:space="preserve"> radio, TV)]</w:t>
            </w:r>
          </w:p>
        </w:tc>
        <w:tc>
          <w:tcPr>
            <w:tcW w:w="2320" w:type="dxa"/>
            <w:shd w:val="clear" w:color="auto" w:fill="auto"/>
            <w:vAlign w:val="center"/>
            <w:hideMark/>
          </w:tcPr>
          <w:p w14:paraId="5DF052F0" w14:textId="77777777" w:rsidR="00BD154D" w:rsidRPr="002E4BC7" w:rsidRDefault="00BD154D" w:rsidP="00DF2591">
            <w:pPr>
              <w:spacing w:after="0" w:line="240" w:lineRule="auto"/>
              <w:jc w:val="center"/>
              <w:rPr>
                <w:rFonts w:eastAsia="Times New Roman" w:cs="Calibri"/>
                <w:color w:val="000000"/>
                <w:sz w:val="18"/>
                <w:szCs w:val="18"/>
                <w:lang w:val="en-US" w:eastAsia="en-GB"/>
              </w:rPr>
            </w:pPr>
            <w:r w:rsidRPr="002E4BC7">
              <w:rPr>
                <w:rFonts w:eastAsia="Times New Roman" w:cs="Calibri"/>
                <w:color w:val="000000"/>
                <w:sz w:val="18"/>
                <w:szCs w:val="18"/>
                <w:lang w:val="en-US" w:eastAsia="en-GB"/>
              </w:rPr>
              <w:t xml:space="preserve">A drop-down list allows </w:t>
            </w:r>
            <w:r>
              <w:rPr>
                <w:rFonts w:eastAsia="Times New Roman" w:cs="Calibri"/>
                <w:color w:val="000000"/>
                <w:sz w:val="18"/>
                <w:szCs w:val="18"/>
                <w:lang w:val="en-US" w:eastAsia="en-GB"/>
              </w:rPr>
              <w:t xml:space="preserve">for selection of </w:t>
            </w:r>
            <w:r w:rsidRPr="002E4BC7">
              <w:rPr>
                <w:rFonts w:eastAsia="Times New Roman" w:cs="Calibri"/>
                <w:color w:val="000000"/>
                <w:sz w:val="18"/>
                <w:szCs w:val="18"/>
                <w:lang w:val="en-US" w:eastAsia="en-GB"/>
              </w:rPr>
              <w:t>the type of dissemination activity. Number of events, funding amount and number of persons reached thanks to the dissemination activities</w:t>
            </w:r>
          </w:p>
        </w:tc>
        <w:tc>
          <w:tcPr>
            <w:tcW w:w="4139" w:type="dxa"/>
            <w:shd w:val="clear" w:color="auto" w:fill="auto"/>
            <w:vAlign w:val="center"/>
            <w:hideMark/>
          </w:tcPr>
          <w:p w14:paraId="67AAB9D2" w14:textId="77777777" w:rsidR="00BD154D" w:rsidRPr="00DB3704" w:rsidRDefault="00BD154D" w:rsidP="00DF2591">
            <w:pPr>
              <w:spacing w:after="0" w:line="240" w:lineRule="auto"/>
              <w:jc w:val="center"/>
              <w:rPr>
                <w:rFonts w:eastAsia="Times New Roman" w:cs="Calibri"/>
                <w:color w:val="000000"/>
                <w:sz w:val="18"/>
                <w:szCs w:val="18"/>
                <w:lang w:eastAsia="en-GB"/>
              </w:rPr>
            </w:pPr>
            <w:r w:rsidRPr="00DB3704">
              <w:rPr>
                <w:rFonts w:eastAsia="Times New Roman" w:cs="Calibri"/>
                <w:color w:val="000000"/>
                <w:sz w:val="18"/>
                <w:szCs w:val="18"/>
                <w:lang w:eastAsia="en-GB"/>
              </w:rPr>
              <w:t>Activities as reported by the projects during FCH 2 JU data collection exercise for 2020:</w:t>
            </w:r>
          </w:p>
          <w:p w14:paraId="1BA79810" w14:textId="77777777" w:rsidR="00BD154D" w:rsidRPr="00DB3704" w:rsidRDefault="00BD154D" w:rsidP="00DF2591">
            <w:pPr>
              <w:spacing w:after="0" w:line="240" w:lineRule="auto"/>
              <w:jc w:val="center"/>
              <w:rPr>
                <w:rFonts w:eastAsia="Times New Roman" w:cs="Calibri"/>
                <w:color w:val="000000"/>
                <w:sz w:val="18"/>
                <w:szCs w:val="18"/>
                <w:lang w:eastAsia="en-GB"/>
              </w:rPr>
            </w:pPr>
          </w:p>
          <w:tbl>
            <w:tblPr>
              <w:tblW w:w="0" w:type="auto"/>
              <w:jc w:val="center"/>
              <w:tblCellMar>
                <w:left w:w="0" w:type="dxa"/>
                <w:right w:w="0" w:type="dxa"/>
              </w:tblCellMar>
              <w:tblLook w:val="04A0" w:firstRow="1" w:lastRow="0" w:firstColumn="1" w:lastColumn="0" w:noHBand="0" w:noVBand="1"/>
            </w:tblPr>
            <w:tblGrid>
              <w:gridCol w:w="2826"/>
              <w:gridCol w:w="490"/>
            </w:tblGrid>
            <w:tr w:rsidR="00BD154D" w:rsidRPr="00DB3704" w14:paraId="2570AD61" w14:textId="77777777" w:rsidTr="00DF2591">
              <w:trPr>
                <w:trHeight w:val="290"/>
                <w:jc w:val="center"/>
              </w:trPr>
              <w:tc>
                <w:tcPr>
                  <w:tcW w:w="2826"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07817170" w14:textId="77777777" w:rsidR="00BD154D" w:rsidRPr="00DB3704" w:rsidRDefault="00BD154D" w:rsidP="00DF2591">
                  <w:pPr>
                    <w:spacing w:after="0" w:line="240" w:lineRule="auto"/>
                    <w:jc w:val="center"/>
                    <w:rPr>
                      <w:rFonts w:eastAsia="Times New Roman" w:cs="Calibri"/>
                      <w:b/>
                      <w:bCs/>
                      <w:color w:val="000000"/>
                      <w:sz w:val="18"/>
                      <w:szCs w:val="18"/>
                      <w:lang w:val="fr-BE" w:eastAsia="en-GB"/>
                    </w:rPr>
                  </w:pPr>
                  <w:r w:rsidRPr="00DB3704">
                    <w:rPr>
                      <w:rFonts w:eastAsia="Times New Roman" w:cs="Calibri"/>
                      <w:b/>
                      <w:bCs/>
                      <w:color w:val="000000"/>
                      <w:sz w:val="18"/>
                      <w:szCs w:val="18"/>
                      <w:lang w:val="fr-BE" w:eastAsia="en-GB"/>
                    </w:rPr>
                    <w:t xml:space="preserve">Dissemination activities </w:t>
                  </w:r>
                </w:p>
                <w:p w14:paraId="0BE97E14" w14:textId="77777777" w:rsidR="00BD154D" w:rsidRPr="00DB3704" w:rsidRDefault="00BD154D" w:rsidP="00DF2591">
                  <w:pPr>
                    <w:spacing w:after="0" w:line="240" w:lineRule="auto"/>
                    <w:jc w:val="center"/>
                    <w:rPr>
                      <w:rFonts w:eastAsia="Times New Roman" w:cs="Calibri"/>
                      <w:b/>
                      <w:bCs/>
                      <w:color w:val="000000"/>
                      <w:sz w:val="18"/>
                      <w:szCs w:val="18"/>
                      <w:lang w:val="fr-BE" w:eastAsia="en-GB"/>
                    </w:rPr>
                  </w:pPr>
                  <w:r w:rsidRPr="00DB3704">
                    <w:rPr>
                      <w:rFonts w:eastAsia="Times New Roman" w:cs="Calibri"/>
                      <w:b/>
                      <w:bCs/>
                      <w:color w:val="000000"/>
                      <w:sz w:val="18"/>
                      <w:szCs w:val="18"/>
                      <w:lang w:val="fr-BE" w:eastAsia="en-GB"/>
                    </w:rPr>
                    <w:t>(</w:t>
                  </w:r>
                  <w:proofErr w:type="gramStart"/>
                  <w:r w:rsidRPr="00DB3704">
                    <w:rPr>
                      <w:rFonts w:eastAsia="Times New Roman" w:cs="Calibri"/>
                      <w:b/>
                      <w:bCs/>
                      <w:color w:val="000000"/>
                      <w:sz w:val="18"/>
                      <w:szCs w:val="18"/>
                      <w:lang w:val="fr-BE" w:eastAsia="en-GB"/>
                    </w:rPr>
                    <w:t>excl</w:t>
                  </w:r>
                  <w:proofErr w:type="gramEnd"/>
                  <w:r w:rsidRPr="00DB3704">
                    <w:rPr>
                      <w:rFonts w:eastAsia="Times New Roman" w:cs="Calibri"/>
                      <w:b/>
                      <w:bCs/>
                      <w:color w:val="000000"/>
                      <w:sz w:val="18"/>
                      <w:szCs w:val="18"/>
                      <w:lang w:val="fr-BE" w:eastAsia="en-GB"/>
                    </w:rPr>
                    <w:t>. Scientific Publications)</w:t>
                  </w:r>
                </w:p>
                <w:p w14:paraId="17967513" w14:textId="77777777" w:rsidR="00BD154D" w:rsidRPr="00DB3704" w:rsidRDefault="00BD154D" w:rsidP="00DF2591">
                  <w:pPr>
                    <w:spacing w:after="0" w:line="240" w:lineRule="auto"/>
                    <w:jc w:val="center"/>
                    <w:rPr>
                      <w:rFonts w:eastAsia="Times New Roman" w:cs="Calibri"/>
                      <w:b/>
                      <w:bCs/>
                      <w:color w:val="000000"/>
                      <w:sz w:val="18"/>
                      <w:szCs w:val="18"/>
                      <w:lang w:eastAsia="en-GB"/>
                    </w:rPr>
                  </w:pPr>
                  <w:r w:rsidRPr="00DB3704">
                    <w:rPr>
                      <w:rFonts w:eastAsia="Times New Roman" w:cs="Calibri"/>
                      <w:b/>
                      <w:bCs/>
                      <w:color w:val="000000"/>
                      <w:sz w:val="18"/>
                      <w:szCs w:val="18"/>
                      <w:lang w:eastAsia="en-GB"/>
                    </w:rPr>
                    <w:t>(64 projects)</w:t>
                  </w:r>
                </w:p>
                <w:p w14:paraId="02160909" w14:textId="77777777" w:rsidR="00BD154D" w:rsidRPr="00DB3704" w:rsidRDefault="00BD154D" w:rsidP="00DF2591">
                  <w:pPr>
                    <w:spacing w:after="0" w:line="240" w:lineRule="auto"/>
                    <w:jc w:val="center"/>
                    <w:rPr>
                      <w:rFonts w:eastAsia="Times New Roman" w:cs="Calibri"/>
                      <w:b/>
                      <w:bCs/>
                      <w:color w:val="000000"/>
                      <w:sz w:val="18"/>
                      <w:szCs w:val="18"/>
                      <w:lang w:eastAsia="en-GB"/>
                    </w:rPr>
                  </w:pPr>
                </w:p>
              </w:tc>
              <w:tc>
                <w:tcPr>
                  <w:tcW w:w="490"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22655B6A" w14:textId="77777777" w:rsidR="00BD154D" w:rsidRPr="00DB3704" w:rsidRDefault="00BD154D" w:rsidP="00DF2591">
                  <w:pPr>
                    <w:spacing w:after="0" w:line="240" w:lineRule="auto"/>
                    <w:jc w:val="center"/>
                    <w:rPr>
                      <w:rFonts w:eastAsia="Times New Roman" w:cs="Calibri"/>
                      <w:b/>
                      <w:bCs/>
                      <w:color w:val="000000"/>
                      <w:sz w:val="18"/>
                      <w:szCs w:val="18"/>
                      <w:lang w:eastAsia="en-GB"/>
                    </w:rPr>
                  </w:pPr>
                  <w:r w:rsidRPr="00DB3704">
                    <w:rPr>
                      <w:rFonts w:eastAsia="Times New Roman" w:cs="Calibri"/>
                      <w:b/>
                      <w:bCs/>
                      <w:color w:val="000000"/>
                      <w:sz w:val="18"/>
                      <w:szCs w:val="18"/>
                      <w:lang w:eastAsia="en-GB"/>
                    </w:rPr>
                    <w:t>179</w:t>
                  </w:r>
                </w:p>
              </w:tc>
            </w:tr>
            <w:tr w:rsidR="00BD154D" w:rsidRPr="00DB3704" w14:paraId="0DCD67AB" w14:textId="77777777" w:rsidTr="00DF2591">
              <w:trPr>
                <w:trHeight w:val="290"/>
                <w:jc w:val="center"/>
              </w:trPr>
              <w:tc>
                <w:tcPr>
                  <w:tcW w:w="2826"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6EB831BC" w14:textId="77777777" w:rsidR="00BD154D" w:rsidRPr="00DB3704" w:rsidRDefault="00BD154D" w:rsidP="00DF2591">
                  <w:pPr>
                    <w:spacing w:after="0" w:line="240" w:lineRule="auto"/>
                    <w:jc w:val="center"/>
                    <w:rPr>
                      <w:rFonts w:eastAsia="Times New Roman" w:cs="Calibri"/>
                      <w:color w:val="000000"/>
                      <w:sz w:val="18"/>
                      <w:szCs w:val="18"/>
                      <w:lang w:eastAsia="en-GB"/>
                    </w:rPr>
                  </w:pPr>
                  <w:r w:rsidRPr="00DB3704">
                    <w:rPr>
                      <w:rFonts w:eastAsia="Times New Roman" w:cs="Calibri"/>
                      <w:color w:val="000000"/>
                      <w:sz w:val="18"/>
                      <w:szCs w:val="18"/>
                      <w:lang w:eastAsia="en-GB"/>
                    </w:rPr>
                    <w:t>Conferences/Events (Presentations)</w:t>
                  </w:r>
                </w:p>
              </w:tc>
              <w:tc>
                <w:tcPr>
                  <w:tcW w:w="49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B58EEC9" w14:textId="77777777" w:rsidR="00BD154D" w:rsidRPr="00DB3704" w:rsidRDefault="00BD154D" w:rsidP="00DF2591">
                  <w:pPr>
                    <w:spacing w:after="0" w:line="240" w:lineRule="auto"/>
                    <w:jc w:val="center"/>
                    <w:rPr>
                      <w:rFonts w:eastAsia="Times New Roman" w:cs="Calibri"/>
                      <w:color w:val="000000"/>
                      <w:sz w:val="18"/>
                      <w:szCs w:val="18"/>
                      <w:lang w:eastAsia="en-GB"/>
                    </w:rPr>
                  </w:pPr>
                  <w:r w:rsidRPr="00DB3704">
                    <w:rPr>
                      <w:rFonts w:eastAsia="Times New Roman" w:cs="Calibri"/>
                      <w:color w:val="000000"/>
                      <w:sz w:val="18"/>
                      <w:szCs w:val="18"/>
                      <w:lang w:eastAsia="en-GB"/>
                    </w:rPr>
                    <w:t>76</w:t>
                  </w:r>
                </w:p>
              </w:tc>
            </w:tr>
            <w:tr w:rsidR="00BD154D" w:rsidRPr="00DB3704" w14:paraId="0C82326F" w14:textId="77777777" w:rsidTr="00DF2591">
              <w:trPr>
                <w:trHeight w:val="290"/>
                <w:jc w:val="center"/>
              </w:trPr>
              <w:tc>
                <w:tcPr>
                  <w:tcW w:w="2826"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1C0ECC03" w14:textId="77777777" w:rsidR="00BD154D" w:rsidRPr="00DB3704" w:rsidRDefault="00BD154D" w:rsidP="00DF2591">
                  <w:pPr>
                    <w:spacing w:after="0" w:line="240" w:lineRule="auto"/>
                    <w:jc w:val="center"/>
                    <w:rPr>
                      <w:rFonts w:eastAsia="Times New Roman" w:cs="Calibri"/>
                      <w:color w:val="000000"/>
                      <w:sz w:val="18"/>
                      <w:szCs w:val="18"/>
                      <w:lang w:eastAsia="en-GB"/>
                    </w:rPr>
                  </w:pPr>
                  <w:r w:rsidRPr="00DB3704">
                    <w:rPr>
                      <w:rFonts w:eastAsia="Times New Roman" w:cs="Calibri"/>
                      <w:color w:val="000000"/>
                      <w:sz w:val="18"/>
                      <w:szCs w:val="18"/>
                      <w:lang w:eastAsia="en-GB"/>
                    </w:rPr>
                    <w:t>Meetings (with policy stakeholders/working groups, etc)</w:t>
                  </w:r>
                </w:p>
              </w:tc>
              <w:tc>
                <w:tcPr>
                  <w:tcW w:w="49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EB54E1A" w14:textId="77777777" w:rsidR="00BD154D" w:rsidRPr="00DB3704" w:rsidRDefault="00BD154D" w:rsidP="00DF2591">
                  <w:pPr>
                    <w:spacing w:after="0" w:line="240" w:lineRule="auto"/>
                    <w:jc w:val="center"/>
                    <w:rPr>
                      <w:rFonts w:eastAsia="Times New Roman" w:cs="Calibri"/>
                      <w:color w:val="000000"/>
                      <w:sz w:val="18"/>
                      <w:szCs w:val="18"/>
                      <w:lang w:eastAsia="en-GB"/>
                    </w:rPr>
                  </w:pPr>
                  <w:r w:rsidRPr="00DB3704">
                    <w:rPr>
                      <w:rFonts w:eastAsia="Times New Roman" w:cs="Calibri"/>
                      <w:color w:val="000000"/>
                      <w:sz w:val="18"/>
                      <w:szCs w:val="18"/>
                      <w:lang w:eastAsia="en-GB"/>
                    </w:rPr>
                    <w:t>42</w:t>
                  </w:r>
                </w:p>
              </w:tc>
            </w:tr>
            <w:tr w:rsidR="00BD154D" w:rsidRPr="00DB3704" w14:paraId="2F798D0E" w14:textId="77777777" w:rsidTr="00DF2591">
              <w:trPr>
                <w:trHeight w:val="290"/>
                <w:jc w:val="center"/>
              </w:trPr>
              <w:tc>
                <w:tcPr>
                  <w:tcW w:w="2826"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79D590E1" w14:textId="77777777" w:rsidR="00BD154D" w:rsidRPr="00DB3704" w:rsidRDefault="00BD154D" w:rsidP="00DF2591">
                  <w:pPr>
                    <w:spacing w:after="0" w:line="240" w:lineRule="auto"/>
                    <w:jc w:val="center"/>
                    <w:rPr>
                      <w:rFonts w:eastAsia="Times New Roman" w:cs="Calibri"/>
                      <w:color w:val="000000"/>
                      <w:sz w:val="18"/>
                      <w:szCs w:val="18"/>
                      <w:lang w:eastAsia="en-GB"/>
                    </w:rPr>
                  </w:pPr>
                  <w:r w:rsidRPr="00DB3704">
                    <w:rPr>
                      <w:rFonts w:eastAsia="Times New Roman" w:cs="Calibri"/>
                      <w:color w:val="000000"/>
                      <w:sz w:val="18"/>
                      <w:szCs w:val="18"/>
                      <w:lang w:eastAsia="en-GB"/>
                    </w:rPr>
                    <w:t>Education &amp; Training Activities</w:t>
                  </w:r>
                </w:p>
              </w:tc>
              <w:tc>
                <w:tcPr>
                  <w:tcW w:w="49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1240FA9" w14:textId="77777777" w:rsidR="00BD154D" w:rsidRPr="00DB3704" w:rsidRDefault="00BD154D" w:rsidP="00DF2591">
                  <w:pPr>
                    <w:spacing w:after="0" w:line="240" w:lineRule="auto"/>
                    <w:jc w:val="center"/>
                    <w:rPr>
                      <w:rFonts w:eastAsia="Times New Roman" w:cs="Calibri"/>
                      <w:color w:val="000000"/>
                      <w:sz w:val="18"/>
                      <w:szCs w:val="18"/>
                      <w:lang w:eastAsia="en-GB"/>
                    </w:rPr>
                  </w:pPr>
                  <w:r w:rsidRPr="00DB3704">
                    <w:rPr>
                      <w:rFonts w:eastAsia="Times New Roman" w:cs="Calibri"/>
                      <w:color w:val="000000"/>
                      <w:sz w:val="18"/>
                      <w:szCs w:val="18"/>
                      <w:lang w:eastAsia="en-GB"/>
                    </w:rPr>
                    <w:t>19</w:t>
                  </w:r>
                </w:p>
              </w:tc>
            </w:tr>
            <w:tr w:rsidR="00BD154D" w:rsidRPr="00DB3704" w14:paraId="5DE008DD" w14:textId="77777777" w:rsidTr="00DF2591">
              <w:trPr>
                <w:trHeight w:val="290"/>
                <w:jc w:val="center"/>
              </w:trPr>
              <w:tc>
                <w:tcPr>
                  <w:tcW w:w="2826"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65251093" w14:textId="77777777" w:rsidR="00BD154D" w:rsidRPr="00DB3704" w:rsidRDefault="00BD154D" w:rsidP="00DF2591">
                  <w:pPr>
                    <w:spacing w:after="0" w:line="240" w:lineRule="auto"/>
                    <w:jc w:val="center"/>
                    <w:rPr>
                      <w:rFonts w:eastAsia="Times New Roman" w:cs="Calibri"/>
                      <w:color w:val="000000"/>
                      <w:sz w:val="18"/>
                      <w:szCs w:val="18"/>
                      <w:lang w:eastAsia="en-GB"/>
                    </w:rPr>
                  </w:pPr>
                  <w:r w:rsidRPr="00DB3704">
                    <w:rPr>
                      <w:rFonts w:eastAsia="Times New Roman" w:cs="Calibri"/>
                      <w:color w:val="000000"/>
                      <w:sz w:val="18"/>
                      <w:szCs w:val="18"/>
                      <w:lang w:eastAsia="en-GB"/>
                    </w:rPr>
                    <w:t>Collaboration with EU projects</w:t>
                  </w:r>
                </w:p>
              </w:tc>
              <w:tc>
                <w:tcPr>
                  <w:tcW w:w="49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9F9C3F9" w14:textId="77777777" w:rsidR="00BD154D" w:rsidRPr="00DB3704" w:rsidRDefault="00BD154D" w:rsidP="00DF2591">
                  <w:pPr>
                    <w:spacing w:after="0" w:line="240" w:lineRule="auto"/>
                    <w:jc w:val="center"/>
                    <w:rPr>
                      <w:rFonts w:eastAsia="Times New Roman" w:cs="Calibri"/>
                      <w:color w:val="000000"/>
                      <w:sz w:val="18"/>
                      <w:szCs w:val="18"/>
                      <w:lang w:eastAsia="en-GB"/>
                    </w:rPr>
                  </w:pPr>
                  <w:r w:rsidRPr="00DB3704">
                    <w:rPr>
                      <w:rFonts w:eastAsia="Times New Roman" w:cs="Calibri"/>
                      <w:color w:val="000000"/>
                      <w:sz w:val="18"/>
                      <w:szCs w:val="18"/>
                      <w:lang w:eastAsia="en-GB"/>
                    </w:rPr>
                    <w:t>12</w:t>
                  </w:r>
                </w:p>
              </w:tc>
            </w:tr>
            <w:tr w:rsidR="00BD154D" w:rsidRPr="00DB3704" w14:paraId="1B5046B7" w14:textId="77777777" w:rsidTr="00DF2591">
              <w:trPr>
                <w:trHeight w:val="290"/>
                <w:jc w:val="center"/>
              </w:trPr>
              <w:tc>
                <w:tcPr>
                  <w:tcW w:w="2826"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76C0E537" w14:textId="77777777" w:rsidR="00BD154D" w:rsidRPr="00DB3704" w:rsidRDefault="00BD154D" w:rsidP="00DF2591">
                  <w:pPr>
                    <w:spacing w:after="0" w:line="240" w:lineRule="auto"/>
                    <w:jc w:val="center"/>
                    <w:rPr>
                      <w:rFonts w:eastAsia="Times New Roman" w:cs="Calibri"/>
                      <w:color w:val="000000"/>
                      <w:sz w:val="18"/>
                      <w:szCs w:val="18"/>
                      <w:lang w:eastAsia="en-GB"/>
                    </w:rPr>
                  </w:pPr>
                  <w:r w:rsidRPr="00DB3704">
                    <w:rPr>
                      <w:rFonts w:eastAsia="Times New Roman" w:cs="Calibri"/>
                      <w:color w:val="000000"/>
                      <w:sz w:val="18"/>
                      <w:szCs w:val="18"/>
                      <w:lang w:eastAsia="en-GB"/>
                    </w:rPr>
                    <w:t>Press Releases, Newsletters, Videos, Interviews</w:t>
                  </w:r>
                </w:p>
              </w:tc>
              <w:tc>
                <w:tcPr>
                  <w:tcW w:w="49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1267480" w14:textId="77777777" w:rsidR="00BD154D" w:rsidRPr="00DB3704" w:rsidRDefault="00BD154D" w:rsidP="00DF2591">
                  <w:pPr>
                    <w:spacing w:after="0" w:line="240" w:lineRule="auto"/>
                    <w:jc w:val="center"/>
                    <w:rPr>
                      <w:rFonts w:eastAsia="Times New Roman" w:cs="Calibri"/>
                      <w:color w:val="000000"/>
                      <w:sz w:val="18"/>
                      <w:szCs w:val="18"/>
                      <w:lang w:eastAsia="en-GB"/>
                    </w:rPr>
                  </w:pPr>
                  <w:r w:rsidRPr="00DB3704">
                    <w:rPr>
                      <w:rFonts w:eastAsia="Times New Roman" w:cs="Calibri"/>
                      <w:color w:val="000000"/>
                      <w:sz w:val="18"/>
                      <w:szCs w:val="18"/>
                      <w:lang w:eastAsia="en-GB"/>
                    </w:rPr>
                    <w:t>10</w:t>
                  </w:r>
                </w:p>
              </w:tc>
            </w:tr>
            <w:tr w:rsidR="00BD154D" w:rsidRPr="00DB3704" w14:paraId="2A0558C0" w14:textId="77777777" w:rsidTr="00DF2591">
              <w:trPr>
                <w:trHeight w:val="290"/>
                <w:jc w:val="center"/>
              </w:trPr>
              <w:tc>
                <w:tcPr>
                  <w:tcW w:w="2826"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71B5A9C0" w14:textId="77777777" w:rsidR="00BD154D" w:rsidRPr="00DB3704" w:rsidRDefault="00BD154D" w:rsidP="00DF2591">
                  <w:pPr>
                    <w:spacing w:after="0" w:line="240" w:lineRule="auto"/>
                    <w:jc w:val="center"/>
                    <w:rPr>
                      <w:rFonts w:eastAsia="Times New Roman" w:cs="Calibri"/>
                      <w:color w:val="000000"/>
                      <w:sz w:val="18"/>
                      <w:szCs w:val="18"/>
                      <w:lang w:eastAsia="en-GB"/>
                    </w:rPr>
                  </w:pPr>
                  <w:r w:rsidRPr="00DB3704">
                    <w:rPr>
                      <w:rFonts w:eastAsia="Times New Roman" w:cs="Calibri"/>
                      <w:color w:val="000000"/>
                      <w:sz w:val="18"/>
                      <w:szCs w:val="18"/>
                      <w:lang w:eastAsia="en-GB"/>
                    </w:rPr>
                    <w:t>Clustering Activities</w:t>
                  </w:r>
                </w:p>
              </w:tc>
              <w:tc>
                <w:tcPr>
                  <w:tcW w:w="49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13E31B2" w14:textId="77777777" w:rsidR="00BD154D" w:rsidRPr="00DB3704" w:rsidRDefault="00BD154D" w:rsidP="00DF2591">
                  <w:pPr>
                    <w:spacing w:after="0" w:line="240" w:lineRule="auto"/>
                    <w:jc w:val="center"/>
                    <w:rPr>
                      <w:rFonts w:eastAsia="Times New Roman" w:cs="Calibri"/>
                      <w:color w:val="000000"/>
                      <w:sz w:val="18"/>
                      <w:szCs w:val="18"/>
                      <w:lang w:eastAsia="en-GB"/>
                    </w:rPr>
                  </w:pPr>
                  <w:r w:rsidRPr="00DB3704">
                    <w:rPr>
                      <w:rFonts w:eastAsia="Times New Roman" w:cs="Calibri"/>
                      <w:color w:val="000000"/>
                      <w:sz w:val="18"/>
                      <w:szCs w:val="18"/>
                      <w:lang w:eastAsia="en-GB"/>
                    </w:rPr>
                    <w:t>7</w:t>
                  </w:r>
                </w:p>
              </w:tc>
            </w:tr>
            <w:tr w:rsidR="00BD154D" w:rsidRPr="00DB3704" w14:paraId="17B59351" w14:textId="77777777" w:rsidTr="00DF2591">
              <w:trPr>
                <w:trHeight w:val="290"/>
                <w:jc w:val="center"/>
              </w:trPr>
              <w:tc>
                <w:tcPr>
                  <w:tcW w:w="2826"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2A2A847C" w14:textId="77777777" w:rsidR="00BD154D" w:rsidRPr="00DB3704" w:rsidRDefault="00BD154D" w:rsidP="00DF2591">
                  <w:pPr>
                    <w:spacing w:after="0" w:line="240" w:lineRule="auto"/>
                    <w:jc w:val="center"/>
                    <w:rPr>
                      <w:rFonts w:eastAsia="Times New Roman" w:cs="Calibri"/>
                      <w:color w:val="000000"/>
                      <w:sz w:val="18"/>
                      <w:szCs w:val="18"/>
                      <w:lang w:eastAsia="en-GB"/>
                    </w:rPr>
                  </w:pPr>
                  <w:r w:rsidRPr="00DB3704">
                    <w:rPr>
                      <w:rFonts w:eastAsia="Times New Roman" w:cs="Calibri"/>
                      <w:color w:val="000000"/>
                      <w:sz w:val="18"/>
                      <w:szCs w:val="18"/>
                      <w:lang w:eastAsia="en-GB"/>
                    </w:rPr>
                    <w:t>Workshops, webinars</w:t>
                  </w:r>
                </w:p>
              </w:tc>
              <w:tc>
                <w:tcPr>
                  <w:tcW w:w="49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C294E82" w14:textId="77777777" w:rsidR="00BD154D" w:rsidRPr="00DB3704" w:rsidRDefault="00BD154D" w:rsidP="00DF2591">
                  <w:pPr>
                    <w:spacing w:after="0" w:line="240" w:lineRule="auto"/>
                    <w:jc w:val="center"/>
                    <w:rPr>
                      <w:rFonts w:eastAsia="Times New Roman" w:cs="Calibri"/>
                      <w:color w:val="000000"/>
                      <w:sz w:val="18"/>
                      <w:szCs w:val="18"/>
                      <w:lang w:eastAsia="en-GB"/>
                    </w:rPr>
                  </w:pPr>
                  <w:r w:rsidRPr="00DB3704">
                    <w:rPr>
                      <w:rFonts w:eastAsia="Times New Roman" w:cs="Calibri"/>
                      <w:color w:val="000000"/>
                      <w:sz w:val="18"/>
                      <w:szCs w:val="18"/>
                      <w:lang w:eastAsia="en-GB"/>
                    </w:rPr>
                    <w:t>4</w:t>
                  </w:r>
                </w:p>
              </w:tc>
            </w:tr>
            <w:tr w:rsidR="00BD154D" w:rsidRPr="00DB3704" w14:paraId="6FE28AA7" w14:textId="77777777" w:rsidTr="00DF2591">
              <w:trPr>
                <w:trHeight w:val="290"/>
                <w:jc w:val="center"/>
              </w:trPr>
              <w:tc>
                <w:tcPr>
                  <w:tcW w:w="2826"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2BE145D8" w14:textId="77777777" w:rsidR="00BD154D" w:rsidRPr="00DB3704" w:rsidRDefault="00BD154D" w:rsidP="00DF2591">
                  <w:pPr>
                    <w:spacing w:after="0" w:line="240" w:lineRule="auto"/>
                    <w:jc w:val="center"/>
                    <w:rPr>
                      <w:rFonts w:eastAsia="Times New Roman" w:cs="Calibri"/>
                      <w:color w:val="000000"/>
                      <w:sz w:val="18"/>
                      <w:szCs w:val="18"/>
                      <w:lang w:eastAsia="en-GB"/>
                    </w:rPr>
                  </w:pPr>
                  <w:r w:rsidRPr="00DB3704">
                    <w:rPr>
                      <w:rFonts w:eastAsia="Times New Roman" w:cs="Calibri"/>
                      <w:color w:val="000000"/>
                      <w:sz w:val="18"/>
                      <w:szCs w:val="18"/>
                      <w:lang w:eastAsia="en-GB"/>
                    </w:rPr>
                    <w:t>Publications, brochures, leaflets etc</w:t>
                  </w:r>
                </w:p>
              </w:tc>
              <w:tc>
                <w:tcPr>
                  <w:tcW w:w="49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C414AE1" w14:textId="77777777" w:rsidR="00BD154D" w:rsidRPr="00DB3704" w:rsidRDefault="00BD154D" w:rsidP="00DF2591">
                  <w:pPr>
                    <w:spacing w:after="0" w:line="240" w:lineRule="auto"/>
                    <w:jc w:val="center"/>
                    <w:rPr>
                      <w:rFonts w:eastAsia="Times New Roman" w:cs="Calibri"/>
                      <w:color w:val="000000"/>
                      <w:sz w:val="18"/>
                      <w:szCs w:val="18"/>
                      <w:lang w:eastAsia="en-GB"/>
                    </w:rPr>
                  </w:pPr>
                  <w:r w:rsidRPr="00DB3704">
                    <w:rPr>
                      <w:rFonts w:eastAsia="Times New Roman" w:cs="Calibri"/>
                      <w:color w:val="000000"/>
                      <w:sz w:val="18"/>
                      <w:szCs w:val="18"/>
                      <w:lang w:eastAsia="en-GB"/>
                    </w:rPr>
                    <w:t>4</w:t>
                  </w:r>
                </w:p>
              </w:tc>
            </w:tr>
          </w:tbl>
          <w:p w14:paraId="60EE1EAE" w14:textId="77777777" w:rsidR="00BD154D" w:rsidRPr="00DB3704" w:rsidRDefault="00BD154D" w:rsidP="00DF2591">
            <w:pPr>
              <w:spacing w:after="0" w:line="240" w:lineRule="auto"/>
              <w:jc w:val="center"/>
              <w:rPr>
                <w:rFonts w:eastAsia="Times New Roman" w:cs="Calibri"/>
                <w:color w:val="000000"/>
                <w:sz w:val="18"/>
                <w:szCs w:val="18"/>
                <w:lang w:eastAsia="en-GB"/>
              </w:rPr>
            </w:pPr>
          </w:p>
          <w:tbl>
            <w:tblPr>
              <w:tblW w:w="0" w:type="auto"/>
              <w:jc w:val="center"/>
              <w:tblCellMar>
                <w:left w:w="0" w:type="dxa"/>
                <w:right w:w="0" w:type="dxa"/>
              </w:tblCellMar>
              <w:tblLook w:val="04A0" w:firstRow="1" w:lastRow="0" w:firstColumn="1" w:lastColumn="0" w:noHBand="0" w:noVBand="1"/>
            </w:tblPr>
            <w:tblGrid>
              <w:gridCol w:w="1912"/>
              <w:gridCol w:w="399"/>
            </w:tblGrid>
            <w:tr w:rsidR="00BD154D" w:rsidRPr="00DB3704" w14:paraId="1C4B0E46" w14:textId="77777777" w:rsidTr="00DF2591">
              <w:trPr>
                <w:trHeight w:val="290"/>
                <w:jc w:val="center"/>
              </w:trPr>
              <w:tc>
                <w:tcPr>
                  <w:tcW w:w="1912"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2A1BD659" w14:textId="77777777" w:rsidR="00BD154D" w:rsidRPr="00DB3704" w:rsidRDefault="00BD154D" w:rsidP="00DF2591">
                  <w:pPr>
                    <w:spacing w:after="0" w:line="240" w:lineRule="auto"/>
                    <w:jc w:val="center"/>
                    <w:rPr>
                      <w:rFonts w:eastAsia="Times New Roman" w:cs="Calibri"/>
                      <w:b/>
                      <w:bCs/>
                      <w:color w:val="000000"/>
                      <w:sz w:val="18"/>
                      <w:szCs w:val="18"/>
                      <w:lang w:eastAsia="en-GB"/>
                    </w:rPr>
                  </w:pPr>
                  <w:r w:rsidRPr="00DB3704">
                    <w:rPr>
                      <w:rFonts w:eastAsia="Times New Roman" w:cs="Calibri"/>
                      <w:b/>
                      <w:bCs/>
                      <w:color w:val="000000"/>
                      <w:sz w:val="18"/>
                      <w:szCs w:val="18"/>
                      <w:lang w:eastAsia="en-GB"/>
                    </w:rPr>
                    <w:t>PRD 2020 (85 projects)</w:t>
                  </w:r>
                </w:p>
              </w:tc>
              <w:tc>
                <w:tcPr>
                  <w:tcW w:w="399"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08FAE5B5" w14:textId="77777777" w:rsidR="00BD154D" w:rsidRPr="00DB3704" w:rsidRDefault="00BD154D" w:rsidP="00DF2591">
                  <w:pPr>
                    <w:spacing w:after="0" w:line="240" w:lineRule="auto"/>
                    <w:jc w:val="center"/>
                    <w:rPr>
                      <w:rFonts w:eastAsia="Times New Roman" w:cs="Calibri"/>
                      <w:color w:val="000000"/>
                      <w:sz w:val="18"/>
                      <w:szCs w:val="18"/>
                      <w:lang w:eastAsia="en-GB"/>
                    </w:rPr>
                  </w:pPr>
                  <w:r w:rsidRPr="00DB3704">
                    <w:rPr>
                      <w:rFonts w:eastAsia="Times New Roman" w:cs="Calibri"/>
                      <w:color w:val="000000"/>
                      <w:sz w:val="18"/>
                      <w:szCs w:val="18"/>
                      <w:lang w:eastAsia="en-GB"/>
                    </w:rPr>
                    <w:t> </w:t>
                  </w:r>
                </w:p>
              </w:tc>
            </w:tr>
            <w:tr w:rsidR="00BD154D" w:rsidRPr="00DB3704" w14:paraId="798563EC" w14:textId="77777777" w:rsidTr="00DF2591">
              <w:trPr>
                <w:trHeight w:val="290"/>
                <w:jc w:val="center"/>
              </w:trPr>
              <w:tc>
                <w:tcPr>
                  <w:tcW w:w="1912"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066F4BC8" w14:textId="77777777" w:rsidR="00BD154D" w:rsidRPr="00DB3704" w:rsidRDefault="00BD154D" w:rsidP="00DF2591">
                  <w:pPr>
                    <w:spacing w:after="0" w:line="240" w:lineRule="auto"/>
                    <w:jc w:val="center"/>
                    <w:rPr>
                      <w:rFonts w:eastAsia="Times New Roman" w:cs="Calibri"/>
                      <w:color w:val="000000"/>
                      <w:sz w:val="18"/>
                      <w:szCs w:val="18"/>
                      <w:lang w:eastAsia="en-GB"/>
                    </w:rPr>
                  </w:pPr>
                  <w:r w:rsidRPr="00DB3704">
                    <w:rPr>
                      <w:rFonts w:eastAsia="Times New Roman" w:cs="Calibri"/>
                      <w:color w:val="000000"/>
                      <w:sz w:val="18"/>
                      <w:szCs w:val="18"/>
                      <w:lang w:eastAsia="en-GB"/>
                    </w:rPr>
                    <w:t>Websites</w:t>
                  </w:r>
                </w:p>
              </w:tc>
              <w:tc>
                <w:tcPr>
                  <w:tcW w:w="399"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6BADB8B" w14:textId="77777777" w:rsidR="00BD154D" w:rsidRPr="00DB3704" w:rsidRDefault="00BD154D" w:rsidP="00DF2591">
                  <w:pPr>
                    <w:spacing w:after="0" w:line="240" w:lineRule="auto"/>
                    <w:jc w:val="center"/>
                    <w:rPr>
                      <w:rFonts w:eastAsia="Times New Roman" w:cs="Calibri"/>
                      <w:color w:val="000000"/>
                      <w:sz w:val="18"/>
                      <w:szCs w:val="18"/>
                      <w:lang w:eastAsia="en-GB"/>
                    </w:rPr>
                  </w:pPr>
                  <w:r w:rsidRPr="00DB3704">
                    <w:rPr>
                      <w:sz w:val="18"/>
                      <w:szCs w:val="18"/>
                    </w:rPr>
                    <w:t>85</w:t>
                  </w:r>
                </w:p>
              </w:tc>
            </w:tr>
            <w:tr w:rsidR="00BD154D" w:rsidRPr="00DB3704" w14:paraId="62A9AA5B" w14:textId="77777777" w:rsidTr="00DF2591">
              <w:trPr>
                <w:trHeight w:val="290"/>
                <w:jc w:val="center"/>
              </w:trPr>
              <w:tc>
                <w:tcPr>
                  <w:tcW w:w="1912"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0D573B77" w14:textId="77777777" w:rsidR="00BD154D" w:rsidRPr="00DB3704" w:rsidRDefault="00BD154D" w:rsidP="00DF2591">
                  <w:pPr>
                    <w:spacing w:after="0" w:line="240" w:lineRule="auto"/>
                    <w:jc w:val="center"/>
                    <w:rPr>
                      <w:rFonts w:eastAsia="Times New Roman" w:cs="Calibri"/>
                      <w:color w:val="000000"/>
                      <w:sz w:val="18"/>
                      <w:szCs w:val="18"/>
                      <w:lang w:eastAsia="en-GB"/>
                    </w:rPr>
                  </w:pPr>
                  <w:r w:rsidRPr="00DB3704">
                    <w:rPr>
                      <w:rFonts w:eastAsia="Times New Roman" w:cs="Calibri"/>
                      <w:color w:val="000000"/>
                      <w:sz w:val="18"/>
                      <w:szCs w:val="18"/>
                      <w:lang w:eastAsia="en-GB"/>
                    </w:rPr>
                    <w:t>Twitter accounts</w:t>
                  </w:r>
                </w:p>
              </w:tc>
              <w:tc>
                <w:tcPr>
                  <w:tcW w:w="399"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690F8E7" w14:textId="77777777" w:rsidR="00BD154D" w:rsidRPr="00DB3704" w:rsidRDefault="00BD154D" w:rsidP="00DF2591">
                  <w:pPr>
                    <w:spacing w:after="0" w:line="240" w:lineRule="auto"/>
                    <w:jc w:val="center"/>
                    <w:rPr>
                      <w:rFonts w:eastAsia="Times New Roman" w:cs="Calibri"/>
                      <w:color w:val="000000"/>
                      <w:sz w:val="18"/>
                      <w:szCs w:val="18"/>
                      <w:lang w:eastAsia="en-GB"/>
                    </w:rPr>
                  </w:pPr>
                  <w:r w:rsidRPr="00DB3704">
                    <w:rPr>
                      <w:sz w:val="18"/>
                      <w:szCs w:val="18"/>
                    </w:rPr>
                    <w:t>52</w:t>
                  </w:r>
                </w:p>
              </w:tc>
            </w:tr>
            <w:tr w:rsidR="00BD154D" w:rsidRPr="00DB3704" w14:paraId="6385D25F" w14:textId="77777777" w:rsidTr="00DF2591">
              <w:trPr>
                <w:trHeight w:val="290"/>
                <w:jc w:val="center"/>
              </w:trPr>
              <w:tc>
                <w:tcPr>
                  <w:tcW w:w="1912"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21F9493D" w14:textId="77777777" w:rsidR="00BD154D" w:rsidRPr="00DB3704" w:rsidRDefault="00BD154D" w:rsidP="00DF2591">
                  <w:pPr>
                    <w:spacing w:after="0" w:line="240" w:lineRule="auto"/>
                    <w:jc w:val="center"/>
                    <w:rPr>
                      <w:rFonts w:eastAsia="Times New Roman" w:cs="Calibri"/>
                      <w:color w:val="000000"/>
                      <w:sz w:val="18"/>
                      <w:szCs w:val="18"/>
                      <w:lang w:eastAsia="en-GB"/>
                    </w:rPr>
                  </w:pPr>
                  <w:r w:rsidRPr="00DB3704">
                    <w:rPr>
                      <w:rFonts w:eastAsia="Times New Roman" w:cs="Calibri"/>
                      <w:color w:val="000000"/>
                      <w:sz w:val="18"/>
                      <w:szCs w:val="18"/>
                      <w:lang w:eastAsia="en-GB"/>
                    </w:rPr>
                    <w:t>LinkedIn accounts</w:t>
                  </w:r>
                </w:p>
              </w:tc>
              <w:tc>
                <w:tcPr>
                  <w:tcW w:w="399"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37B7D60" w14:textId="77777777" w:rsidR="00BD154D" w:rsidRPr="00DB3704" w:rsidRDefault="00BD154D" w:rsidP="00DF2591">
                  <w:pPr>
                    <w:spacing w:after="0" w:line="240" w:lineRule="auto"/>
                    <w:jc w:val="center"/>
                    <w:rPr>
                      <w:rFonts w:eastAsia="Times New Roman" w:cs="Calibri"/>
                      <w:color w:val="000000"/>
                      <w:sz w:val="18"/>
                      <w:szCs w:val="18"/>
                      <w:lang w:eastAsia="en-GB"/>
                    </w:rPr>
                  </w:pPr>
                  <w:r w:rsidRPr="00DB3704">
                    <w:rPr>
                      <w:sz w:val="18"/>
                      <w:szCs w:val="18"/>
                    </w:rPr>
                    <w:t>68</w:t>
                  </w:r>
                </w:p>
              </w:tc>
            </w:tr>
          </w:tbl>
          <w:p w14:paraId="1FE46227" w14:textId="77777777" w:rsidR="00BD154D" w:rsidRPr="00DB3704" w:rsidRDefault="00BD154D" w:rsidP="00DF2591">
            <w:pPr>
              <w:spacing w:after="0" w:line="240" w:lineRule="auto"/>
              <w:jc w:val="center"/>
              <w:rPr>
                <w:rFonts w:eastAsia="Times New Roman" w:cs="Calibri"/>
                <w:color w:val="000000"/>
                <w:sz w:val="18"/>
                <w:szCs w:val="18"/>
                <w:lang w:eastAsia="en-GB"/>
              </w:rPr>
            </w:pPr>
          </w:p>
        </w:tc>
      </w:tr>
      <w:tr w:rsidR="00BD154D" w:rsidRPr="004133DA" w14:paraId="27CFFC08" w14:textId="77777777" w:rsidTr="00DF2591">
        <w:trPr>
          <w:trHeight w:val="2669"/>
        </w:trPr>
        <w:tc>
          <w:tcPr>
            <w:tcW w:w="829" w:type="dxa"/>
            <w:shd w:val="clear" w:color="auto" w:fill="auto"/>
            <w:vAlign w:val="center"/>
            <w:hideMark/>
          </w:tcPr>
          <w:p w14:paraId="770692E9" w14:textId="77777777" w:rsidR="00BD154D" w:rsidRPr="004133DA" w:rsidRDefault="00BD154D" w:rsidP="00DF2591">
            <w:pPr>
              <w:spacing w:after="0" w:line="240" w:lineRule="auto"/>
              <w:jc w:val="center"/>
              <w:rPr>
                <w:rFonts w:eastAsia="Times New Roman" w:cs="Calibri"/>
                <w:color w:val="000000"/>
                <w:sz w:val="18"/>
                <w:szCs w:val="18"/>
                <w:lang w:val="en-US" w:eastAsia="en-GB"/>
              </w:rPr>
            </w:pPr>
            <w:r w:rsidRPr="004133DA">
              <w:rPr>
                <w:rFonts w:eastAsia="Times New Roman" w:cs="Calibri"/>
                <w:color w:val="000000"/>
                <w:sz w:val="18"/>
                <w:szCs w:val="18"/>
                <w:lang w:val="en-US" w:eastAsia="en-GB"/>
              </w:rPr>
              <w:t>14.2</w:t>
            </w:r>
          </w:p>
        </w:tc>
        <w:tc>
          <w:tcPr>
            <w:tcW w:w="1916" w:type="dxa"/>
            <w:shd w:val="clear" w:color="auto" w:fill="auto"/>
            <w:vAlign w:val="center"/>
            <w:hideMark/>
          </w:tcPr>
          <w:p w14:paraId="523EF239" w14:textId="77777777" w:rsidR="00BD154D" w:rsidRPr="004133DA" w:rsidRDefault="00BD154D" w:rsidP="00DF2591">
            <w:pPr>
              <w:spacing w:after="0" w:line="240" w:lineRule="auto"/>
              <w:jc w:val="center"/>
              <w:rPr>
                <w:rFonts w:eastAsia="Times New Roman" w:cs="Calibri"/>
                <w:color w:val="000000"/>
                <w:sz w:val="18"/>
                <w:szCs w:val="18"/>
                <w:lang w:val="en-US" w:eastAsia="en-GB"/>
              </w:rPr>
            </w:pPr>
            <w:r w:rsidRPr="004133DA">
              <w:rPr>
                <w:rFonts w:eastAsia="Times New Roman" w:cs="Calibri"/>
                <w:color w:val="000000"/>
                <w:sz w:val="18"/>
                <w:szCs w:val="18"/>
                <w:lang w:val="en-US" w:eastAsia="en-GB"/>
              </w:rPr>
              <w:t>Proposal evaluators by country</w:t>
            </w:r>
          </w:p>
        </w:tc>
        <w:tc>
          <w:tcPr>
            <w:tcW w:w="2320" w:type="dxa"/>
            <w:shd w:val="clear" w:color="auto" w:fill="auto"/>
            <w:vAlign w:val="center"/>
            <w:hideMark/>
          </w:tcPr>
          <w:p w14:paraId="53DF5F08" w14:textId="77777777" w:rsidR="00BD154D" w:rsidRPr="004133DA" w:rsidRDefault="00BD154D" w:rsidP="00DF2591">
            <w:pPr>
              <w:spacing w:after="0" w:line="240" w:lineRule="auto"/>
              <w:jc w:val="center"/>
              <w:rPr>
                <w:rFonts w:eastAsia="Times New Roman" w:cs="Calibri"/>
                <w:color w:val="000000"/>
                <w:sz w:val="18"/>
                <w:szCs w:val="18"/>
                <w:lang w:val="en-US" w:eastAsia="en-GB"/>
              </w:rPr>
            </w:pPr>
            <w:r w:rsidRPr="004133DA">
              <w:rPr>
                <w:rFonts w:eastAsia="Times New Roman" w:cs="Calibri"/>
                <w:color w:val="000000"/>
                <w:sz w:val="18"/>
                <w:szCs w:val="18"/>
                <w:lang w:val="en-US" w:eastAsia="en-GB"/>
              </w:rPr>
              <w:t>Nationality of proposal evaluators</w:t>
            </w:r>
            <w:r>
              <w:rPr>
                <w:rFonts w:eastAsia="Times New Roman" w:cs="Calibri"/>
                <w:color w:val="000000"/>
                <w:sz w:val="18"/>
                <w:szCs w:val="18"/>
                <w:lang w:val="en-US" w:eastAsia="en-GB"/>
              </w:rPr>
              <w:t xml:space="preserve"> (at pool level)</w:t>
            </w:r>
          </w:p>
        </w:tc>
        <w:tc>
          <w:tcPr>
            <w:tcW w:w="4139" w:type="dxa"/>
            <w:shd w:val="clear" w:color="auto" w:fill="auto"/>
            <w:vAlign w:val="center"/>
            <w:hideMark/>
          </w:tcPr>
          <w:p w14:paraId="3B4D8615" w14:textId="77777777" w:rsidR="00BD154D" w:rsidRPr="00DB3704" w:rsidRDefault="00BD154D" w:rsidP="00DF2591">
            <w:pPr>
              <w:spacing w:after="0" w:line="240" w:lineRule="auto"/>
              <w:jc w:val="center"/>
              <w:rPr>
                <w:rFonts w:eastAsia="Times New Roman" w:cs="Calibri"/>
                <w:sz w:val="18"/>
                <w:szCs w:val="18"/>
                <w:lang w:val="en-US" w:eastAsia="en-GB"/>
              </w:rPr>
            </w:pPr>
            <w:r w:rsidRPr="00DB3704">
              <w:rPr>
                <w:rFonts w:eastAsia="Times New Roman" w:cs="Calibri"/>
                <w:sz w:val="18"/>
                <w:szCs w:val="18"/>
                <w:lang w:val="en-US" w:eastAsia="en-GB"/>
              </w:rPr>
              <w:t xml:space="preserve">N/A </w:t>
            </w:r>
          </w:p>
          <w:p w14:paraId="281D94BE" w14:textId="77777777" w:rsidR="00BD154D" w:rsidRPr="00DB3704" w:rsidRDefault="00BD154D" w:rsidP="00DF2591">
            <w:pPr>
              <w:spacing w:after="0" w:line="240" w:lineRule="auto"/>
              <w:jc w:val="center"/>
              <w:rPr>
                <w:rFonts w:eastAsia="Times New Roman" w:cs="Calibri"/>
                <w:sz w:val="18"/>
                <w:szCs w:val="18"/>
                <w:lang w:val="en-US" w:eastAsia="en-GB"/>
              </w:rPr>
            </w:pPr>
            <w:r w:rsidRPr="00DB3704">
              <w:rPr>
                <w:rFonts w:eastAsia="Times New Roman" w:cs="Calibri"/>
                <w:sz w:val="18"/>
                <w:szCs w:val="18"/>
                <w:lang w:val="en-US" w:eastAsia="en-GB"/>
              </w:rPr>
              <w:t>(</w:t>
            </w:r>
            <w:proofErr w:type="gramStart"/>
            <w:r w:rsidRPr="00DB3704">
              <w:rPr>
                <w:rFonts w:eastAsia="Times New Roman" w:cs="Calibri"/>
                <w:sz w:val="18"/>
                <w:szCs w:val="18"/>
                <w:lang w:val="en-US" w:eastAsia="en-GB"/>
              </w:rPr>
              <w:t>no</w:t>
            </w:r>
            <w:proofErr w:type="gramEnd"/>
            <w:r w:rsidRPr="00DB3704">
              <w:rPr>
                <w:rFonts w:eastAsia="Times New Roman" w:cs="Calibri"/>
                <w:sz w:val="18"/>
                <w:szCs w:val="18"/>
                <w:lang w:val="en-US" w:eastAsia="en-GB"/>
              </w:rPr>
              <w:t xml:space="preserve"> evaluations in 2021)</w:t>
            </w:r>
          </w:p>
          <w:p w14:paraId="11E010F2" w14:textId="77777777" w:rsidR="00BD154D" w:rsidRPr="00DB3704" w:rsidRDefault="00BD154D" w:rsidP="00DF2591">
            <w:pPr>
              <w:spacing w:after="0" w:line="240" w:lineRule="auto"/>
              <w:jc w:val="center"/>
              <w:rPr>
                <w:rFonts w:eastAsia="Times New Roman" w:cs="Calibri"/>
                <w:sz w:val="18"/>
                <w:szCs w:val="18"/>
                <w:lang w:val="en-US" w:eastAsia="en-GB"/>
              </w:rPr>
            </w:pPr>
          </w:p>
          <w:p w14:paraId="5BF6D82C" w14:textId="77777777" w:rsidR="00BD154D" w:rsidRPr="00DB3704" w:rsidRDefault="00BD154D" w:rsidP="00DF2591">
            <w:pPr>
              <w:spacing w:after="0" w:line="240" w:lineRule="auto"/>
              <w:jc w:val="center"/>
              <w:rPr>
                <w:rFonts w:eastAsia="Times New Roman" w:cs="Calibri"/>
                <w:sz w:val="18"/>
                <w:szCs w:val="18"/>
                <w:lang w:val="en-US" w:eastAsia="en-GB"/>
              </w:rPr>
            </w:pPr>
          </w:p>
        </w:tc>
      </w:tr>
      <w:tr w:rsidR="00BD154D" w:rsidRPr="004133DA" w14:paraId="3B8A7CE6" w14:textId="77777777" w:rsidTr="00DF2591">
        <w:trPr>
          <w:trHeight w:val="2527"/>
        </w:trPr>
        <w:tc>
          <w:tcPr>
            <w:tcW w:w="829" w:type="dxa"/>
            <w:shd w:val="clear" w:color="auto" w:fill="auto"/>
            <w:vAlign w:val="center"/>
            <w:hideMark/>
          </w:tcPr>
          <w:p w14:paraId="710495E5" w14:textId="77777777" w:rsidR="00BD154D" w:rsidRPr="004133DA" w:rsidRDefault="00BD154D" w:rsidP="00DF2591">
            <w:pPr>
              <w:spacing w:after="0" w:line="240" w:lineRule="auto"/>
              <w:jc w:val="center"/>
              <w:rPr>
                <w:rFonts w:eastAsia="Times New Roman" w:cs="Calibri"/>
                <w:color w:val="000000"/>
                <w:sz w:val="18"/>
                <w:szCs w:val="18"/>
                <w:lang w:val="en-US" w:eastAsia="en-GB"/>
              </w:rPr>
            </w:pPr>
            <w:r w:rsidRPr="004133DA">
              <w:rPr>
                <w:rFonts w:eastAsia="Times New Roman" w:cs="Calibri"/>
                <w:color w:val="000000"/>
                <w:sz w:val="18"/>
                <w:szCs w:val="18"/>
                <w:lang w:val="en-US" w:eastAsia="en-GB"/>
              </w:rPr>
              <w:t>14.3</w:t>
            </w:r>
          </w:p>
        </w:tc>
        <w:tc>
          <w:tcPr>
            <w:tcW w:w="1916" w:type="dxa"/>
            <w:shd w:val="clear" w:color="auto" w:fill="auto"/>
            <w:vAlign w:val="center"/>
            <w:hideMark/>
          </w:tcPr>
          <w:p w14:paraId="57F76DF9" w14:textId="77777777" w:rsidR="00BD154D" w:rsidRPr="004133DA" w:rsidRDefault="00BD154D" w:rsidP="00DF2591">
            <w:pPr>
              <w:spacing w:after="0" w:line="240" w:lineRule="auto"/>
              <w:jc w:val="center"/>
              <w:rPr>
                <w:rFonts w:eastAsia="Times New Roman" w:cs="Calibri"/>
                <w:color w:val="000000"/>
                <w:sz w:val="18"/>
                <w:szCs w:val="18"/>
                <w:lang w:val="en-US" w:eastAsia="en-GB"/>
              </w:rPr>
            </w:pPr>
            <w:r w:rsidRPr="004133DA">
              <w:rPr>
                <w:rFonts w:eastAsia="Times New Roman" w:cs="Calibri"/>
                <w:color w:val="000000"/>
                <w:sz w:val="18"/>
                <w:szCs w:val="18"/>
                <w:lang w:val="en-US" w:eastAsia="en-GB"/>
              </w:rPr>
              <w:t>Proposal evaluators by organisations' type of activity</w:t>
            </w:r>
          </w:p>
        </w:tc>
        <w:tc>
          <w:tcPr>
            <w:tcW w:w="2320" w:type="dxa"/>
            <w:shd w:val="clear" w:color="auto" w:fill="auto"/>
            <w:vAlign w:val="center"/>
            <w:hideMark/>
          </w:tcPr>
          <w:p w14:paraId="4A42C5FE" w14:textId="77777777" w:rsidR="00BD154D" w:rsidRPr="004133DA" w:rsidRDefault="00BD154D" w:rsidP="00DF2591">
            <w:pPr>
              <w:spacing w:after="0" w:line="240" w:lineRule="auto"/>
              <w:jc w:val="center"/>
              <w:rPr>
                <w:rFonts w:eastAsia="Times New Roman" w:cs="Calibri"/>
                <w:color w:val="000000"/>
                <w:sz w:val="18"/>
                <w:szCs w:val="18"/>
                <w:lang w:val="en-US" w:eastAsia="en-GB"/>
              </w:rPr>
            </w:pPr>
            <w:r w:rsidRPr="004133DA">
              <w:rPr>
                <w:rFonts w:eastAsia="Times New Roman" w:cs="Calibri"/>
                <w:color w:val="000000"/>
                <w:sz w:val="18"/>
                <w:szCs w:val="18"/>
                <w:lang w:val="en-US" w:eastAsia="en-GB"/>
              </w:rPr>
              <w:t>Type of activity of evaluators' organisations</w:t>
            </w:r>
          </w:p>
        </w:tc>
        <w:tc>
          <w:tcPr>
            <w:tcW w:w="4139" w:type="dxa"/>
            <w:shd w:val="clear" w:color="auto" w:fill="auto"/>
            <w:vAlign w:val="center"/>
            <w:hideMark/>
          </w:tcPr>
          <w:p w14:paraId="7EB2879F" w14:textId="77777777" w:rsidR="00BD154D" w:rsidRPr="00DB3704" w:rsidRDefault="00BD154D" w:rsidP="00DF2591">
            <w:pPr>
              <w:spacing w:after="0" w:line="240" w:lineRule="auto"/>
              <w:jc w:val="center"/>
              <w:rPr>
                <w:rFonts w:eastAsia="Times New Roman" w:cs="Calibri"/>
                <w:sz w:val="18"/>
                <w:szCs w:val="18"/>
                <w:lang w:val="en-US" w:eastAsia="en-GB"/>
              </w:rPr>
            </w:pPr>
            <w:r w:rsidRPr="00DB3704">
              <w:rPr>
                <w:rFonts w:eastAsia="Times New Roman" w:cs="Calibri"/>
                <w:sz w:val="18"/>
                <w:szCs w:val="18"/>
                <w:lang w:val="en-US" w:eastAsia="en-GB"/>
              </w:rPr>
              <w:t xml:space="preserve">N/A </w:t>
            </w:r>
          </w:p>
          <w:p w14:paraId="2209E39D" w14:textId="77777777" w:rsidR="00BD154D" w:rsidRPr="00DB3704" w:rsidRDefault="00BD154D" w:rsidP="00DF2591">
            <w:pPr>
              <w:spacing w:after="0" w:line="240" w:lineRule="auto"/>
              <w:jc w:val="center"/>
              <w:rPr>
                <w:rFonts w:eastAsia="Times New Roman" w:cs="Calibri"/>
                <w:sz w:val="18"/>
                <w:szCs w:val="18"/>
                <w:lang w:val="en-US" w:eastAsia="en-GB"/>
              </w:rPr>
            </w:pPr>
            <w:r w:rsidRPr="00DB3704">
              <w:rPr>
                <w:rFonts w:eastAsia="Times New Roman" w:cs="Calibri"/>
                <w:sz w:val="18"/>
                <w:szCs w:val="18"/>
                <w:lang w:val="en-US" w:eastAsia="en-GB"/>
              </w:rPr>
              <w:t>(</w:t>
            </w:r>
            <w:proofErr w:type="gramStart"/>
            <w:r w:rsidRPr="00DB3704">
              <w:rPr>
                <w:rFonts w:eastAsia="Times New Roman" w:cs="Calibri"/>
                <w:sz w:val="18"/>
                <w:szCs w:val="18"/>
                <w:lang w:val="en-US" w:eastAsia="en-GB"/>
              </w:rPr>
              <w:t>no</w:t>
            </w:r>
            <w:proofErr w:type="gramEnd"/>
            <w:r w:rsidRPr="00DB3704">
              <w:rPr>
                <w:rFonts w:eastAsia="Times New Roman" w:cs="Calibri"/>
                <w:sz w:val="18"/>
                <w:szCs w:val="18"/>
                <w:lang w:val="en-US" w:eastAsia="en-GB"/>
              </w:rPr>
              <w:t xml:space="preserve"> evaluations in 2021)</w:t>
            </w:r>
          </w:p>
          <w:p w14:paraId="706DB375" w14:textId="77777777" w:rsidR="00BD154D" w:rsidRPr="00DB3704" w:rsidRDefault="00BD154D" w:rsidP="00DF2591">
            <w:pPr>
              <w:spacing w:after="0" w:line="240" w:lineRule="auto"/>
              <w:jc w:val="center"/>
              <w:rPr>
                <w:rFonts w:eastAsia="Times New Roman" w:cs="Calibri"/>
                <w:sz w:val="18"/>
                <w:szCs w:val="18"/>
                <w:lang w:val="en-US" w:eastAsia="en-GB"/>
              </w:rPr>
            </w:pPr>
          </w:p>
        </w:tc>
      </w:tr>
      <w:tr w:rsidR="00BD154D" w:rsidRPr="004133DA" w14:paraId="63EE520D" w14:textId="77777777" w:rsidTr="00DF2591">
        <w:trPr>
          <w:trHeight w:val="823"/>
        </w:trPr>
        <w:tc>
          <w:tcPr>
            <w:tcW w:w="829" w:type="dxa"/>
            <w:vMerge w:val="restart"/>
            <w:shd w:val="clear" w:color="auto" w:fill="auto"/>
            <w:vAlign w:val="center"/>
            <w:hideMark/>
          </w:tcPr>
          <w:p w14:paraId="4AE664E3" w14:textId="77777777" w:rsidR="00BD154D" w:rsidRPr="004133DA" w:rsidRDefault="00BD154D" w:rsidP="00DF2591">
            <w:pPr>
              <w:spacing w:after="0" w:line="240" w:lineRule="auto"/>
              <w:jc w:val="center"/>
              <w:rPr>
                <w:rFonts w:eastAsia="Times New Roman" w:cs="Calibri"/>
                <w:color w:val="000000"/>
                <w:sz w:val="18"/>
                <w:szCs w:val="18"/>
                <w:lang w:val="en-US" w:eastAsia="en-GB"/>
              </w:rPr>
            </w:pPr>
            <w:r w:rsidRPr="004133DA">
              <w:rPr>
                <w:rFonts w:eastAsia="Times New Roman" w:cs="Calibri"/>
                <w:color w:val="000000"/>
                <w:sz w:val="18"/>
                <w:szCs w:val="18"/>
                <w:lang w:val="en-US" w:eastAsia="en-GB"/>
              </w:rPr>
              <w:t>N/A</w:t>
            </w:r>
          </w:p>
        </w:tc>
        <w:tc>
          <w:tcPr>
            <w:tcW w:w="1916" w:type="dxa"/>
            <w:vMerge w:val="restart"/>
            <w:shd w:val="clear" w:color="auto" w:fill="auto"/>
            <w:vAlign w:val="center"/>
            <w:hideMark/>
          </w:tcPr>
          <w:p w14:paraId="03B9306F" w14:textId="77777777" w:rsidR="00BD154D" w:rsidRPr="004133DA" w:rsidRDefault="00BD154D" w:rsidP="00DF2591">
            <w:pPr>
              <w:spacing w:after="0" w:line="240" w:lineRule="auto"/>
              <w:jc w:val="center"/>
              <w:rPr>
                <w:rFonts w:eastAsia="Times New Roman" w:cs="Calibri"/>
                <w:color w:val="000000"/>
                <w:sz w:val="18"/>
                <w:szCs w:val="18"/>
                <w:lang w:val="en-US" w:eastAsia="en-GB"/>
              </w:rPr>
            </w:pPr>
            <w:bookmarkStart w:id="262" w:name="RANGE!B29"/>
            <w:r w:rsidRPr="004133DA">
              <w:rPr>
                <w:rFonts w:eastAsia="Times New Roman" w:cs="Calibri"/>
                <w:color w:val="000000"/>
                <w:sz w:val="18"/>
                <w:szCs w:val="18"/>
                <w:lang w:val="en-US" w:eastAsia="en-GB"/>
              </w:rPr>
              <w:t xml:space="preserve">Participation of </w:t>
            </w:r>
            <w:proofErr w:type="gramStart"/>
            <w:r w:rsidRPr="004133DA">
              <w:rPr>
                <w:rFonts w:eastAsia="Times New Roman" w:cs="Calibri"/>
                <w:color w:val="000000"/>
                <w:sz w:val="18"/>
                <w:szCs w:val="18"/>
                <w:lang w:val="en-US" w:eastAsia="en-GB"/>
              </w:rPr>
              <w:t>RTO[</w:t>
            </w:r>
            <w:proofErr w:type="gramEnd"/>
            <w:r w:rsidRPr="004133DA">
              <w:rPr>
                <w:rFonts w:eastAsia="Times New Roman" w:cs="Calibri"/>
                <w:color w:val="000000"/>
                <w:sz w:val="18"/>
                <w:szCs w:val="18"/>
                <w:lang w:val="en-US" w:eastAsia="en-GB"/>
              </w:rPr>
              <w:t xml:space="preserve">3]s and </w:t>
            </w:r>
            <w:r>
              <w:rPr>
                <w:rFonts w:eastAsia="Times New Roman" w:cs="Calibri"/>
                <w:color w:val="000000"/>
                <w:sz w:val="18"/>
                <w:szCs w:val="18"/>
                <w:lang w:val="en-US" w:eastAsia="en-GB"/>
              </w:rPr>
              <w:t>u</w:t>
            </w:r>
            <w:r w:rsidRPr="004133DA">
              <w:rPr>
                <w:rFonts w:eastAsia="Times New Roman" w:cs="Calibri"/>
                <w:color w:val="000000"/>
                <w:sz w:val="18"/>
                <w:szCs w:val="18"/>
                <w:lang w:val="en-US" w:eastAsia="en-GB"/>
              </w:rPr>
              <w:t>niversities in PPPs (Art</w:t>
            </w:r>
            <w:r>
              <w:rPr>
                <w:rFonts w:eastAsia="Times New Roman" w:cs="Calibri"/>
                <w:color w:val="000000"/>
                <w:sz w:val="18"/>
                <w:szCs w:val="18"/>
                <w:lang w:val="en-US" w:eastAsia="en-GB"/>
              </w:rPr>
              <w:t>.</w:t>
            </w:r>
            <w:r w:rsidRPr="004133DA">
              <w:rPr>
                <w:rFonts w:eastAsia="Times New Roman" w:cs="Calibri"/>
                <w:color w:val="000000"/>
                <w:sz w:val="18"/>
                <w:szCs w:val="18"/>
                <w:lang w:val="en-US" w:eastAsia="en-GB"/>
              </w:rPr>
              <w:t xml:space="preserve"> 187 initiatives)</w:t>
            </w:r>
            <w:bookmarkEnd w:id="262"/>
          </w:p>
        </w:tc>
        <w:tc>
          <w:tcPr>
            <w:tcW w:w="2320" w:type="dxa"/>
            <w:shd w:val="clear" w:color="auto" w:fill="auto"/>
            <w:vAlign w:val="center"/>
            <w:hideMark/>
          </w:tcPr>
          <w:p w14:paraId="7283CF3D" w14:textId="77777777" w:rsidR="00BD154D" w:rsidRPr="004133DA" w:rsidRDefault="00BD154D" w:rsidP="00DF2591">
            <w:pPr>
              <w:spacing w:after="0" w:line="240" w:lineRule="auto"/>
              <w:jc w:val="center"/>
              <w:rPr>
                <w:rFonts w:eastAsia="Times New Roman" w:cs="Calibri"/>
                <w:color w:val="000000"/>
                <w:sz w:val="18"/>
                <w:szCs w:val="18"/>
                <w:lang w:val="en-US" w:eastAsia="en-GB"/>
              </w:rPr>
            </w:pPr>
            <w:r w:rsidRPr="004133DA">
              <w:rPr>
                <w:rFonts w:eastAsia="Times New Roman" w:cs="Calibri"/>
                <w:color w:val="000000"/>
                <w:sz w:val="18"/>
                <w:szCs w:val="18"/>
                <w:lang w:val="en-US" w:eastAsia="en-GB"/>
              </w:rPr>
              <w:t xml:space="preserve">Number of </w:t>
            </w:r>
            <w:r>
              <w:rPr>
                <w:rFonts w:eastAsia="Times New Roman" w:cs="Calibri"/>
                <w:color w:val="000000"/>
                <w:sz w:val="18"/>
                <w:szCs w:val="18"/>
                <w:lang w:val="en-US" w:eastAsia="en-GB"/>
              </w:rPr>
              <w:t xml:space="preserve">RTOs </w:t>
            </w:r>
            <w:r w:rsidRPr="004133DA">
              <w:rPr>
                <w:rFonts w:eastAsia="Times New Roman" w:cs="Calibri"/>
                <w:color w:val="000000"/>
                <w:sz w:val="18"/>
                <w:szCs w:val="18"/>
                <w:lang w:val="en-US" w:eastAsia="en-GB"/>
              </w:rPr>
              <w:t>participati</w:t>
            </w:r>
            <w:r>
              <w:rPr>
                <w:rFonts w:eastAsia="Times New Roman" w:cs="Calibri"/>
                <w:color w:val="000000"/>
                <w:sz w:val="18"/>
                <w:szCs w:val="18"/>
                <w:lang w:val="en-US" w:eastAsia="en-GB"/>
              </w:rPr>
              <w:t>ons in</w:t>
            </w:r>
            <w:r w:rsidRPr="004133DA">
              <w:rPr>
                <w:rFonts w:eastAsia="Times New Roman" w:cs="Calibri"/>
                <w:color w:val="000000"/>
                <w:sz w:val="18"/>
                <w:szCs w:val="18"/>
                <w:lang w:val="en-US" w:eastAsia="en-GB"/>
              </w:rPr>
              <w:t xml:space="preserve"> funded projects and % of the total</w:t>
            </w:r>
          </w:p>
        </w:tc>
        <w:tc>
          <w:tcPr>
            <w:tcW w:w="4139" w:type="dxa"/>
            <w:shd w:val="clear" w:color="auto" w:fill="auto"/>
            <w:vAlign w:val="center"/>
            <w:hideMark/>
          </w:tcPr>
          <w:p w14:paraId="45B24AD9" w14:textId="77777777" w:rsidR="00BD154D" w:rsidRPr="00DB3704" w:rsidRDefault="00BD154D" w:rsidP="00DF2591">
            <w:pPr>
              <w:spacing w:after="0" w:line="240" w:lineRule="auto"/>
              <w:jc w:val="center"/>
              <w:rPr>
                <w:rFonts w:cs="Calibri"/>
                <w:color w:val="000000"/>
                <w:sz w:val="18"/>
                <w:szCs w:val="18"/>
              </w:rPr>
            </w:pPr>
            <w:r w:rsidRPr="00DB3704">
              <w:rPr>
                <w:rFonts w:cs="Calibri"/>
                <w:color w:val="000000"/>
                <w:sz w:val="18"/>
                <w:szCs w:val="18"/>
              </w:rPr>
              <w:t>305 / 1537 (19.8 %)</w:t>
            </w:r>
          </w:p>
        </w:tc>
      </w:tr>
      <w:tr w:rsidR="00BD154D" w:rsidRPr="004133DA" w14:paraId="1600C689" w14:textId="77777777" w:rsidTr="00DF2591">
        <w:trPr>
          <w:trHeight w:val="848"/>
        </w:trPr>
        <w:tc>
          <w:tcPr>
            <w:tcW w:w="829" w:type="dxa"/>
            <w:vMerge/>
            <w:shd w:val="clear" w:color="auto" w:fill="auto"/>
            <w:vAlign w:val="center"/>
            <w:hideMark/>
          </w:tcPr>
          <w:p w14:paraId="48CEBA27" w14:textId="77777777" w:rsidR="00BD154D" w:rsidRPr="004133DA" w:rsidRDefault="00BD154D" w:rsidP="00DF2591">
            <w:pPr>
              <w:spacing w:after="0" w:line="240" w:lineRule="auto"/>
              <w:rPr>
                <w:rFonts w:eastAsia="Times New Roman" w:cs="Calibri"/>
                <w:color w:val="000000"/>
                <w:sz w:val="18"/>
                <w:szCs w:val="18"/>
                <w:lang w:val="en-US" w:eastAsia="en-GB"/>
              </w:rPr>
            </w:pPr>
          </w:p>
        </w:tc>
        <w:tc>
          <w:tcPr>
            <w:tcW w:w="1916" w:type="dxa"/>
            <w:vMerge/>
            <w:shd w:val="clear" w:color="auto" w:fill="auto"/>
            <w:vAlign w:val="center"/>
            <w:hideMark/>
          </w:tcPr>
          <w:p w14:paraId="3DC8468E" w14:textId="77777777" w:rsidR="00BD154D" w:rsidRPr="004133DA" w:rsidRDefault="00BD154D" w:rsidP="00DF2591">
            <w:pPr>
              <w:spacing w:after="0" w:line="240" w:lineRule="auto"/>
              <w:rPr>
                <w:rFonts w:eastAsia="Times New Roman" w:cs="Calibri"/>
                <w:color w:val="000000"/>
                <w:sz w:val="18"/>
                <w:szCs w:val="18"/>
                <w:lang w:val="en-US" w:eastAsia="en-GB"/>
              </w:rPr>
            </w:pPr>
          </w:p>
        </w:tc>
        <w:tc>
          <w:tcPr>
            <w:tcW w:w="2320" w:type="dxa"/>
            <w:shd w:val="clear" w:color="auto" w:fill="auto"/>
            <w:vAlign w:val="center"/>
            <w:hideMark/>
          </w:tcPr>
          <w:p w14:paraId="47478E00" w14:textId="77777777" w:rsidR="00BD154D" w:rsidRPr="004133DA" w:rsidRDefault="00BD154D" w:rsidP="00DF2591">
            <w:pPr>
              <w:spacing w:after="0" w:line="240" w:lineRule="auto"/>
              <w:jc w:val="center"/>
              <w:rPr>
                <w:rFonts w:eastAsia="Times New Roman" w:cs="Calibri"/>
                <w:color w:val="000000"/>
                <w:sz w:val="18"/>
                <w:szCs w:val="18"/>
                <w:lang w:val="en-US" w:eastAsia="en-GB"/>
              </w:rPr>
            </w:pPr>
            <w:r w:rsidRPr="004133DA">
              <w:rPr>
                <w:rFonts w:eastAsia="Times New Roman" w:cs="Calibri"/>
                <w:color w:val="000000"/>
                <w:sz w:val="18"/>
                <w:szCs w:val="18"/>
                <w:lang w:val="en-US" w:eastAsia="en-GB"/>
              </w:rPr>
              <w:t xml:space="preserve">Number of </w:t>
            </w:r>
            <w:r>
              <w:rPr>
                <w:rFonts w:eastAsia="Times New Roman" w:cs="Calibri"/>
                <w:color w:val="000000"/>
                <w:sz w:val="18"/>
                <w:szCs w:val="18"/>
                <w:lang w:val="en-US" w:eastAsia="en-GB"/>
              </w:rPr>
              <w:t>u</w:t>
            </w:r>
            <w:r w:rsidRPr="004133DA">
              <w:rPr>
                <w:rFonts w:eastAsia="Times New Roman" w:cs="Calibri"/>
                <w:color w:val="000000"/>
                <w:sz w:val="18"/>
                <w:szCs w:val="18"/>
                <w:lang w:val="en-US" w:eastAsia="en-GB"/>
              </w:rPr>
              <w:t xml:space="preserve">niversities </w:t>
            </w:r>
            <w:r>
              <w:rPr>
                <w:rFonts w:eastAsia="Times New Roman" w:cs="Calibri"/>
                <w:color w:val="000000"/>
                <w:sz w:val="18"/>
                <w:szCs w:val="18"/>
                <w:lang w:val="en-US" w:eastAsia="en-GB"/>
              </w:rPr>
              <w:t>participations in</w:t>
            </w:r>
            <w:r w:rsidRPr="004133DA">
              <w:rPr>
                <w:rFonts w:eastAsia="Times New Roman" w:cs="Calibri"/>
                <w:color w:val="000000"/>
                <w:sz w:val="18"/>
                <w:szCs w:val="18"/>
                <w:lang w:val="en-US" w:eastAsia="en-GB"/>
              </w:rPr>
              <w:t xml:space="preserve"> funded projects and % of the total</w:t>
            </w:r>
          </w:p>
        </w:tc>
        <w:tc>
          <w:tcPr>
            <w:tcW w:w="4139" w:type="dxa"/>
            <w:shd w:val="clear" w:color="auto" w:fill="auto"/>
            <w:vAlign w:val="center"/>
            <w:hideMark/>
          </w:tcPr>
          <w:p w14:paraId="1F1F7CBB" w14:textId="77777777" w:rsidR="00BD154D" w:rsidRPr="00DB3704" w:rsidRDefault="00BD154D" w:rsidP="00DF2591">
            <w:pPr>
              <w:spacing w:after="0" w:line="240" w:lineRule="auto"/>
              <w:jc w:val="center"/>
              <w:rPr>
                <w:rFonts w:eastAsia="Times New Roman" w:cs="Calibri"/>
                <w:color w:val="000000"/>
                <w:sz w:val="18"/>
                <w:szCs w:val="18"/>
                <w:lang w:val="en-US" w:eastAsia="en-GB"/>
              </w:rPr>
            </w:pPr>
            <w:r w:rsidRPr="00DB3704">
              <w:rPr>
                <w:rFonts w:cs="Calibri"/>
                <w:color w:val="000000"/>
                <w:sz w:val="18"/>
                <w:szCs w:val="18"/>
              </w:rPr>
              <w:t xml:space="preserve"> 207 / 1537 (13.5 %)</w:t>
            </w:r>
          </w:p>
        </w:tc>
      </w:tr>
      <w:tr w:rsidR="00BD154D" w:rsidRPr="00792B39" w14:paraId="52564BB5" w14:textId="77777777" w:rsidTr="00DF2591">
        <w:trPr>
          <w:trHeight w:val="811"/>
        </w:trPr>
        <w:tc>
          <w:tcPr>
            <w:tcW w:w="829" w:type="dxa"/>
            <w:vMerge/>
            <w:shd w:val="clear" w:color="auto" w:fill="auto"/>
            <w:vAlign w:val="center"/>
            <w:hideMark/>
          </w:tcPr>
          <w:p w14:paraId="36CD3CE1" w14:textId="77777777" w:rsidR="00BD154D" w:rsidRPr="004133DA" w:rsidRDefault="00BD154D" w:rsidP="00DF2591">
            <w:pPr>
              <w:spacing w:after="0" w:line="240" w:lineRule="auto"/>
              <w:rPr>
                <w:rFonts w:eastAsia="Times New Roman" w:cs="Calibri"/>
                <w:color w:val="000000"/>
                <w:sz w:val="18"/>
                <w:szCs w:val="18"/>
                <w:lang w:val="en-US" w:eastAsia="en-GB"/>
              </w:rPr>
            </w:pPr>
          </w:p>
        </w:tc>
        <w:tc>
          <w:tcPr>
            <w:tcW w:w="1916" w:type="dxa"/>
            <w:vMerge/>
            <w:shd w:val="clear" w:color="auto" w:fill="auto"/>
            <w:vAlign w:val="center"/>
            <w:hideMark/>
          </w:tcPr>
          <w:p w14:paraId="7AA545AC" w14:textId="77777777" w:rsidR="00BD154D" w:rsidRPr="004133DA" w:rsidRDefault="00BD154D" w:rsidP="00DF2591">
            <w:pPr>
              <w:spacing w:after="0" w:line="240" w:lineRule="auto"/>
              <w:rPr>
                <w:rFonts w:eastAsia="Times New Roman" w:cs="Calibri"/>
                <w:color w:val="000000"/>
                <w:sz w:val="18"/>
                <w:szCs w:val="18"/>
                <w:lang w:val="en-US" w:eastAsia="en-GB"/>
              </w:rPr>
            </w:pPr>
          </w:p>
        </w:tc>
        <w:tc>
          <w:tcPr>
            <w:tcW w:w="2320" w:type="dxa"/>
            <w:shd w:val="clear" w:color="auto" w:fill="auto"/>
            <w:vAlign w:val="center"/>
            <w:hideMark/>
          </w:tcPr>
          <w:p w14:paraId="316ED1B2" w14:textId="77777777" w:rsidR="00BD154D" w:rsidRPr="004133DA" w:rsidRDefault="00BD154D" w:rsidP="00DF2591">
            <w:pPr>
              <w:spacing w:after="0" w:line="240" w:lineRule="auto"/>
              <w:jc w:val="center"/>
              <w:rPr>
                <w:rFonts w:eastAsia="Times New Roman" w:cs="Calibri"/>
                <w:color w:val="000000"/>
                <w:sz w:val="18"/>
                <w:szCs w:val="18"/>
                <w:lang w:val="en-US" w:eastAsia="en-GB"/>
              </w:rPr>
            </w:pPr>
            <w:r w:rsidRPr="004133DA">
              <w:rPr>
                <w:rFonts w:eastAsia="Times New Roman" w:cs="Calibri"/>
                <w:color w:val="000000"/>
                <w:sz w:val="18"/>
                <w:szCs w:val="18"/>
                <w:lang w:val="en-US" w:eastAsia="en-GB"/>
              </w:rPr>
              <w:t xml:space="preserve">% </w:t>
            </w:r>
            <w:proofErr w:type="gramStart"/>
            <w:r w:rsidRPr="004133DA">
              <w:rPr>
                <w:rFonts w:eastAsia="Times New Roman" w:cs="Calibri"/>
                <w:color w:val="000000"/>
                <w:sz w:val="18"/>
                <w:szCs w:val="18"/>
                <w:lang w:val="en-US" w:eastAsia="en-GB"/>
              </w:rPr>
              <w:t>of</w:t>
            </w:r>
            <w:proofErr w:type="gramEnd"/>
            <w:r w:rsidRPr="004133DA">
              <w:rPr>
                <w:rFonts w:eastAsia="Times New Roman" w:cs="Calibri"/>
                <w:color w:val="000000"/>
                <w:sz w:val="18"/>
                <w:szCs w:val="18"/>
                <w:lang w:val="en-US" w:eastAsia="en-GB"/>
              </w:rPr>
              <w:t xml:space="preserve"> budget allocated to RTOs and to </w:t>
            </w:r>
            <w:r>
              <w:rPr>
                <w:rFonts w:eastAsia="Times New Roman" w:cs="Calibri"/>
                <w:color w:val="000000"/>
                <w:sz w:val="18"/>
                <w:szCs w:val="18"/>
                <w:lang w:val="en-US" w:eastAsia="en-GB"/>
              </w:rPr>
              <w:t>u</w:t>
            </w:r>
            <w:r w:rsidRPr="004133DA">
              <w:rPr>
                <w:rFonts w:eastAsia="Times New Roman" w:cs="Calibri"/>
                <w:color w:val="000000"/>
                <w:sz w:val="18"/>
                <w:szCs w:val="18"/>
                <w:lang w:val="en-US" w:eastAsia="en-GB"/>
              </w:rPr>
              <w:t>niversities</w:t>
            </w:r>
          </w:p>
        </w:tc>
        <w:tc>
          <w:tcPr>
            <w:tcW w:w="4139" w:type="dxa"/>
            <w:shd w:val="clear" w:color="auto" w:fill="auto"/>
            <w:vAlign w:val="center"/>
            <w:hideMark/>
          </w:tcPr>
          <w:p w14:paraId="036F5709" w14:textId="77777777" w:rsidR="00BD154D" w:rsidRPr="00DB3704" w:rsidRDefault="00BD154D" w:rsidP="00DF2591">
            <w:pPr>
              <w:spacing w:after="0" w:line="240" w:lineRule="auto"/>
              <w:jc w:val="center"/>
              <w:rPr>
                <w:rFonts w:cs="Calibri"/>
                <w:color w:val="000000"/>
                <w:sz w:val="18"/>
                <w:szCs w:val="18"/>
                <w:lang w:val="fr-BE"/>
              </w:rPr>
            </w:pPr>
            <w:proofErr w:type="gramStart"/>
            <w:r w:rsidRPr="00DB3704">
              <w:rPr>
                <w:rFonts w:cs="Calibri"/>
                <w:color w:val="000000"/>
                <w:sz w:val="18"/>
                <w:szCs w:val="18"/>
                <w:lang w:val="fr-BE"/>
              </w:rPr>
              <w:t>RTO:</w:t>
            </w:r>
            <w:proofErr w:type="gramEnd"/>
            <w:r w:rsidRPr="00DB3704">
              <w:rPr>
                <w:rFonts w:cs="Calibri"/>
                <w:color w:val="000000"/>
                <w:sz w:val="18"/>
                <w:szCs w:val="18"/>
                <w:lang w:val="fr-BE"/>
              </w:rPr>
              <w:t xml:space="preserve"> EUR 99.4 million (15.7 %)</w:t>
            </w:r>
          </w:p>
          <w:p w14:paraId="616A9EAD" w14:textId="77777777" w:rsidR="00BD154D" w:rsidRPr="00DB3704" w:rsidRDefault="00BD154D" w:rsidP="00DF2591">
            <w:pPr>
              <w:spacing w:after="0" w:line="240" w:lineRule="auto"/>
              <w:jc w:val="center"/>
              <w:rPr>
                <w:rFonts w:eastAsia="Times New Roman" w:cs="Calibri"/>
                <w:color w:val="000000"/>
                <w:sz w:val="18"/>
                <w:szCs w:val="18"/>
                <w:lang w:val="fr-BE" w:eastAsia="en-GB"/>
              </w:rPr>
            </w:pPr>
            <w:proofErr w:type="gramStart"/>
            <w:r w:rsidRPr="00DB3704">
              <w:rPr>
                <w:rFonts w:cs="Calibri"/>
                <w:color w:val="000000"/>
                <w:sz w:val="18"/>
                <w:szCs w:val="18"/>
                <w:lang w:val="fr-BE"/>
              </w:rPr>
              <w:t>HES:</w:t>
            </w:r>
            <w:proofErr w:type="gramEnd"/>
            <w:r w:rsidRPr="00DB3704">
              <w:rPr>
                <w:rFonts w:cs="Calibri"/>
                <w:color w:val="000000"/>
                <w:sz w:val="18"/>
                <w:szCs w:val="18"/>
                <w:lang w:val="fr-BE"/>
              </w:rPr>
              <w:t xml:space="preserve"> EUR 49.2 million (7.8 %)</w:t>
            </w:r>
          </w:p>
        </w:tc>
      </w:tr>
      <w:tr w:rsidR="00BD154D" w:rsidRPr="004133DA" w14:paraId="04F4C736" w14:textId="77777777" w:rsidTr="00DF2591">
        <w:trPr>
          <w:trHeight w:val="1334"/>
        </w:trPr>
        <w:tc>
          <w:tcPr>
            <w:tcW w:w="829" w:type="dxa"/>
            <w:shd w:val="clear" w:color="auto" w:fill="auto"/>
            <w:vAlign w:val="center"/>
            <w:hideMark/>
          </w:tcPr>
          <w:p w14:paraId="53A33811" w14:textId="77777777" w:rsidR="00BD154D" w:rsidRPr="004133DA" w:rsidRDefault="00BD154D" w:rsidP="00DF2591">
            <w:pPr>
              <w:spacing w:after="0" w:line="240" w:lineRule="auto"/>
              <w:jc w:val="center"/>
              <w:rPr>
                <w:rFonts w:eastAsia="Times New Roman" w:cs="Calibri"/>
                <w:color w:val="000000"/>
                <w:sz w:val="18"/>
                <w:szCs w:val="18"/>
                <w:lang w:val="en-US" w:eastAsia="en-GB"/>
              </w:rPr>
            </w:pPr>
            <w:r w:rsidRPr="004133DA">
              <w:rPr>
                <w:rFonts w:eastAsia="Times New Roman" w:cs="Calibri"/>
                <w:color w:val="000000"/>
                <w:sz w:val="18"/>
                <w:szCs w:val="18"/>
                <w:lang w:val="en-US" w:eastAsia="en-GB"/>
              </w:rPr>
              <w:t>N/A</w:t>
            </w:r>
          </w:p>
        </w:tc>
        <w:tc>
          <w:tcPr>
            <w:tcW w:w="1916" w:type="dxa"/>
            <w:shd w:val="clear" w:color="auto" w:fill="auto"/>
            <w:vAlign w:val="center"/>
            <w:hideMark/>
          </w:tcPr>
          <w:p w14:paraId="37AAD1CC" w14:textId="77777777" w:rsidR="00BD154D" w:rsidRPr="004133DA" w:rsidRDefault="00BD154D" w:rsidP="00DF2591">
            <w:pPr>
              <w:spacing w:after="0" w:line="240" w:lineRule="auto"/>
              <w:jc w:val="center"/>
              <w:rPr>
                <w:rFonts w:eastAsia="Times New Roman" w:cs="Calibri"/>
                <w:color w:val="000000"/>
                <w:sz w:val="18"/>
                <w:szCs w:val="18"/>
                <w:lang w:val="en-US" w:eastAsia="en-GB"/>
              </w:rPr>
            </w:pPr>
            <w:r w:rsidRPr="002E4BC7">
              <w:rPr>
                <w:rFonts w:eastAsia="Times New Roman" w:cs="Calibri"/>
                <w:color w:val="000000"/>
                <w:sz w:val="18"/>
                <w:szCs w:val="18"/>
                <w:lang w:val="en-US" w:eastAsia="en-GB"/>
              </w:rPr>
              <w:t xml:space="preserve">The </w:t>
            </w:r>
            <w:r>
              <w:rPr>
                <w:rFonts w:eastAsia="Times New Roman" w:cs="Calibri"/>
                <w:color w:val="000000"/>
                <w:sz w:val="18"/>
                <w:szCs w:val="18"/>
                <w:lang w:val="en-US" w:eastAsia="en-GB"/>
              </w:rPr>
              <w:t>aim</w:t>
            </w:r>
            <w:r w:rsidRPr="002E4BC7">
              <w:rPr>
                <w:rFonts w:eastAsia="Times New Roman" w:cs="Calibri"/>
                <w:color w:val="000000"/>
                <w:sz w:val="18"/>
                <w:szCs w:val="18"/>
                <w:lang w:val="en-US" w:eastAsia="en-GB"/>
              </w:rPr>
              <w:t xml:space="preserve"> is to ensure that research projects funded are efficiently compliant with provisions on ethics</w:t>
            </w:r>
            <w:r w:rsidRPr="004133DA">
              <w:rPr>
                <w:rFonts w:eastAsia="Times New Roman" w:cs="Calibri"/>
                <w:color w:val="000000"/>
                <w:sz w:val="18"/>
                <w:szCs w:val="18"/>
                <w:lang w:val="en-US" w:eastAsia="en-GB"/>
              </w:rPr>
              <w:t xml:space="preserve"> </w:t>
            </w:r>
          </w:p>
        </w:tc>
        <w:tc>
          <w:tcPr>
            <w:tcW w:w="2320" w:type="dxa"/>
            <w:shd w:val="clear" w:color="auto" w:fill="auto"/>
            <w:vAlign w:val="center"/>
            <w:hideMark/>
          </w:tcPr>
          <w:p w14:paraId="2F3F4EFC" w14:textId="77777777" w:rsidR="00BD154D" w:rsidRPr="004133DA" w:rsidRDefault="00BD154D" w:rsidP="00DF2591">
            <w:pPr>
              <w:spacing w:after="0" w:line="240" w:lineRule="auto"/>
              <w:jc w:val="center"/>
              <w:rPr>
                <w:rFonts w:eastAsia="Times New Roman" w:cs="Calibri"/>
                <w:color w:val="000000"/>
                <w:sz w:val="18"/>
                <w:szCs w:val="18"/>
                <w:lang w:val="en-US" w:eastAsia="en-GB"/>
              </w:rPr>
            </w:pPr>
            <w:bookmarkStart w:id="263" w:name="RANGE!C32"/>
            <w:r w:rsidRPr="004133DA">
              <w:rPr>
                <w:rFonts w:eastAsia="Times New Roman" w:cs="Calibri"/>
                <w:color w:val="000000"/>
                <w:sz w:val="18"/>
                <w:szCs w:val="18"/>
                <w:lang w:val="en-US" w:eastAsia="en-GB"/>
              </w:rPr>
              <w:t xml:space="preserve">% </w:t>
            </w:r>
            <w:proofErr w:type="gramStart"/>
            <w:r w:rsidRPr="004133DA">
              <w:rPr>
                <w:rFonts w:eastAsia="Times New Roman" w:cs="Calibri"/>
                <w:color w:val="000000"/>
                <w:sz w:val="18"/>
                <w:szCs w:val="18"/>
                <w:lang w:val="en-US" w:eastAsia="en-GB"/>
              </w:rPr>
              <w:t>of</w:t>
            </w:r>
            <w:proofErr w:type="gramEnd"/>
            <w:r w:rsidRPr="004133DA">
              <w:rPr>
                <w:rFonts w:eastAsia="Times New Roman" w:cs="Calibri"/>
                <w:color w:val="000000"/>
                <w:sz w:val="18"/>
                <w:szCs w:val="18"/>
                <w:lang w:val="en-US" w:eastAsia="en-GB"/>
              </w:rPr>
              <w:t xml:space="preserve"> proposals not granted because </w:t>
            </w:r>
            <w:r>
              <w:rPr>
                <w:rFonts w:eastAsia="Times New Roman" w:cs="Calibri"/>
                <w:color w:val="000000"/>
                <w:sz w:val="18"/>
                <w:szCs w:val="18"/>
                <w:lang w:val="en-US" w:eastAsia="en-GB"/>
              </w:rPr>
              <w:t xml:space="preserve">of </w:t>
            </w:r>
            <w:r w:rsidRPr="004133DA">
              <w:rPr>
                <w:rFonts w:eastAsia="Times New Roman" w:cs="Calibri"/>
                <w:color w:val="000000"/>
                <w:sz w:val="18"/>
                <w:szCs w:val="18"/>
                <w:lang w:val="en-US" w:eastAsia="en-GB"/>
              </w:rPr>
              <w:t>non-compliance with ethical rules/proposals invited to grant (target 0</w:t>
            </w:r>
            <w:r>
              <w:rPr>
                <w:rFonts w:eastAsia="Times New Roman" w:cs="Calibri"/>
                <w:color w:val="000000"/>
                <w:sz w:val="18"/>
                <w:szCs w:val="18"/>
                <w:lang w:val="en-US" w:eastAsia="en-GB"/>
              </w:rPr>
              <w:t> </w:t>
            </w:r>
            <w:r w:rsidRPr="004133DA">
              <w:rPr>
                <w:rFonts w:eastAsia="Times New Roman" w:cs="Calibri"/>
                <w:color w:val="000000"/>
                <w:sz w:val="18"/>
                <w:szCs w:val="18"/>
                <w:lang w:val="en-US" w:eastAsia="en-GB"/>
              </w:rPr>
              <w:t>%); time to ethics clearance (target 45 days)</w:t>
            </w:r>
            <w:bookmarkEnd w:id="263"/>
          </w:p>
        </w:tc>
        <w:tc>
          <w:tcPr>
            <w:tcW w:w="4139" w:type="dxa"/>
            <w:shd w:val="clear" w:color="auto" w:fill="auto"/>
            <w:vAlign w:val="center"/>
            <w:hideMark/>
          </w:tcPr>
          <w:p w14:paraId="2AC5E527" w14:textId="77777777" w:rsidR="00BD154D" w:rsidRPr="00DB3704" w:rsidRDefault="00BD154D" w:rsidP="00DF2591">
            <w:pPr>
              <w:spacing w:after="0" w:line="240" w:lineRule="auto"/>
              <w:jc w:val="center"/>
              <w:rPr>
                <w:rFonts w:eastAsia="Times New Roman" w:cs="Calibri"/>
                <w:sz w:val="18"/>
                <w:szCs w:val="18"/>
                <w:lang w:val="en-US" w:eastAsia="en-GB"/>
              </w:rPr>
            </w:pPr>
            <w:r w:rsidRPr="00DB3704">
              <w:rPr>
                <w:rFonts w:eastAsia="Times New Roman" w:cs="Calibri"/>
                <w:sz w:val="18"/>
                <w:szCs w:val="18"/>
                <w:lang w:val="en-US" w:eastAsia="en-GB"/>
              </w:rPr>
              <w:t xml:space="preserve">N/A </w:t>
            </w:r>
          </w:p>
        </w:tc>
      </w:tr>
      <w:tr w:rsidR="00BD154D" w:rsidRPr="004133DA" w14:paraId="7D870846" w14:textId="77777777" w:rsidTr="00DF2591">
        <w:trPr>
          <w:trHeight w:val="705"/>
        </w:trPr>
        <w:tc>
          <w:tcPr>
            <w:tcW w:w="829" w:type="dxa"/>
            <w:shd w:val="clear" w:color="auto" w:fill="auto"/>
            <w:vAlign w:val="center"/>
            <w:hideMark/>
          </w:tcPr>
          <w:p w14:paraId="3D8B2561" w14:textId="77777777" w:rsidR="00BD154D" w:rsidRPr="00413F28" w:rsidRDefault="00BD154D" w:rsidP="00DF2591">
            <w:pPr>
              <w:spacing w:after="0" w:line="240" w:lineRule="auto"/>
              <w:jc w:val="center"/>
              <w:rPr>
                <w:rFonts w:eastAsia="Times New Roman" w:cs="Calibri"/>
                <w:color w:val="000000"/>
                <w:sz w:val="18"/>
                <w:szCs w:val="18"/>
                <w:lang w:val="en-US" w:eastAsia="en-GB"/>
              </w:rPr>
            </w:pPr>
            <w:r w:rsidRPr="00413F28">
              <w:rPr>
                <w:rFonts w:eastAsia="Times New Roman" w:cs="Calibri"/>
                <w:color w:val="000000"/>
                <w:sz w:val="18"/>
                <w:szCs w:val="18"/>
                <w:lang w:val="en-US" w:eastAsia="en-GB"/>
              </w:rPr>
              <w:t>N/A</w:t>
            </w:r>
          </w:p>
        </w:tc>
        <w:tc>
          <w:tcPr>
            <w:tcW w:w="1916" w:type="dxa"/>
            <w:shd w:val="clear" w:color="auto" w:fill="auto"/>
            <w:vAlign w:val="center"/>
            <w:hideMark/>
          </w:tcPr>
          <w:p w14:paraId="1E25CE03" w14:textId="77777777" w:rsidR="00BD154D" w:rsidRPr="00413F28" w:rsidRDefault="00BD154D" w:rsidP="00DF2591">
            <w:pPr>
              <w:spacing w:after="0" w:line="240" w:lineRule="auto"/>
              <w:jc w:val="center"/>
              <w:rPr>
                <w:rFonts w:eastAsia="Times New Roman" w:cs="Calibri"/>
                <w:color w:val="000000"/>
                <w:sz w:val="18"/>
                <w:szCs w:val="18"/>
                <w:lang w:val="en-US" w:eastAsia="en-GB"/>
              </w:rPr>
            </w:pPr>
            <w:r w:rsidRPr="00413F28">
              <w:rPr>
                <w:rFonts w:eastAsia="Times New Roman" w:cs="Calibri"/>
                <w:color w:val="000000"/>
                <w:sz w:val="18"/>
                <w:szCs w:val="18"/>
                <w:lang w:val="en-US" w:eastAsia="en-GB"/>
              </w:rPr>
              <w:t>Error rate</w:t>
            </w:r>
          </w:p>
        </w:tc>
        <w:tc>
          <w:tcPr>
            <w:tcW w:w="2320" w:type="dxa"/>
            <w:shd w:val="clear" w:color="auto" w:fill="auto"/>
            <w:vAlign w:val="center"/>
            <w:hideMark/>
          </w:tcPr>
          <w:p w14:paraId="2B5CFF6A" w14:textId="77777777" w:rsidR="00BD154D" w:rsidRPr="00413F28" w:rsidRDefault="00BD154D" w:rsidP="00DF2591">
            <w:pPr>
              <w:spacing w:after="0" w:line="240" w:lineRule="auto"/>
              <w:jc w:val="center"/>
              <w:rPr>
                <w:rFonts w:eastAsia="Times New Roman" w:cs="Calibri"/>
                <w:color w:val="000000"/>
                <w:sz w:val="18"/>
                <w:szCs w:val="18"/>
                <w:lang w:val="en-US" w:eastAsia="en-GB"/>
              </w:rPr>
            </w:pPr>
            <w:r w:rsidRPr="00413F28">
              <w:rPr>
                <w:rFonts w:eastAsia="Times New Roman" w:cs="Calibri"/>
                <w:color w:val="000000"/>
                <w:sz w:val="18"/>
                <w:szCs w:val="18"/>
                <w:lang w:val="en-US" w:eastAsia="en-GB"/>
              </w:rPr>
              <w:t xml:space="preserve">% </w:t>
            </w:r>
            <w:proofErr w:type="gramStart"/>
            <w:r w:rsidRPr="00413F28">
              <w:rPr>
                <w:rFonts w:eastAsia="Times New Roman" w:cs="Calibri"/>
                <w:color w:val="000000"/>
                <w:sz w:val="18"/>
                <w:szCs w:val="18"/>
                <w:lang w:val="en-US" w:eastAsia="en-GB"/>
              </w:rPr>
              <w:t>of</w:t>
            </w:r>
            <w:proofErr w:type="gramEnd"/>
            <w:r w:rsidRPr="00413F28">
              <w:rPr>
                <w:rFonts w:eastAsia="Times New Roman" w:cs="Calibri"/>
                <w:color w:val="000000"/>
                <w:sz w:val="18"/>
                <w:szCs w:val="18"/>
                <w:lang w:val="en-US" w:eastAsia="en-GB"/>
              </w:rPr>
              <w:t xml:space="preserve"> common representative error; % residual error</w:t>
            </w:r>
          </w:p>
        </w:tc>
        <w:tc>
          <w:tcPr>
            <w:tcW w:w="4139" w:type="dxa"/>
            <w:shd w:val="clear" w:color="auto" w:fill="auto"/>
            <w:vAlign w:val="center"/>
            <w:hideMark/>
          </w:tcPr>
          <w:p w14:paraId="29BF536F" w14:textId="77777777" w:rsidR="00BD154D" w:rsidRPr="00435C2C" w:rsidRDefault="00BD154D" w:rsidP="00DF2591">
            <w:pPr>
              <w:spacing w:after="0" w:line="240" w:lineRule="auto"/>
              <w:jc w:val="center"/>
              <w:rPr>
                <w:rFonts w:eastAsia="Times New Roman" w:cs="Calibri"/>
                <w:color w:val="000000"/>
                <w:sz w:val="18"/>
                <w:szCs w:val="18"/>
                <w:lang w:val="en-US" w:eastAsia="en-GB"/>
              </w:rPr>
            </w:pPr>
            <w:r w:rsidRPr="00435C2C">
              <w:rPr>
                <w:rFonts w:eastAsia="Times New Roman" w:cs="Calibri"/>
                <w:color w:val="000000"/>
                <w:sz w:val="18"/>
                <w:szCs w:val="18"/>
                <w:lang w:val="en-US" w:eastAsia="en-GB"/>
              </w:rPr>
              <w:t>H2020:</w:t>
            </w:r>
          </w:p>
          <w:p w14:paraId="2BF09F91" w14:textId="007A17DF" w:rsidR="00BD154D" w:rsidRPr="00435C2C" w:rsidRDefault="00BD154D" w:rsidP="00DF2591">
            <w:pPr>
              <w:spacing w:after="0" w:line="240" w:lineRule="auto"/>
              <w:jc w:val="center"/>
              <w:rPr>
                <w:rFonts w:eastAsia="Times New Roman" w:cs="Calibri"/>
                <w:color w:val="000000"/>
                <w:sz w:val="18"/>
                <w:szCs w:val="18"/>
                <w:lang w:val="en-US" w:eastAsia="en-GB"/>
              </w:rPr>
            </w:pPr>
            <w:r w:rsidRPr="00435C2C">
              <w:rPr>
                <w:rFonts w:eastAsia="Times New Roman" w:cs="Calibri"/>
                <w:color w:val="000000"/>
                <w:sz w:val="18"/>
                <w:szCs w:val="18"/>
                <w:lang w:val="en-US" w:eastAsia="en-GB"/>
              </w:rPr>
              <w:t xml:space="preserve">Representative: </w:t>
            </w:r>
            <w:r w:rsidR="00435C2C" w:rsidRPr="00435C2C">
              <w:rPr>
                <w:rFonts w:eastAsia="Times New Roman" w:cs="Calibri"/>
                <w:color w:val="000000"/>
                <w:sz w:val="18"/>
                <w:szCs w:val="18"/>
                <w:lang w:val="en-US" w:eastAsia="en-GB"/>
              </w:rPr>
              <w:t>3</w:t>
            </w:r>
            <w:r w:rsidRPr="00435C2C">
              <w:rPr>
                <w:rFonts w:eastAsia="Times New Roman" w:cs="Calibri"/>
                <w:color w:val="000000"/>
                <w:sz w:val="18"/>
                <w:szCs w:val="18"/>
                <w:lang w:val="en-US" w:eastAsia="en-GB"/>
              </w:rPr>
              <w:t>.</w:t>
            </w:r>
            <w:r w:rsidR="00435C2C" w:rsidRPr="00435C2C">
              <w:rPr>
                <w:rFonts w:eastAsia="Times New Roman" w:cs="Calibri"/>
                <w:color w:val="000000"/>
                <w:sz w:val="18"/>
                <w:szCs w:val="18"/>
                <w:lang w:val="en-US" w:eastAsia="en-GB"/>
              </w:rPr>
              <w:t>84</w:t>
            </w:r>
            <w:r w:rsidRPr="00435C2C">
              <w:rPr>
                <w:rFonts w:eastAsia="Times New Roman" w:cs="Calibri"/>
                <w:color w:val="000000"/>
                <w:sz w:val="18"/>
                <w:szCs w:val="18"/>
                <w:lang w:val="en-US" w:eastAsia="en-GB"/>
              </w:rPr>
              <w:t>%</w:t>
            </w:r>
          </w:p>
          <w:p w14:paraId="49265A23" w14:textId="08B2F796" w:rsidR="00BD154D" w:rsidRPr="004C53FC" w:rsidRDefault="00BD154D" w:rsidP="00DF2591">
            <w:pPr>
              <w:spacing w:after="0" w:line="240" w:lineRule="auto"/>
              <w:jc w:val="center"/>
              <w:rPr>
                <w:rFonts w:eastAsia="Times New Roman" w:cs="Calibri"/>
                <w:color w:val="000000"/>
                <w:sz w:val="18"/>
                <w:szCs w:val="18"/>
                <w:lang w:val="en-US" w:eastAsia="en-GB"/>
              </w:rPr>
            </w:pPr>
            <w:r w:rsidRPr="004C53FC">
              <w:rPr>
                <w:rFonts w:eastAsia="Times New Roman" w:cs="Calibri"/>
                <w:color w:val="000000"/>
                <w:sz w:val="18"/>
                <w:szCs w:val="18"/>
                <w:lang w:val="en-US" w:eastAsia="en-GB"/>
              </w:rPr>
              <w:t>Residual:</w:t>
            </w:r>
            <w:r w:rsidR="004C53FC" w:rsidRPr="004C53FC">
              <w:rPr>
                <w:rFonts w:eastAsia="Times New Roman" w:cs="Calibri"/>
                <w:color w:val="000000"/>
                <w:sz w:val="18"/>
                <w:szCs w:val="18"/>
                <w:lang w:val="en-US" w:eastAsia="en-GB"/>
              </w:rPr>
              <w:t xml:space="preserve"> </w:t>
            </w:r>
            <w:r w:rsidRPr="004C53FC">
              <w:rPr>
                <w:rFonts w:eastAsia="Times New Roman" w:cs="Calibri"/>
                <w:color w:val="000000"/>
                <w:sz w:val="18"/>
                <w:szCs w:val="18"/>
                <w:lang w:val="en-US" w:eastAsia="en-GB"/>
              </w:rPr>
              <w:t>1.</w:t>
            </w:r>
            <w:r w:rsidR="004C53FC" w:rsidRPr="004C53FC">
              <w:rPr>
                <w:rFonts w:eastAsia="Times New Roman" w:cs="Calibri"/>
                <w:color w:val="000000"/>
                <w:sz w:val="18"/>
                <w:szCs w:val="18"/>
                <w:lang w:val="en-US" w:eastAsia="en-GB"/>
              </w:rPr>
              <w:t>73</w:t>
            </w:r>
            <w:r w:rsidRPr="004C53FC">
              <w:rPr>
                <w:rFonts w:eastAsia="Times New Roman" w:cs="Calibri"/>
                <w:color w:val="000000"/>
                <w:sz w:val="18"/>
                <w:szCs w:val="18"/>
                <w:lang w:val="en-US" w:eastAsia="en-GB"/>
              </w:rPr>
              <w:t xml:space="preserve">% </w:t>
            </w:r>
          </w:p>
          <w:p w14:paraId="5F5CD019" w14:textId="77777777" w:rsidR="00BD154D" w:rsidRPr="00952C09" w:rsidRDefault="00BD154D" w:rsidP="00DF2591">
            <w:pPr>
              <w:spacing w:after="0" w:line="240" w:lineRule="auto"/>
              <w:jc w:val="center"/>
              <w:rPr>
                <w:rFonts w:eastAsia="Times New Roman" w:cs="Calibri"/>
                <w:color w:val="000000"/>
                <w:sz w:val="18"/>
                <w:szCs w:val="18"/>
                <w:highlight w:val="yellow"/>
                <w:lang w:val="en-US" w:eastAsia="en-GB"/>
              </w:rPr>
            </w:pPr>
          </w:p>
          <w:p w14:paraId="06A831B1" w14:textId="5A11B47C" w:rsidR="00BD154D" w:rsidRPr="00B169B6" w:rsidRDefault="00BD154D" w:rsidP="00DF2591">
            <w:pPr>
              <w:jc w:val="center"/>
              <w:rPr>
                <w:rFonts w:eastAsia="Times New Roman" w:cs="Calibri"/>
                <w:color w:val="000000"/>
                <w:sz w:val="18"/>
                <w:szCs w:val="18"/>
                <w:highlight w:val="yellow"/>
                <w:lang w:val="en-US" w:eastAsia="en-GB"/>
              </w:rPr>
            </w:pPr>
          </w:p>
        </w:tc>
      </w:tr>
      <w:tr w:rsidR="00BD154D" w:rsidRPr="004133DA" w14:paraId="2294B40C" w14:textId="77777777" w:rsidTr="00DF2591">
        <w:trPr>
          <w:trHeight w:val="1121"/>
        </w:trPr>
        <w:tc>
          <w:tcPr>
            <w:tcW w:w="829" w:type="dxa"/>
            <w:shd w:val="clear" w:color="auto" w:fill="auto"/>
            <w:vAlign w:val="center"/>
            <w:hideMark/>
          </w:tcPr>
          <w:p w14:paraId="40554F61" w14:textId="77777777" w:rsidR="00BD154D" w:rsidRPr="00413F28" w:rsidRDefault="00BD154D" w:rsidP="00DF2591">
            <w:pPr>
              <w:spacing w:after="0" w:line="240" w:lineRule="auto"/>
              <w:jc w:val="center"/>
              <w:rPr>
                <w:rFonts w:eastAsia="Times New Roman" w:cs="Calibri"/>
                <w:color w:val="000000"/>
                <w:sz w:val="18"/>
                <w:szCs w:val="18"/>
                <w:lang w:val="en-US" w:eastAsia="en-GB"/>
              </w:rPr>
            </w:pPr>
            <w:r w:rsidRPr="00413F28">
              <w:rPr>
                <w:rFonts w:eastAsia="Times New Roman" w:cs="Calibri"/>
                <w:color w:val="000000"/>
                <w:sz w:val="18"/>
                <w:szCs w:val="18"/>
                <w:lang w:val="en-US" w:eastAsia="en-GB"/>
              </w:rPr>
              <w:t>N/A</w:t>
            </w:r>
          </w:p>
        </w:tc>
        <w:tc>
          <w:tcPr>
            <w:tcW w:w="1916" w:type="dxa"/>
            <w:shd w:val="clear" w:color="auto" w:fill="auto"/>
            <w:vAlign w:val="center"/>
            <w:hideMark/>
          </w:tcPr>
          <w:p w14:paraId="23D31016" w14:textId="77777777" w:rsidR="00BD154D" w:rsidRPr="00413F28" w:rsidRDefault="00BD154D" w:rsidP="00DF2591">
            <w:pPr>
              <w:spacing w:after="0" w:line="240" w:lineRule="auto"/>
              <w:jc w:val="center"/>
              <w:rPr>
                <w:rFonts w:eastAsia="Times New Roman" w:cs="Calibri"/>
                <w:color w:val="000000"/>
                <w:sz w:val="18"/>
                <w:szCs w:val="18"/>
                <w:lang w:val="en-US" w:eastAsia="en-GB"/>
              </w:rPr>
            </w:pPr>
            <w:r w:rsidRPr="00413F28">
              <w:rPr>
                <w:rFonts w:eastAsia="Times New Roman" w:cs="Calibri"/>
                <w:color w:val="000000"/>
                <w:sz w:val="18"/>
                <w:szCs w:val="18"/>
                <w:lang w:val="en-US" w:eastAsia="en-GB"/>
              </w:rPr>
              <w:t xml:space="preserve">Implementation of </w:t>
            </w:r>
            <w:r w:rsidRPr="00843DB9">
              <w:rPr>
                <w:rFonts w:eastAsia="Times New Roman" w:cs="Calibri"/>
                <w:i/>
                <w:color w:val="000000"/>
                <w:sz w:val="18"/>
                <w:szCs w:val="18"/>
                <w:lang w:val="en-US" w:eastAsia="en-GB"/>
              </w:rPr>
              <w:t>ex</w:t>
            </w:r>
            <w:r>
              <w:rPr>
                <w:rFonts w:eastAsia="Times New Roman" w:cs="Calibri"/>
                <w:i/>
                <w:color w:val="000000"/>
                <w:sz w:val="18"/>
                <w:szCs w:val="18"/>
                <w:lang w:val="en-US" w:eastAsia="en-GB"/>
              </w:rPr>
              <w:t>-</w:t>
            </w:r>
            <w:r w:rsidRPr="00843DB9">
              <w:rPr>
                <w:rFonts w:eastAsia="Times New Roman" w:cs="Calibri"/>
                <w:i/>
                <w:color w:val="000000"/>
                <w:sz w:val="18"/>
                <w:szCs w:val="18"/>
                <w:lang w:val="en-US" w:eastAsia="en-GB"/>
              </w:rPr>
              <w:t>post</w:t>
            </w:r>
            <w:r w:rsidRPr="00413F28">
              <w:rPr>
                <w:rFonts w:eastAsia="Times New Roman" w:cs="Calibri"/>
                <w:color w:val="000000"/>
                <w:sz w:val="18"/>
                <w:szCs w:val="18"/>
                <w:lang w:val="en-US" w:eastAsia="en-GB"/>
              </w:rPr>
              <w:t xml:space="preserve"> audit results</w:t>
            </w:r>
          </w:p>
        </w:tc>
        <w:tc>
          <w:tcPr>
            <w:tcW w:w="2320" w:type="dxa"/>
            <w:shd w:val="clear" w:color="auto" w:fill="auto"/>
            <w:vAlign w:val="center"/>
            <w:hideMark/>
          </w:tcPr>
          <w:p w14:paraId="731CD948" w14:textId="77777777" w:rsidR="00BD154D" w:rsidRPr="00413F28" w:rsidRDefault="00BD154D" w:rsidP="00DF2591">
            <w:pPr>
              <w:spacing w:after="0" w:line="240" w:lineRule="auto"/>
              <w:jc w:val="center"/>
              <w:rPr>
                <w:rFonts w:eastAsia="Times New Roman" w:cs="Calibri"/>
                <w:color w:val="000000"/>
                <w:sz w:val="18"/>
                <w:szCs w:val="18"/>
                <w:lang w:val="en-US" w:eastAsia="en-GB"/>
              </w:rPr>
            </w:pPr>
            <w:r w:rsidRPr="00413F28">
              <w:rPr>
                <w:rFonts w:eastAsia="Times New Roman" w:cs="Calibri"/>
                <w:color w:val="000000"/>
                <w:sz w:val="18"/>
                <w:szCs w:val="18"/>
                <w:lang w:val="en-US" w:eastAsia="en-GB"/>
              </w:rPr>
              <w:t xml:space="preserve">Number of cases implemented; in </w:t>
            </w:r>
            <w:r w:rsidRPr="002E4BC7">
              <w:rPr>
                <w:rFonts w:eastAsia="Times New Roman" w:cs="Calibri"/>
                <w:color w:val="000000"/>
                <w:sz w:val="18"/>
                <w:szCs w:val="18"/>
                <w:lang w:val="en-US" w:eastAsia="en-GB"/>
              </w:rPr>
              <w:t>total EUR</w:t>
            </w:r>
            <w:r>
              <w:rPr>
                <w:rFonts w:eastAsia="Times New Roman" w:cs="Calibri"/>
                <w:color w:val="000000"/>
                <w:sz w:val="18"/>
                <w:szCs w:val="18"/>
                <w:lang w:val="en-US" w:eastAsia="en-GB"/>
              </w:rPr>
              <w:t xml:space="preserve"> </w:t>
            </w:r>
            <w:r w:rsidRPr="00413F28">
              <w:rPr>
                <w:rFonts w:eastAsia="Times New Roman" w:cs="Calibri"/>
                <w:color w:val="000000"/>
                <w:sz w:val="18"/>
                <w:szCs w:val="18"/>
                <w:lang w:val="en-US" w:eastAsia="en-GB"/>
              </w:rPr>
              <w:t>million; of cases implemented/total cases</w:t>
            </w:r>
          </w:p>
        </w:tc>
        <w:tc>
          <w:tcPr>
            <w:tcW w:w="4139" w:type="dxa"/>
            <w:shd w:val="clear" w:color="auto" w:fill="auto"/>
            <w:vAlign w:val="center"/>
            <w:hideMark/>
          </w:tcPr>
          <w:p w14:paraId="34C88F53" w14:textId="63BF5D50" w:rsidR="00BD154D" w:rsidRPr="00435C2C" w:rsidRDefault="00BD154D" w:rsidP="00DF2591">
            <w:pPr>
              <w:jc w:val="center"/>
              <w:rPr>
                <w:color w:val="000000"/>
                <w:sz w:val="18"/>
                <w:szCs w:val="18"/>
                <w:lang w:val="en-US" w:eastAsia="en-GB"/>
              </w:rPr>
            </w:pPr>
            <w:r w:rsidRPr="00435C2C">
              <w:rPr>
                <w:color w:val="000000"/>
                <w:sz w:val="18"/>
                <w:szCs w:val="18"/>
                <w:lang w:val="en-US" w:eastAsia="en-GB"/>
              </w:rPr>
              <w:t xml:space="preserve">H2020: # closed </w:t>
            </w:r>
            <w:proofErr w:type="gramStart"/>
            <w:r w:rsidRPr="00435C2C">
              <w:rPr>
                <w:color w:val="000000"/>
                <w:sz w:val="18"/>
                <w:szCs w:val="18"/>
                <w:lang w:val="en-US" w:eastAsia="en-GB"/>
              </w:rPr>
              <w:t>participations :</w:t>
            </w:r>
            <w:proofErr w:type="gramEnd"/>
            <w:r w:rsidRPr="00435C2C">
              <w:rPr>
                <w:color w:val="000000"/>
                <w:sz w:val="18"/>
                <w:szCs w:val="18"/>
                <w:lang w:val="en-US" w:eastAsia="en-GB"/>
              </w:rPr>
              <w:t xml:space="preserve"> </w:t>
            </w:r>
            <w:r w:rsidR="00435C2C" w:rsidRPr="00435C2C">
              <w:rPr>
                <w:color w:val="000000"/>
                <w:sz w:val="18"/>
                <w:szCs w:val="18"/>
                <w:lang w:val="en-US" w:eastAsia="en-GB"/>
              </w:rPr>
              <w:t>92</w:t>
            </w:r>
          </w:p>
          <w:p w14:paraId="0D2F39D9" w14:textId="4CB1334E" w:rsidR="00BD154D" w:rsidRPr="00DA2346" w:rsidRDefault="00BD154D" w:rsidP="00DF2591">
            <w:pPr>
              <w:jc w:val="center"/>
              <w:rPr>
                <w:color w:val="000000"/>
                <w:sz w:val="18"/>
                <w:szCs w:val="18"/>
                <w:lang w:val="en-US" w:eastAsia="en-GB"/>
              </w:rPr>
            </w:pPr>
            <w:r w:rsidRPr="00DA2346">
              <w:rPr>
                <w:color w:val="000000"/>
                <w:sz w:val="18"/>
                <w:szCs w:val="18"/>
                <w:lang w:val="en-US" w:eastAsia="en-GB"/>
              </w:rPr>
              <w:t>Percentage of implementation: 8</w:t>
            </w:r>
            <w:r w:rsidR="00DA2346" w:rsidRPr="00DA2346">
              <w:rPr>
                <w:color w:val="000000"/>
                <w:sz w:val="18"/>
                <w:szCs w:val="18"/>
                <w:lang w:val="en-US" w:eastAsia="en-GB"/>
              </w:rPr>
              <w:t>5.31</w:t>
            </w:r>
            <w:r w:rsidRPr="00DA2346">
              <w:rPr>
                <w:color w:val="000000"/>
                <w:sz w:val="18"/>
                <w:szCs w:val="18"/>
                <w:lang w:val="en-US" w:eastAsia="en-GB"/>
              </w:rPr>
              <w:t>%</w:t>
            </w:r>
          </w:p>
          <w:p w14:paraId="6FE796E5" w14:textId="77777777" w:rsidR="00BD154D" w:rsidRPr="00B169B6" w:rsidRDefault="00BD154D" w:rsidP="00435C2C">
            <w:pPr>
              <w:jc w:val="center"/>
              <w:rPr>
                <w:rFonts w:eastAsia="Times New Roman" w:cs="Calibri"/>
                <w:color w:val="000000"/>
                <w:sz w:val="18"/>
                <w:szCs w:val="18"/>
                <w:highlight w:val="yellow"/>
                <w:lang w:val="en-US" w:eastAsia="en-GB"/>
              </w:rPr>
            </w:pPr>
          </w:p>
        </w:tc>
      </w:tr>
    </w:tbl>
    <w:p w14:paraId="3DCBF6B8" w14:textId="77777777" w:rsidR="00BD154D" w:rsidRDefault="00BD154D" w:rsidP="00BD154D">
      <w:pPr>
        <w:rPr>
          <w:rFonts w:asciiTheme="minorHAnsi" w:hAnsiTheme="minorHAnsi"/>
          <w:b/>
          <w:sz w:val="24"/>
          <w:szCs w:val="24"/>
          <w:u w:val="single"/>
        </w:rPr>
      </w:pPr>
    </w:p>
    <w:p w14:paraId="54C4B9D3" w14:textId="77777777" w:rsidR="00BD154D" w:rsidRDefault="00BD154D" w:rsidP="00BD154D">
      <w:pPr>
        <w:spacing w:after="0" w:line="240" w:lineRule="auto"/>
      </w:pPr>
    </w:p>
    <w:p w14:paraId="1A19AA59" w14:textId="77777777" w:rsidR="00BD154D" w:rsidRDefault="00BD154D" w:rsidP="00BD154D">
      <w:pPr>
        <w:spacing w:after="0" w:line="240" w:lineRule="auto"/>
        <w:rPr>
          <w:rStyle w:val="Heading2Char"/>
          <w:rFonts w:eastAsia="Calibri"/>
          <w:bCs w:val="0"/>
          <w:iCs w:val="0"/>
        </w:rPr>
      </w:pPr>
      <w:r>
        <w:rPr>
          <w:rStyle w:val="Heading2Char"/>
          <w:rFonts w:eastAsia="Calibri"/>
          <w:b w:val="0"/>
        </w:rPr>
        <w:br w:type="page"/>
      </w:r>
    </w:p>
    <w:p w14:paraId="65A8D1E0" w14:textId="7019AA09" w:rsidR="00BD154D" w:rsidRDefault="00BD154D" w:rsidP="00BD154D">
      <w:pPr>
        <w:pStyle w:val="Heading2"/>
        <w:ind w:left="567" w:hanging="576"/>
        <w:rPr>
          <w:lang w:val="en-US"/>
        </w:rPr>
      </w:pPr>
      <w:bookmarkStart w:id="264" w:name="_Toc98496392"/>
      <w:bookmarkStart w:id="265" w:name="_Toc101516109"/>
      <w:r w:rsidRPr="00A71890">
        <w:rPr>
          <w:rStyle w:val="Heading2Char"/>
          <w:b/>
        </w:rPr>
        <w:lastRenderedPageBreak/>
        <w:t>Annex</w:t>
      </w:r>
      <w:r w:rsidRPr="00A71890">
        <w:rPr>
          <w:lang w:val="en-US"/>
        </w:rPr>
        <w:t xml:space="preserve"> 7 - Scoreboard of KPIs specific to JU</w:t>
      </w:r>
      <w:bookmarkEnd w:id="259"/>
      <w:bookmarkEnd w:id="260"/>
      <w:bookmarkEnd w:id="264"/>
      <w:r w:rsidR="00DD685F">
        <w:rPr>
          <w:rStyle w:val="FootnoteReference"/>
          <w:lang w:val="en-US"/>
        </w:rPr>
        <w:footnoteReference w:id="130"/>
      </w:r>
      <w:bookmarkEnd w:id="265"/>
    </w:p>
    <w:p w14:paraId="2B7EF86E" w14:textId="77777777" w:rsidR="003B649D" w:rsidRPr="003B649D" w:rsidRDefault="003B649D" w:rsidP="003B649D">
      <w:pPr>
        <w:spacing w:after="100" w:afterAutospacing="1"/>
        <w:jc w:val="center"/>
        <w:rPr>
          <w:rFonts w:ascii="Arial" w:hAnsi="Arial" w:cs="Arial"/>
        </w:rPr>
      </w:pPr>
    </w:p>
    <w:p w14:paraId="300E9546" w14:textId="10DCB70A" w:rsidR="003B649D" w:rsidRPr="003B649D" w:rsidRDefault="003B649D" w:rsidP="003B649D">
      <w:pPr>
        <w:spacing w:after="100" w:afterAutospacing="1"/>
        <w:jc w:val="center"/>
        <w:rPr>
          <w:rFonts w:ascii="Arial" w:hAnsi="Arial" w:cs="Arial"/>
        </w:rPr>
      </w:pPr>
      <w:r w:rsidRPr="003B649D">
        <w:rPr>
          <w:rFonts w:ascii="Arial" w:hAnsi="Arial" w:cs="Arial"/>
        </w:rPr>
        <w:t>KPIs specific to FCH 2 JU</w:t>
      </w:r>
    </w:p>
    <w:p w14:paraId="18886B66" w14:textId="77777777" w:rsidR="00BD154D" w:rsidRPr="004133DA" w:rsidRDefault="00BD154D" w:rsidP="00BD154D">
      <w:pPr>
        <w:spacing w:after="0"/>
        <w:rPr>
          <w:rFonts w:asciiTheme="minorHAnsi" w:hAnsiTheme="minorHAnsi"/>
          <w:b/>
          <w:sz w:val="24"/>
          <w:szCs w:val="24"/>
          <w:lang w:val="en-US"/>
        </w:rPr>
      </w:pPr>
    </w:p>
    <w:tbl>
      <w:tblPr>
        <w:tblW w:w="4285" w:type="pct"/>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953"/>
        <w:gridCol w:w="4246"/>
      </w:tblGrid>
      <w:tr w:rsidR="00BD154D" w:rsidRPr="001E7E02" w14:paraId="0702EC0D" w14:textId="77777777" w:rsidTr="00DF2591">
        <w:trPr>
          <w:trHeight w:val="868"/>
          <w:tblHeader/>
        </w:trPr>
        <w:tc>
          <w:tcPr>
            <w:tcW w:w="365" w:type="pct"/>
            <w:shd w:val="clear" w:color="auto" w:fill="0070C0"/>
            <w:noWrap/>
          </w:tcPr>
          <w:p w14:paraId="448CE68C" w14:textId="77777777" w:rsidR="00BD154D" w:rsidRPr="001E7E02" w:rsidRDefault="00BD154D" w:rsidP="00DF2591">
            <w:pPr>
              <w:spacing w:after="0" w:line="240" w:lineRule="auto"/>
              <w:jc w:val="center"/>
              <w:rPr>
                <w:rFonts w:asciiTheme="minorHAnsi" w:eastAsia="Times New Roman" w:hAnsiTheme="minorHAnsi"/>
                <w:color w:val="FFFFFF" w:themeColor="background1"/>
                <w:sz w:val="24"/>
                <w:szCs w:val="24"/>
                <w:lang w:val="en-US" w:eastAsia="en-GB"/>
              </w:rPr>
            </w:pPr>
          </w:p>
          <w:p w14:paraId="6C754F11" w14:textId="77777777" w:rsidR="00BD154D" w:rsidRPr="001E7E02" w:rsidRDefault="00BD154D" w:rsidP="00DF2591">
            <w:pPr>
              <w:spacing w:after="0" w:line="240" w:lineRule="auto"/>
              <w:jc w:val="center"/>
              <w:rPr>
                <w:rFonts w:asciiTheme="minorHAnsi" w:eastAsia="Times New Roman" w:hAnsiTheme="minorHAnsi"/>
                <w:b/>
                <w:color w:val="FFFFFF" w:themeColor="background1"/>
                <w:sz w:val="24"/>
                <w:szCs w:val="24"/>
                <w:lang w:val="en-US" w:eastAsia="en-GB"/>
              </w:rPr>
            </w:pPr>
            <w:r w:rsidRPr="001E7E02">
              <w:rPr>
                <w:rFonts w:asciiTheme="minorHAnsi" w:eastAsia="Times New Roman" w:hAnsiTheme="minorHAnsi"/>
                <w:b/>
                <w:bCs/>
                <w:color w:val="FFFFFF" w:themeColor="background1"/>
                <w:lang w:val="en-US" w:eastAsia="en-GB"/>
              </w:rPr>
              <w:t>No</w:t>
            </w:r>
            <w:r>
              <w:rPr>
                <w:rFonts w:asciiTheme="minorHAnsi" w:eastAsia="Times New Roman" w:hAnsiTheme="minorHAnsi"/>
                <w:b/>
                <w:bCs/>
                <w:color w:val="FFFFFF" w:themeColor="background1"/>
                <w:lang w:val="en-US" w:eastAsia="en-GB"/>
              </w:rPr>
              <w:t>.</w:t>
            </w:r>
          </w:p>
        </w:tc>
        <w:tc>
          <w:tcPr>
            <w:tcW w:w="1901" w:type="pct"/>
            <w:shd w:val="clear" w:color="auto" w:fill="0070C0"/>
            <w:vAlign w:val="center"/>
          </w:tcPr>
          <w:p w14:paraId="6B672095" w14:textId="77777777" w:rsidR="00BD154D" w:rsidRPr="001E7E02" w:rsidRDefault="00BD154D" w:rsidP="00DF2591">
            <w:pPr>
              <w:spacing w:after="0" w:line="240" w:lineRule="auto"/>
              <w:jc w:val="center"/>
              <w:rPr>
                <w:rFonts w:asciiTheme="minorHAnsi" w:eastAsia="Times New Roman" w:hAnsiTheme="minorHAnsi"/>
                <w:b/>
                <w:bCs/>
                <w:color w:val="FFFFFF" w:themeColor="background1"/>
                <w:lang w:val="en-US" w:eastAsia="en-GB"/>
              </w:rPr>
            </w:pPr>
            <w:r>
              <w:rPr>
                <w:rFonts w:asciiTheme="minorHAnsi" w:eastAsia="Times New Roman" w:hAnsiTheme="minorHAnsi"/>
                <w:b/>
                <w:bCs/>
                <w:color w:val="FFFFFF" w:themeColor="background1"/>
                <w:lang w:val="en-US" w:eastAsia="en-GB"/>
              </w:rPr>
              <w:t>KPI</w:t>
            </w:r>
          </w:p>
        </w:tc>
        <w:tc>
          <w:tcPr>
            <w:tcW w:w="2734" w:type="pct"/>
            <w:shd w:val="clear" w:color="auto" w:fill="0070C0"/>
            <w:vAlign w:val="center"/>
          </w:tcPr>
          <w:p w14:paraId="6E59D310" w14:textId="77777777" w:rsidR="00BD154D" w:rsidRPr="001E7E02" w:rsidRDefault="00BD154D" w:rsidP="00DF2591">
            <w:pPr>
              <w:spacing w:after="0" w:line="240" w:lineRule="auto"/>
              <w:jc w:val="center"/>
              <w:rPr>
                <w:rFonts w:asciiTheme="minorHAnsi" w:eastAsia="Times New Roman" w:hAnsiTheme="minorHAnsi"/>
                <w:b/>
                <w:bCs/>
                <w:color w:val="FFFFFF" w:themeColor="background1"/>
                <w:lang w:val="en-US" w:eastAsia="en-GB"/>
              </w:rPr>
            </w:pPr>
            <w:r w:rsidRPr="001E7E02">
              <w:rPr>
                <w:rFonts w:asciiTheme="minorHAnsi" w:eastAsia="Times New Roman" w:hAnsiTheme="minorHAnsi"/>
                <w:b/>
                <w:bCs/>
                <w:color w:val="FFFFFF" w:themeColor="background1"/>
                <w:lang w:val="en-US" w:eastAsia="en-GB"/>
              </w:rPr>
              <w:t>Results</w:t>
            </w:r>
          </w:p>
        </w:tc>
      </w:tr>
      <w:tr w:rsidR="00BD154D" w:rsidRPr="004133DA" w14:paraId="17178440" w14:textId="77777777" w:rsidTr="00DF2591">
        <w:trPr>
          <w:trHeight w:val="1694"/>
        </w:trPr>
        <w:tc>
          <w:tcPr>
            <w:tcW w:w="365" w:type="pct"/>
            <w:shd w:val="clear" w:color="auto" w:fill="auto"/>
            <w:noWrap/>
            <w:vAlign w:val="center"/>
          </w:tcPr>
          <w:p w14:paraId="16265D1B" w14:textId="77777777" w:rsidR="00BD154D" w:rsidRPr="00A56B78" w:rsidRDefault="00BD154D" w:rsidP="00DF2591">
            <w:pPr>
              <w:spacing w:after="0" w:line="240" w:lineRule="auto"/>
              <w:jc w:val="center"/>
              <w:rPr>
                <w:rFonts w:asciiTheme="minorHAnsi" w:eastAsia="Times New Roman" w:hAnsiTheme="minorHAnsi"/>
                <w:lang w:val="en-US" w:eastAsia="en-GB"/>
              </w:rPr>
            </w:pPr>
            <w:r w:rsidRPr="00A56B78">
              <w:rPr>
                <w:rFonts w:asciiTheme="minorHAnsi" w:eastAsia="Times New Roman" w:hAnsiTheme="minorHAnsi"/>
                <w:lang w:val="en-US" w:eastAsia="en-GB"/>
              </w:rPr>
              <w:t>1</w:t>
            </w:r>
          </w:p>
        </w:tc>
        <w:tc>
          <w:tcPr>
            <w:tcW w:w="1901" w:type="pct"/>
            <w:shd w:val="clear" w:color="auto" w:fill="auto"/>
            <w:vAlign w:val="center"/>
          </w:tcPr>
          <w:p w14:paraId="58CE98FE" w14:textId="77777777" w:rsidR="00BD154D" w:rsidRPr="00A56B78" w:rsidRDefault="00BD154D" w:rsidP="00DF2591">
            <w:pPr>
              <w:spacing w:after="0"/>
              <w:rPr>
                <w:rFonts w:asciiTheme="minorHAnsi" w:hAnsiTheme="minorHAnsi"/>
                <w:lang w:val="en-US"/>
              </w:rPr>
            </w:pPr>
            <w:r w:rsidRPr="00A56B78">
              <w:rPr>
                <w:rFonts w:asciiTheme="minorHAnsi" w:hAnsiTheme="minorHAnsi"/>
                <w:lang w:val="en-US"/>
              </w:rPr>
              <w:t>Share of the fund</w:t>
            </w:r>
            <w:r>
              <w:rPr>
                <w:rFonts w:asciiTheme="minorHAnsi" w:hAnsiTheme="minorHAnsi"/>
                <w:lang w:val="en-US"/>
              </w:rPr>
              <w:t>ing</w:t>
            </w:r>
            <w:r w:rsidRPr="00A56B78">
              <w:rPr>
                <w:rFonts w:asciiTheme="minorHAnsi" w:hAnsiTheme="minorHAnsi"/>
                <w:lang w:val="en-US"/>
              </w:rPr>
              <w:t xml:space="preserve"> allocated to the following research activities:</w:t>
            </w:r>
          </w:p>
          <w:p w14:paraId="08D02D5B" w14:textId="77777777" w:rsidR="00BD154D" w:rsidRPr="00FC7D10" w:rsidRDefault="00BD154D" w:rsidP="002672A0">
            <w:pPr>
              <w:pStyle w:val="ListParagraph"/>
              <w:numPr>
                <w:ilvl w:val="0"/>
                <w:numId w:val="25"/>
              </w:numPr>
              <w:spacing w:after="0"/>
              <w:ind w:left="352"/>
              <w:rPr>
                <w:rFonts w:asciiTheme="minorHAnsi" w:hAnsiTheme="minorHAnsi"/>
                <w:lang w:val="en-US"/>
              </w:rPr>
            </w:pPr>
            <w:r w:rsidRPr="00FC7D10">
              <w:rPr>
                <w:rFonts w:asciiTheme="minorHAnsi" w:hAnsiTheme="minorHAnsi"/>
                <w:lang w:val="en-US"/>
              </w:rPr>
              <w:t>renewable energy</w:t>
            </w:r>
          </w:p>
          <w:p w14:paraId="3568B0CF" w14:textId="77777777" w:rsidR="00BD154D" w:rsidRPr="00FC7D10" w:rsidRDefault="00BD154D" w:rsidP="002672A0">
            <w:pPr>
              <w:pStyle w:val="ListParagraph"/>
              <w:numPr>
                <w:ilvl w:val="0"/>
                <w:numId w:val="25"/>
              </w:numPr>
              <w:spacing w:after="0"/>
              <w:ind w:left="352"/>
              <w:rPr>
                <w:rFonts w:asciiTheme="minorHAnsi" w:hAnsiTheme="minorHAnsi"/>
                <w:lang w:val="en-US"/>
              </w:rPr>
            </w:pPr>
            <w:r w:rsidRPr="00FC7D10">
              <w:rPr>
                <w:rFonts w:asciiTheme="minorHAnsi" w:hAnsiTheme="minorHAnsi"/>
                <w:lang w:val="en-US"/>
              </w:rPr>
              <w:t>end-user energy efficiency</w:t>
            </w:r>
          </w:p>
          <w:p w14:paraId="0C53CA3F" w14:textId="77777777" w:rsidR="00BD154D" w:rsidRPr="00FC7D10" w:rsidRDefault="00BD154D" w:rsidP="002672A0">
            <w:pPr>
              <w:pStyle w:val="ListParagraph"/>
              <w:numPr>
                <w:ilvl w:val="0"/>
                <w:numId w:val="25"/>
              </w:numPr>
              <w:spacing w:after="0"/>
              <w:ind w:left="352"/>
              <w:rPr>
                <w:rFonts w:asciiTheme="minorHAnsi" w:hAnsiTheme="minorHAnsi"/>
                <w:lang w:val="en-US"/>
              </w:rPr>
            </w:pPr>
            <w:r w:rsidRPr="00FC7D10">
              <w:rPr>
                <w:rFonts w:asciiTheme="minorHAnsi" w:hAnsiTheme="minorHAnsi"/>
                <w:lang w:val="en-US"/>
              </w:rPr>
              <w:t>smart grids</w:t>
            </w:r>
          </w:p>
          <w:p w14:paraId="05828C96" w14:textId="77777777" w:rsidR="00BD154D" w:rsidRPr="00FC7D10" w:rsidRDefault="00BD154D" w:rsidP="002672A0">
            <w:pPr>
              <w:pStyle w:val="ListParagraph"/>
              <w:numPr>
                <w:ilvl w:val="0"/>
                <w:numId w:val="25"/>
              </w:numPr>
              <w:spacing w:after="0"/>
              <w:ind w:left="352"/>
              <w:rPr>
                <w:rFonts w:asciiTheme="minorHAnsi" w:hAnsiTheme="minorHAnsi"/>
                <w:lang w:val="en-US"/>
              </w:rPr>
            </w:pPr>
            <w:r w:rsidRPr="00FC7D10">
              <w:rPr>
                <w:rFonts w:asciiTheme="minorHAnsi" w:hAnsiTheme="minorHAnsi"/>
                <w:lang w:val="en-US"/>
              </w:rPr>
              <w:t>storage</w:t>
            </w:r>
          </w:p>
        </w:tc>
        <w:tc>
          <w:tcPr>
            <w:tcW w:w="2734" w:type="pct"/>
            <w:vAlign w:val="center"/>
          </w:tcPr>
          <w:p w14:paraId="7C5804B8" w14:textId="77777777" w:rsidR="00BD154D" w:rsidRPr="004C0699" w:rsidRDefault="00BD154D" w:rsidP="00DF2591">
            <w:pPr>
              <w:spacing w:after="0" w:line="240" w:lineRule="auto"/>
              <w:rPr>
                <w:rFonts w:cs="Calibri"/>
                <w:color w:val="000000" w:themeColor="text1"/>
                <w:lang w:val="en-US" w:eastAsia="en-GB"/>
              </w:rPr>
            </w:pPr>
            <w:r w:rsidRPr="0035106A">
              <w:rPr>
                <w:rFonts w:cs="Calibri"/>
                <w:color w:val="000000" w:themeColor="text1"/>
                <w:lang w:val="en-US"/>
              </w:rPr>
              <w:t>Renewable energy: EUR 96.2 million (15 %)</w:t>
            </w:r>
            <w:r w:rsidRPr="0035106A">
              <w:rPr>
                <w:rStyle w:val="FootnoteReference"/>
                <w:rFonts w:cs="Calibri"/>
                <w:color w:val="000000" w:themeColor="text1"/>
                <w:lang w:val="en-US"/>
              </w:rPr>
              <w:footnoteReference w:id="131"/>
            </w:r>
            <w:r w:rsidRPr="0035106A">
              <w:rPr>
                <w:rFonts w:cs="Calibri"/>
                <w:color w:val="000000" w:themeColor="text1"/>
                <w:lang w:val="en-US"/>
              </w:rPr>
              <w:br/>
              <w:t>End-user energy efficiency: EUR 121.4 million (</w:t>
            </w:r>
            <w:r>
              <w:rPr>
                <w:rFonts w:cs="Calibri"/>
                <w:color w:val="000000" w:themeColor="text1"/>
                <w:lang w:val="en-US"/>
              </w:rPr>
              <w:t>19</w:t>
            </w:r>
            <w:r w:rsidRPr="0035106A">
              <w:rPr>
                <w:rFonts w:cs="Calibri"/>
                <w:color w:val="000000" w:themeColor="text1"/>
                <w:lang w:val="en-US"/>
              </w:rPr>
              <w:t> %)</w:t>
            </w:r>
            <w:r w:rsidRPr="0035106A">
              <w:rPr>
                <w:rFonts w:cs="Calibri"/>
                <w:color w:val="000000" w:themeColor="text1"/>
                <w:lang w:val="en-US"/>
              </w:rPr>
              <w:br/>
              <w:t>Smart grids: EUR 38 million (6 %)</w:t>
            </w:r>
            <w:r w:rsidRPr="0035106A">
              <w:rPr>
                <w:rFonts w:cs="Calibri"/>
                <w:color w:val="000000" w:themeColor="text1"/>
                <w:lang w:val="en-US"/>
              </w:rPr>
              <w:br/>
              <w:t xml:space="preserve">Storage: EUR </w:t>
            </w:r>
            <w:r>
              <w:rPr>
                <w:rFonts w:cs="Calibri"/>
                <w:color w:val="000000" w:themeColor="text1"/>
                <w:lang w:val="en-US"/>
              </w:rPr>
              <w:t>72</w:t>
            </w:r>
            <w:r w:rsidRPr="0035106A">
              <w:rPr>
                <w:rFonts w:cs="Calibri"/>
                <w:color w:val="000000" w:themeColor="text1"/>
                <w:lang w:val="en-US"/>
              </w:rPr>
              <w:t> million (11 %)</w:t>
            </w:r>
          </w:p>
          <w:p w14:paraId="57BA09D1" w14:textId="77777777" w:rsidR="00BD154D" w:rsidRPr="00C54D64" w:rsidRDefault="00BD154D" w:rsidP="00DF2591">
            <w:pPr>
              <w:spacing w:after="0" w:line="240" w:lineRule="auto"/>
              <w:rPr>
                <w:rFonts w:asciiTheme="minorHAnsi" w:eastAsia="Times New Roman" w:hAnsiTheme="minorHAnsi"/>
                <w:color w:val="4F6228"/>
                <w:sz w:val="20"/>
                <w:szCs w:val="20"/>
                <w:highlight w:val="cyan"/>
                <w:lang w:val="en-US" w:eastAsia="en-GB"/>
              </w:rPr>
            </w:pPr>
          </w:p>
        </w:tc>
      </w:tr>
      <w:tr w:rsidR="00BD154D" w:rsidRPr="004133DA" w14:paraId="7EB3D685" w14:textId="77777777" w:rsidTr="00DF2591">
        <w:trPr>
          <w:trHeight w:val="1694"/>
        </w:trPr>
        <w:tc>
          <w:tcPr>
            <w:tcW w:w="365" w:type="pct"/>
            <w:shd w:val="clear" w:color="auto" w:fill="auto"/>
            <w:noWrap/>
            <w:vAlign w:val="center"/>
          </w:tcPr>
          <w:p w14:paraId="7C393F3F" w14:textId="77777777" w:rsidR="00BD154D" w:rsidRPr="00A56B78" w:rsidRDefault="00BD154D" w:rsidP="00DF2591">
            <w:pPr>
              <w:spacing w:after="0" w:line="240" w:lineRule="auto"/>
              <w:jc w:val="center"/>
              <w:rPr>
                <w:rFonts w:asciiTheme="minorHAnsi" w:eastAsia="Times New Roman" w:hAnsiTheme="minorHAnsi"/>
                <w:lang w:val="en-US" w:eastAsia="en-GB"/>
              </w:rPr>
            </w:pPr>
            <w:r w:rsidRPr="00A56B78">
              <w:rPr>
                <w:rFonts w:asciiTheme="minorHAnsi" w:eastAsia="Times New Roman" w:hAnsiTheme="minorHAnsi"/>
                <w:lang w:val="en-US" w:eastAsia="en-GB"/>
              </w:rPr>
              <w:t>2</w:t>
            </w:r>
          </w:p>
        </w:tc>
        <w:tc>
          <w:tcPr>
            <w:tcW w:w="1901" w:type="pct"/>
            <w:shd w:val="clear" w:color="auto" w:fill="auto"/>
            <w:vAlign w:val="center"/>
          </w:tcPr>
          <w:p w14:paraId="3B3C5656" w14:textId="77777777" w:rsidR="00BD154D" w:rsidRPr="00A56B78" w:rsidRDefault="00BD154D" w:rsidP="00DF2591">
            <w:pPr>
              <w:spacing w:after="0"/>
              <w:rPr>
                <w:rFonts w:asciiTheme="minorHAnsi" w:hAnsiTheme="minorHAnsi"/>
                <w:lang w:val="en-US"/>
              </w:rPr>
            </w:pPr>
            <w:r w:rsidRPr="00A56B78">
              <w:rPr>
                <w:rFonts w:asciiTheme="minorHAnsi" w:hAnsiTheme="minorHAnsi"/>
                <w:lang w:val="en-US"/>
              </w:rPr>
              <w:t>Demonstrator projects hosted in M</w:t>
            </w:r>
            <w:r>
              <w:rPr>
                <w:rFonts w:asciiTheme="minorHAnsi" w:hAnsiTheme="minorHAnsi"/>
                <w:lang w:val="en-US"/>
              </w:rPr>
              <w:t>ember States</w:t>
            </w:r>
            <w:r w:rsidRPr="00A56B78">
              <w:rPr>
                <w:rFonts w:asciiTheme="minorHAnsi" w:hAnsiTheme="minorHAnsi"/>
                <w:lang w:val="en-US"/>
              </w:rPr>
              <w:t xml:space="preserve"> and regions benefiting from EU </w:t>
            </w:r>
            <w:r>
              <w:rPr>
                <w:rFonts w:asciiTheme="minorHAnsi" w:hAnsiTheme="minorHAnsi"/>
                <w:lang w:val="en-US"/>
              </w:rPr>
              <w:t>S</w:t>
            </w:r>
            <w:r w:rsidRPr="00A56B78">
              <w:rPr>
                <w:rFonts w:asciiTheme="minorHAnsi" w:hAnsiTheme="minorHAnsi"/>
                <w:lang w:val="en-US"/>
              </w:rPr>
              <w:t xml:space="preserve">tructural and </w:t>
            </w:r>
            <w:r>
              <w:rPr>
                <w:rFonts w:asciiTheme="minorHAnsi" w:hAnsiTheme="minorHAnsi"/>
                <w:lang w:val="en-US"/>
              </w:rPr>
              <w:t>I</w:t>
            </w:r>
            <w:r w:rsidRPr="00A56B78">
              <w:rPr>
                <w:rFonts w:asciiTheme="minorHAnsi" w:hAnsiTheme="minorHAnsi"/>
                <w:lang w:val="en-US"/>
              </w:rPr>
              <w:t xml:space="preserve">nvestment </w:t>
            </w:r>
            <w:r>
              <w:rPr>
                <w:rFonts w:asciiTheme="minorHAnsi" w:hAnsiTheme="minorHAnsi"/>
                <w:lang w:val="en-US"/>
              </w:rPr>
              <w:t>F</w:t>
            </w:r>
            <w:r w:rsidRPr="00A56B78">
              <w:rPr>
                <w:rFonts w:asciiTheme="minorHAnsi" w:hAnsiTheme="minorHAnsi"/>
                <w:lang w:val="en-US"/>
              </w:rPr>
              <w:t>unds</w:t>
            </w:r>
          </w:p>
        </w:tc>
        <w:tc>
          <w:tcPr>
            <w:tcW w:w="2734" w:type="pct"/>
            <w:vAlign w:val="center"/>
          </w:tcPr>
          <w:p w14:paraId="14C9043A" w14:textId="77777777" w:rsidR="00BD154D" w:rsidRPr="002300D7" w:rsidRDefault="00BD154D" w:rsidP="00DF2591">
            <w:pPr>
              <w:spacing w:after="0" w:line="240" w:lineRule="auto"/>
              <w:rPr>
                <w:rFonts w:asciiTheme="minorHAnsi" w:eastAsia="Times New Roman" w:hAnsiTheme="minorHAnsi"/>
                <w:color w:val="4F6228"/>
                <w:sz w:val="20"/>
                <w:szCs w:val="20"/>
                <w:highlight w:val="yellow"/>
                <w:lang w:val="en-US" w:eastAsia="en-GB"/>
              </w:rPr>
            </w:pPr>
            <w:r w:rsidRPr="0019112F">
              <w:rPr>
                <w:rFonts w:cs="Calibri"/>
                <w:color w:val="000000" w:themeColor="text1"/>
                <w:lang w:val="en-US"/>
              </w:rPr>
              <w:t>The FCH 2 JU has also collaborated with national programmes for the blending of funds. For instance, the FHC 2 JU project HySHIP on a 3MW FC</w:t>
            </w:r>
            <w:r>
              <w:rPr>
                <w:rFonts w:cs="Calibri"/>
                <w:color w:val="000000" w:themeColor="text1"/>
                <w:lang w:val="en-US"/>
              </w:rPr>
              <w:t>-</w:t>
            </w:r>
            <w:r w:rsidRPr="0019112F">
              <w:rPr>
                <w:rFonts w:cs="Calibri"/>
                <w:color w:val="000000" w:themeColor="text1"/>
                <w:lang w:val="en-US"/>
              </w:rPr>
              <w:t xml:space="preserve">powered ferry is benefiting </w:t>
            </w:r>
            <w:r>
              <w:rPr>
                <w:rFonts w:cs="Calibri"/>
                <w:color w:val="000000" w:themeColor="text1"/>
                <w:lang w:val="en-US"/>
              </w:rPr>
              <w:t xml:space="preserve">from </w:t>
            </w:r>
            <w:r w:rsidRPr="0019112F">
              <w:rPr>
                <w:rFonts w:cs="Calibri"/>
                <w:color w:val="000000" w:themeColor="text1"/>
                <w:lang w:val="en-US"/>
              </w:rPr>
              <w:t xml:space="preserve">circa EUR 20 million </w:t>
            </w:r>
            <w:r>
              <w:rPr>
                <w:rFonts w:cs="Calibri"/>
                <w:color w:val="000000" w:themeColor="text1"/>
                <w:lang w:val="en-US"/>
              </w:rPr>
              <w:t xml:space="preserve">in </w:t>
            </w:r>
            <w:r w:rsidRPr="0019112F">
              <w:rPr>
                <w:rFonts w:cs="Calibri"/>
                <w:color w:val="000000" w:themeColor="text1"/>
                <w:lang w:val="en-US"/>
              </w:rPr>
              <w:t>funding from ENOVA (Norwegian Innovation Fund) in addition to the EUR 8 million support f</w:t>
            </w:r>
            <w:r>
              <w:rPr>
                <w:rFonts w:cs="Calibri"/>
                <w:color w:val="000000" w:themeColor="text1"/>
                <w:lang w:val="en-US"/>
              </w:rPr>
              <w:t>rom the FCH 2 JU.</w:t>
            </w:r>
          </w:p>
        </w:tc>
      </w:tr>
    </w:tbl>
    <w:p w14:paraId="027665C0" w14:textId="132A30BF" w:rsidR="003B649D" w:rsidRPr="003B649D" w:rsidRDefault="003B649D" w:rsidP="003B649D">
      <w:pPr>
        <w:spacing w:after="100" w:afterAutospacing="1"/>
        <w:jc w:val="center"/>
        <w:rPr>
          <w:rFonts w:ascii="Arial" w:hAnsi="Arial" w:cs="Arial"/>
        </w:rPr>
      </w:pPr>
    </w:p>
    <w:p w14:paraId="4288CCFC" w14:textId="77777777" w:rsidR="003B649D" w:rsidRDefault="003B649D">
      <w:pPr>
        <w:spacing w:after="0" w:line="240" w:lineRule="auto"/>
        <w:rPr>
          <w:rFonts w:ascii="Arial" w:hAnsi="Arial" w:cs="Arial"/>
        </w:rPr>
      </w:pPr>
      <w:r>
        <w:rPr>
          <w:rFonts w:ascii="Arial" w:hAnsi="Arial" w:cs="Arial"/>
        </w:rPr>
        <w:br w:type="page"/>
      </w:r>
    </w:p>
    <w:p w14:paraId="205099E8" w14:textId="5D71C183" w:rsidR="003B649D" w:rsidRPr="003B649D" w:rsidRDefault="003B649D" w:rsidP="003B649D">
      <w:pPr>
        <w:spacing w:after="100" w:afterAutospacing="1"/>
        <w:jc w:val="center"/>
        <w:rPr>
          <w:rFonts w:ascii="Arial" w:hAnsi="Arial" w:cs="Arial"/>
        </w:rPr>
      </w:pPr>
      <w:r w:rsidRPr="003B649D">
        <w:rPr>
          <w:rFonts w:ascii="Arial" w:hAnsi="Arial" w:cs="Arial"/>
        </w:rPr>
        <w:lastRenderedPageBreak/>
        <w:t xml:space="preserve">KPIs specific to </w:t>
      </w:r>
      <w:r>
        <w:rPr>
          <w:rFonts w:ascii="Arial" w:hAnsi="Arial" w:cs="Arial"/>
        </w:rPr>
        <w:t>Clean Hydrogen</w:t>
      </w:r>
      <w:r w:rsidRPr="003B649D">
        <w:rPr>
          <w:rFonts w:ascii="Arial" w:hAnsi="Arial" w:cs="Arial"/>
        </w:rPr>
        <w:t xml:space="preserve"> JU</w:t>
      </w:r>
      <w:r w:rsidR="00DD685F">
        <w:rPr>
          <w:rFonts w:ascii="Arial" w:hAnsi="Arial" w:cs="Arial"/>
        </w:rPr>
        <w:t xml:space="preserve"> (Baseline + Targets)</w:t>
      </w:r>
    </w:p>
    <w:tbl>
      <w:tblPr>
        <w:tblStyle w:val="TableGrid"/>
        <w:tblpPr w:leftFromText="180" w:rightFromText="180" w:vertAnchor="page" w:horzAnchor="margin" w:tblpY="1739"/>
        <w:tblW w:w="0" w:type="auto"/>
        <w:tblLook w:val="04A0" w:firstRow="1" w:lastRow="0" w:firstColumn="1" w:lastColumn="0" w:noHBand="0" w:noVBand="1"/>
      </w:tblPr>
      <w:tblGrid>
        <w:gridCol w:w="2262"/>
        <w:gridCol w:w="1898"/>
        <w:gridCol w:w="984"/>
        <w:gridCol w:w="951"/>
        <w:gridCol w:w="850"/>
        <w:gridCol w:w="835"/>
        <w:gridCol w:w="1282"/>
      </w:tblGrid>
      <w:tr w:rsidR="00DD685F" w:rsidRPr="0065388C" w14:paraId="6547C183" w14:textId="77777777" w:rsidTr="00DF2591">
        <w:tc>
          <w:tcPr>
            <w:tcW w:w="0" w:type="auto"/>
            <w:shd w:val="clear" w:color="auto" w:fill="000000" w:themeFill="text1"/>
          </w:tcPr>
          <w:p w14:paraId="104DCB0B" w14:textId="77777777" w:rsidR="00DD685F" w:rsidRPr="0098066E" w:rsidRDefault="00DD685F" w:rsidP="00DD685F">
            <w:pPr>
              <w:spacing w:after="0" w:line="240" w:lineRule="auto"/>
              <w:jc w:val="center"/>
              <w:rPr>
                <w:b/>
                <w:bCs/>
              </w:rPr>
            </w:pPr>
            <w:r w:rsidRPr="0098066E">
              <w:rPr>
                <w:b/>
                <w:bCs/>
              </w:rPr>
              <w:t>KPI Name</w:t>
            </w:r>
          </w:p>
        </w:tc>
        <w:tc>
          <w:tcPr>
            <w:tcW w:w="0" w:type="auto"/>
            <w:shd w:val="clear" w:color="auto" w:fill="000000" w:themeFill="text1"/>
          </w:tcPr>
          <w:p w14:paraId="1373230A" w14:textId="77777777" w:rsidR="00DD685F" w:rsidRPr="0098066E" w:rsidRDefault="00DD685F" w:rsidP="00DD685F">
            <w:pPr>
              <w:spacing w:after="0" w:line="240" w:lineRule="auto"/>
              <w:jc w:val="center"/>
              <w:rPr>
                <w:b/>
                <w:bCs/>
              </w:rPr>
            </w:pPr>
            <w:r w:rsidRPr="0098066E">
              <w:rPr>
                <w:b/>
                <w:bCs/>
              </w:rPr>
              <w:t>Unit of measurement</w:t>
            </w:r>
          </w:p>
        </w:tc>
        <w:tc>
          <w:tcPr>
            <w:tcW w:w="0" w:type="auto"/>
            <w:shd w:val="clear" w:color="auto" w:fill="000000" w:themeFill="text1"/>
          </w:tcPr>
          <w:p w14:paraId="4313F965" w14:textId="77777777" w:rsidR="00DD685F" w:rsidRPr="0098066E" w:rsidRDefault="00DD685F" w:rsidP="00DD685F">
            <w:pPr>
              <w:spacing w:after="0" w:line="240" w:lineRule="auto"/>
              <w:jc w:val="center"/>
              <w:rPr>
                <w:b/>
                <w:bCs/>
              </w:rPr>
            </w:pPr>
            <w:r w:rsidRPr="0098066E">
              <w:rPr>
                <w:b/>
                <w:bCs/>
              </w:rPr>
              <w:t>Baseline</w:t>
            </w:r>
          </w:p>
        </w:tc>
        <w:tc>
          <w:tcPr>
            <w:tcW w:w="0" w:type="auto"/>
            <w:shd w:val="clear" w:color="auto" w:fill="000000" w:themeFill="text1"/>
          </w:tcPr>
          <w:p w14:paraId="70536B75" w14:textId="77777777" w:rsidR="00DD685F" w:rsidRPr="0098066E" w:rsidRDefault="00DD685F" w:rsidP="00DD685F">
            <w:pPr>
              <w:spacing w:after="0" w:line="240" w:lineRule="auto"/>
              <w:jc w:val="center"/>
              <w:rPr>
                <w:b/>
                <w:bCs/>
              </w:rPr>
            </w:pPr>
            <w:r w:rsidRPr="0098066E">
              <w:rPr>
                <w:b/>
                <w:bCs/>
              </w:rPr>
              <w:t>Target 2023</w:t>
            </w:r>
          </w:p>
        </w:tc>
        <w:tc>
          <w:tcPr>
            <w:tcW w:w="0" w:type="auto"/>
            <w:shd w:val="clear" w:color="auto" w:fill="000000" w:themeFill="text1"/>
          </w:tcPr>
          <w:p w14:paraId="4B4E6A8E" w14:textId="77777777" w:rsidR="00DD685F" w:rsidRPr="0098066E" w:rsidRDefault="00DD685F" w:rsidP="00DD685F">
            <w:pPr>
              <w:spacing w:after="0" w:line="240" w:lineRule="auto"/>
              <w:jc w:val="center"/>
              <w:rPr>
                <w:b/>
                <w:bCs/>
              </w:rPr>
            </w:pPr>
            <w:r w:rsidRPr="0098066E">
              <w:rPr>
                <w:b/>
                <w:bCs/>
              </w:rPr>
              <w:t>Target</w:t>
            </w:r>
          </w:p>
          <w:p w14:paraId="1A5A9797" w14:textId="77777777" w:rsidR="00DD685F" w:rsidRPr="0098066E" w:rsidRDefault="00DD685F" w:rsidP="00DD685F">
            <w:pPr>
              <w:spacing w:after="0" w:line="240" w:lineRule="auto"/>
              <w:jc w:val="center"/>
              <w:rPr>
                <w:b/>
                <w:bCs/>
              </w:rPr>
            </w:pPr>
            <w:r w:rsidRPr="0098066E">
              <w:rPr>
                <w:b/>
                <w:bCs/>
              </w:rPr>
              <w:t>2025</w:t>
            </w:r>
          </w:p>
        </w:tc>
        <w:tc>
          <w:tcPr>
            <w:tcW w:w="0" w:type="auto"/>
            <w:shd w:val="clear" w:color="auto" w:fill="000000" w:themeFill="text1"/>
          </w:tcPr>
          <w:p w14:paraId="207632B5" w14:textId="77777777" w:rsidR="00DD685F" w:rsidRPr="0098066E" w:rsidRDefault="00DD685F" w:rsidP="00DD685F">
            <w:pPr>
              <w:spacing w:after="0" w:line="240" w:lineRule="auto"/>
              <w:jc w:val="center"/>
              <w:rPr>
                <w:b/>
                <w:bCs/>
              </w:rPr>
            </w:pPr>
            <w:r w:rsidRPr="0098066E">
              <w:rPr>
                <w:b/>
                <w:bCs/>
              </w:rPr>
              <w:t>Target</w:t>
            </w:r>
          </w:p>
          <w:p w14:paraId="7183FBBA" w14:textId="77777777" w:rsidR="00DD685F" w:rsidRPr="0098066E" w:rsidRDefault="00DD685F" w:rsidP="00DD685F">
            <w:pPr>
              <w:spacing w:after="0" w:line="240" w:lineRule="auto"/>
              <w:jc w:val="center"/>
              <w:rPr>
                <w:b/>
                <w:bCs/>
              </w:rPr>
            </w:pPr>
            <w:r w:rsidRPr="0098066E">
              <w:rPr>
                <w:b/>
                <w:bCs/>
              </w:rPr>
              <w:t>2027</w:t>
            </w:r>
          </w:p>
        </w:tc>
        <w:tc>
          <w:tcPr>
            <w:tcW w:w="0" w:type="auto"/>
            <w:shd w:val="clear" w:color="auto" w:fill="000000" w:themeFill="text1"/>
          </w:tcPr>
          <w:p w14:paraId="6F5D14B0" w14:textId="77777777" w:rsidR="00DD685F" w:rsidRPr="0098066E" w:rsidRDefault="00DD685F" w:rsidP="00DD685F">
            <w:pPr>
              <w:spacing w:after="0" w:line="240" w:lineRule="auto"/>
              <w:jc w:val="center"/>
              <w:rPr>
                <w:b/>
                <w:bCs/>
              </w:rPr>
            </w:pPr>
            <w:r w:rsidRPr="0098066E">
              <w:rPr>
                <w:b/>
                <w:bCs/>
              </w:rPr>
              <w:t>Ambition</w:t>
            </w:r>
          </w:p>
          <w:p w14:paraId="60EFA988" w14:textId="77777777" w:rsidR="00DD685F" w:rsidRPr="0098066E" w:rsidRDefault="00DD685F" w:rsidP="00DD685F">
            <w:pPr>
              <w:spacing w:after="0" w:line="240" w:lineRule="auto"/>
              <w:jc w:val="center"/>
              <w:rPr>
                <w:b/>
                <w:bCs/>
                <w:lang w:val="el-GR"/>
              </w:rPr>
            </w:pPr>
            <w:r w:rsidRPr="0098066E">
              <w:rPr>
                <w:b/>
                <w:bCs/>
              </w:rPr>
              <w:t>&gt;20</w:t>
            </w:r>
            <w:r w:rsidRPr="0098066E">
              <w:rPr>
                <w:b/>
                <w:bCs/>
                <w:lang w:val="el-GR"/>
              </w:rPr>
              <w:t>27</w:t>
            </w:r>
          </w:p>
        </w:tc>
      </w:tr>
      <w:tr w:rsidR="00DD685F" w:rsidRPr="0065388C" w14:paraId="488088CB" w14:textId="77777777" w:rsidTr="00DF2591">
        <w:tc>
          <w:tcPr>
            <w:tcW w:w="0" w:type="auto"/>
            <w:gridSpan w:val="7"/>
            <w:shd w:val="clear" w:color="auto" w:fill="7F7F7F" w:themeFill="text1" w:themeFillTint="80"/>
          </w:tcPr>
          <w:p w14:paraId="0CD7A924" w14:textId="77777777" w:rsidR="00DD685F" w:rsidRPr="0065388C" w:rsidRDefault="00DD685F" w:rsidP="00DD685F">
            <w:pPr>
              <w:spacing w:after="0" w:line="240" w:lineRule="auto"/>
              <w:jc w:val="center"/>
              <w:rPr>
                <w:b/>
                <w:bCs/>
              </w:rPr>
            </w:pPr>
            <w:r w:rsidRPr="0065388C">
              <w:rPr>
                <w:b/>
                <w:bCs/>
                <w:color w:val="FFFFFF" w:themeColor="background1"/>
              </w:rPr>
              <w:t>Resources (input), processes and activities</w:t>
            </w:r>
          </w:p>
        </w:tc>
      </w:tr>
      <w:tr w:rsidR="00DD685F" w:rsidRPr="0065388C" w14:paraId="0FCBC267" w14:textId="77777777" w:rsidTr="00DF2591">
        <w:tc>
          <w:tcPr>
            <w:tcW w:w="0" w:type="auto"/>
          </w:tcPr>
          <w:p w14:paraId="060CAEDD" w14:textId="77777777" w:rsidR="00DD685F" w:rsidRPr="00F96DC0" w:rsidRDefault="00DD685F" w:rsidP="00DD685F">
            <w:pPr>
              <w:spacing w:after="0" w:line="240" w:lineRule="auto"/>
              <w:rPr>
                <w:rFonts w:ascii="Times New Roman" w:hAnsi="Times New Roman"/>
              </w:rPr>
            </w:pPr>
            <w:r w:rsidRPr="4C1D4A78">
              <w:rPr>
                <w:rFonts w:ascii="Times New Roman" w:hAnsi="Times New Roman"/>
              </w:rPr>
              <w:t xml:space="preserve">1. </w:t>
            </w:r>
            <w:r>
              <w:rPr>
                <w:rFonts w:ascii="Times New Roman" w:hAnsi="Times New Roman"/>
              </w:rPr>
              <w:t>S</w:t>
            </w:r>
            <w:r w:rsidRPr="00260936">
              <w:rPr>
                <w:rFonts w:ascii="Times New Roman" w:hAnsi="Times New Roman"/>
              </w:rPr>
              <w:t>upport</w:t>
            </w:r>
            <w:r>
              <w:rPr>
                <w:rFonts w:ascii="Times New Roman" w:hAnsi="Times New Roman"/>
              </w:rPr>
              <w:t>ing sustainable solutions</w:t>
            </w:r>
          </w:p>
        </w:tc>
        <w:tc>
          <w:tcPr>
            <w:tcW w:w="0" w:type="auto"/>
            <w:vAlign w:val="center"/>
          </w:tcPr>
          <w:p w14:paraId="2F9D02F8" w14:textId="77777777" w:rsidR="00DD685F" w:rsidRDefault="00DD685F" w:rsidP="00DD685F">
            <w:pPr>
              <w:spacing w:after="0" w:line="240" w:lineRule="auto"/>
              <w:jc w:val="center"/>
            </w:pPr>
            <w:r w:rsidRPr="008A2D61">
              <w:t xml:space="preserve">% </w:t>
            </w:r>
            <w:proofErr w:type="gramStart"/>
            <w:r w:rsidRPr="008A2D61">
              <w:t>of</w:t>
            </w:r>
            <w:proofErr w:type="gramEnd"/>
            <w:r w:rsidRPr="008A2D61">
              <w:t xml:space="preserve"> budget</w:t>
            </w:r>
            <w:r>
              <w:t xml:space="preserve"> </w:t>
            </w:r>
          </w:p>
          <w:p w14:paraId="35879DCA" w14:textId="77777777" w:rsidR="00DD685F" w:rsidRPr="008A2D61" w:rsidRDefault="00DD685F" w:rsidP="00DD685F">
            <w:pPr>
              <w:spacing w:after="0" w:line="240" w:lineRule="auto"/>
              <w:jc w:val="center"/>
            </w:pPr>
            <w:r>
              <w:t>(2 indicators)</w:t>
            </w:r>
          </w:p>
        </w:tc>
        <w:tc>
          <w:tcPr>
            <w:tcW w:w="0" w:type="auto"/>
            <w:vAlign w:val="center"/>
          </w:tcPr>
          <w:p w14:paraId="2EBD22FA" w14:textId="77777777" w:rsidR="00DD685F" w:rsidRPr="002213BB" w:rsidRDefault="00DD685F" w:rsidP="00DD685F">
            <w:pPr>
              <w:spacing w:after="0" w:line="240" w:lineRule="auto"/>
              <w:jc w:val="center"/>
            </w:pPr>
            <w:r w:rsidRPr="007D5473">
              <w:t>2.5</w:t>
            </w:r>
            <w:r w:rsidRPr="002213BB">
              <w:rPr>
                <w:vertAlign w:val="superscript"/>
              </w:rPr>
              <w:t>1</w:t>
            </w:r>
          </w:p>
        </w:tc>
        <w:tc>
          <w:tcPr>
            <w:tcW w:w="0" w:type="auto"/>
            <w:vAlign w:val="center"/>
          </w:tcPr>
          <w:p w14:paraId="28F3AD6F" w14:textId="77777777" w:rsidR="00DD685F" w:rsidRPr="002213BB" w:rsidRDefault="00DD685F" w:rsidP="00DD685F">
            <w:pPr>
              <w:spacing w:after="0" w:line="240" w:lineRule="auto"/>
              <w:jc w:val="center"/>
            </w:pPr>
            <w:r>
              <w:t>20</w:t>
            </w:r>
          </w:p>
        </w:tc>
        <w:tc>
          <w:tcPr>
            <w:tcW w:w="0" w:type="auto"/>
            <w:vAlign w:val="center"/>
          </w:tcPr>
          <w:p w14:paraId="27514248" w14:textId="77777777" w:rsidR="00DD685F" w:rsidRPr="002213BB" w:rsidRDefault="00DD685F" w:rsidP="00DD685F">
            <w:pPr>
              <w:spacing w:after="0" w:line="240" w:lineRule="auto"/>
              <w:jc w:val="center"/>
            </w:pPr>
            <w:r>
              <w:t>35</w:t>
            </w:r>
          </w:p>
        </w:tc>
        <w:tc>
          <w:tcPr>
            <w:tcW w:w="0" w:type="auto"/>
            <w:vAlign w:val="center"/>
          </w:tcPr>
          <w:p w14:paraId="73689E84" w14:textId="77777777" w:rsidR="00DD685F" w:rsidRPr="002213BB" w:rsidRDefault="00DD685F" w:rsidP="00DD685F">
            <w:pPr>
              <w:spacing w:after="0" w:line="240" w:lineRule="auto"/>
              <w:jc w:val="center"/>
            </w:pPr>
            <w:r>
              <w:t>50</w:t>
            </w:r>
          </w:p>
        </w:tc>
        <w:tc>
          <w:tcPr>
            <w:tcW w:w="0" w:type="auto"/>
            <w:vAlign w:val="center"/>
          </w:tcPr>
          <w:p w14:paraId="0F963068" w14:textId="77777777" w:rsidR="00DD685F" w:rsidRPr="008A2D61" w:rsidRDefault="00DD685F" w:rsidP="00DD685F">
            <w:pPr>
              <w:spacing w:after="0" w:line="240" w:lineRule="auto"/>
              <w:jc w:val="center"/>
            </w:pPr>
          </w:p>
        </w:tc>
      </w:tr>
      <w:tr w:rsidR="00DD685F" w:rsidRPr="0065388C" w14:paraId="43B17A44" w14:textId="77777777" w:rsidTr="00DF2591">
        <w:tc>
          <w:tcPr>
            <w:tcW w:w="0" w:type="auto"/>
          </w:tcPr>
          <w:p w14:paraId="16ED9AE0" w14:textId="77777777" w:rsidR="00DD685F" w:rsidRPr="00F96DC0" w:rsidRDefault="00DD685F" w:rsidP="00DD685F">
            <w:pPr>
              <w:spacing w:after="0" w:line="240" w:lineRule="auto"/>
              <w:rPr>
                <w:rFonts w:ascii="Times New Roman" w:hAnsi="Times New Roman"/>
              </w:rPr>
            </w:pPr>
            <w:r>
              <w:rPr>
                <w:rFonts w:ascii="Times New Roman" w:hAnsi="Times New Roman"/>
              </w:rPr>
              <w:t>2</w:t>
            </w:r>
            <w:r w:rsidRPr="00F96DC0">
              <w:rPr>
                <w:rFonts w:ascii="Times New Roman" w:hAnsi="Times New Roman"/>
              </w:rPr>
              <w:t xml:space="preserve">. </w:t>
            </w:r>
            <w:r>
              <w:rPr>
                <w:rFonts w:ascii="Times New Roman" w:hAnsi="Times New Roman"/>
              </w:rPr>
              <w:t>E</w:t>
            </w:r>
            <w:r w:rsidRPr="00F96DC0">
              <w:rPr>
                <w:rFonts w:ascii="Times New Roman" w:hAnsi="Times New Roman"/>
              </w:rPr>
              <w:t>arly research projects</w:t>
            </w:r>
          </w:p>
        </w:tc>
        <w:tc>
          <w:tcPr>
            <w:tcW w:w="0" w:type="auto"/>
            <w:vAlign w:val="center"/>
          </w:tcPr>
          <w:p w14:paraId="345B325B" w14:textId="77777777" w:rsidR="00DD685F" w:rsidRPr="008A2D61" w:rsidRDefault="00DD685F" w:rsidP="00DD685F">
            <w:pPr>
              <w:spacing w:after="0" w:line="240" w:lineRule="auto"/>
              <w:jc w:val="center"/>
            </w:pPr>
            <w:r w:rsidRPr="008A2D61">
              <w:t xml:space="preserve">% </w:t>
            </w:r>
            <w:proofErr w:type="gramStart"/>
            <w:r w:rsidRPr="008A2D61">
              <w:t>of</w:t>
            </w:r>
            <w:proofErr w:type="gramEnd"/>
            <w:r w:rsidRPr="008A2D61">
              <w:t xml:space="preserve"> budget</w:t>
            </w:r>
          </w:p>
        </w:tc>
        <w:tc>
          <w:tcPr>
            <w:tcW w:w="0" w:type="auto"/>
            <w:vAlign w:val="center"/>
          </w:tcPr>
          <w:p w14:paraId="29A7A2A1" w14:textId="77777777" w:rsidR="00DD685F" w:rsidRPr="002213BB" w:rsidRDefault="00DD685F" w:rsidP="00DD685F">
            <w:pPr>
              <w:spacing w:after="0" w:line="240" w:lineRule="auto"/>
              <w:jc w:val="center"/>
            </w:pPr>
            <w:r w:rsidRPr="002213BB">
              <w:t>10</w:t>
            </w:r>
            <w:r w:rsidRPr="002213BB">
              <w:rPr>
                <w:vertAlign w:val="superscript"/>
              </w:rPr>
              <w:t>1</w:t>
            </w:r>
          </w:p>
        </w:tc>
        <w:tc>
          <w:tcPr>
            <w:tcW w:w="0" w:type="auto"/>
            <w:vAlign w:val="center"/>
          </w:tcPr>
          <w:p w14:paraId="1F16BE9A" w14:textId="77777777" w:rsidR="00DD685F" w:rsidRPr="002213BB" w:rsidRDefault="00DD685F" w:rsidP="00DD685F">
            <w:pPr>
              <w:spacing w:after="0" w:line="240" w:lineRule="auto"/>
              <w:jc w:val="center"/>
            </w:pPr>
            <w:r w:rsidRPr="002213BB">
              <w:t>10</w:t>
            </w:r>
          </w:p>
        </w:tc>
        <w:tc>
          <w:tcPr>
            <w:tcW w:w="0" w:type="auto"/>
            <w:vAlign w:val="center"/>
          </w:tcPr>
          <w:p w14:paraId="469AD1B1" w14:textId="77777777" w:rsidR="00DD685F" w:rsidRPr="002213BB" w:rsidRDefault="00DD685F" w:rsidP="00DD685F">
            <w:pPr>
              <w:spacing w:after="0" w:line="240" w:lineRule="auto"/>
              <w:jc w:val="center"/>
            </w:pPr>
            <w:r w:rsidRPr="002213BB">
              <w:t>10</w:t>
            </w:r>
          </w:p>
        </w:tc>
        <w:tc>
          <w:tcPr>
            <w:tcW w:w="0" w:type="auto"/>
            <w:vAlign w:val="center"/>
          </w:tcPr>
          <w:p w14:paraId="3C6B5289" w14:textId="77777777" w:rsidR="00DD685F" w:rsidRPr="002213BB" w:rsidRDefault="00DD685F" w:rsidP="00DD685F">
            <w:pPr>
              <w:spacing w:after="0" w:line="240" w:lineRule="auto"/>
              <w:jc w:val="center"/>
              <w:rPr>
                <w:highlight w:val="yellow"/>
              </w:rPr>
            </w:pPr>
            <w:r w:rsidRPr="002213BB">
              <w:t>10</w:t>
            </w:r>
          </w:p>
        </w:tc>
        <w:tc>
          <w:tcPr>
            <w:tcW w:w="0" w:type="auto"/>
            <w:vAlign w:val="center"/>
          </w:tcPr>
          <w:p w14:paraId="7C4A266F" w14:textId="77777777" w:rsidR="00DD685F" w:rsidRPr="008A2D61" w:rsidRDefault="00DD685F" w:rsidP="00DD685F">
            <w:pPr>
              <w:spacing w:after="0" w:line="240" w:lineRule="auto"/>
              <w:jc w:val="center"/>
            </w:pPr>
          </w:p>
        </w:tc>
      </w:tr>
      <w:tr w:rsidR="00DD685F" w:rsidRPr="0065388C" w14:paraId="6058705F" w14:textId="77777777" w:rsidTr="00DF2591">
        <w:tc>
          <w:tcPr>
            <w:tcW w:w="0" w:type="auto"/>
          </w:tcPr>
          <w:p w14:paraId="0AAC6BFB" w14:textId="77777777" w:rsidR="00DD685F" w:rsidRPr="00F96DC0" w:rsidRDefault="00DD685F" w:rsidP="00DD685F">
            <w:pPr>
              <w:spacing w:after="0" w:line="240" w:lineRule="auto"/>
              <w:rPr>
                <w:rFonts w:ascii="Times New Roman" w:hAnsi="Times New Roman"/>
              </w:rPr>
            </w:pPr>
            <w:r>
              <w:rPr>
                <w:rFonts w:ascii="Times New Roman" w:hAnsi="Times New Roman"/>
              </w:rPr>
              <w:t>3</w:t>
            </w:r>
            <w:r w:rsidRPr="00021FDA">
              <w:rPr>
                <w:rFonts w:ascii="Times New Roman" w:hAnsi="Times New Roman"/>
              </w:rPr>
              <w:t xml:space="preserve">. </w:t>
            </w:r>
            <w:r>
              <w:rPr>
                <w:rFonts w:ascii="Times New Roman" w:hAnsi="Times New Roman"/>
              </w:rPr>
              <w:t>Demonstration projects</w:t>
            </w:r>
          </w:p>
        </w:tc>
        <w:tc>
          <w:tcPr>
            <w:tcW w:w="0" w:type="auto"/>
            <w:vAlign w:val="center"/>
          </w:tcPr>
          <w:p w14:paraId="13B73788" w14:textId="77777777" w:rsidR="00DD685F" w:rsidRPr="008A2D61" w:rsidRDefault="00DD685F" w:rsidP="00DD685F">
            <w:pPr>
              <w:spacing w:after="0" w:line="240" w:lineRule="auto"/>
              <w:jc w:val="center"/>
            </w:pPr>
            <w:r w:rsidRPr="008A2D61">
              <w:rPr>
                <w:lang w:val="el-GR"/>
              </w:rPr>
              <w:t>#</w:t>
            </w:r>
            <w:r w:rsidRPr="008A2D61">
              <w:t xml:space="preserve"> of projects</w:t>
            </w:r>
          </w:p>
        </w:tc>
        <w:tc>
          <w:tcPr>
            <w:tcW w:w="0" w:type="auto"/>
            <w:vAlign w:val="center"/>
          </w:tcPr>
          <w:p w14:paraId="76DA0A7C" w14:textId="77777777" w:rsidR="00DD685F" w:rsidRPr="002213BB" w:rsidRDefault="00DD685F" w:rsidP="00DD685F">
            <w:pPr>
              <w:spacing w:after="0" w:line="240" w:lineRule="auto"/>
              <w:jc w:val="center"/>
            </w:pPr>
            <w:r w:rsidRPr="002213BB">
              <w:t>43</w:t>
            </w:r>
            <w:r w:rsidRPr="002213BB">
              <w:rPr>
                <w:vertAlign w:val="superscript"/>
              </w:rPr>
              <w:t>1</w:t>
            </w:r>
          </w:p>
        </w:tc>
        <w:tc>
          <w:tcPr>
            <w:tcW w:w="0" w:type="auto"/>
            <w:vAlign w:val="center"/>
          </w:tcPr>
          <w:p w14:paraId="25D12C16" w14:textId="77777777" w:rsidR="00DD685F" w:rsidRPr="002213BB" w:rsidRDefault="00DD685F" w:rsidP="00DD685F">
            <w:pPr>
              <w:spacing w:after="0" w:line="240" w:lineRule="auto"/>
              <w:jc w:val="center"/>
            </w:pPr>
            <w:r>
              <w:t>20</w:t>
            </w:r>
          </w:p>
        </w:tc>
        <w:tc>
          <w:tcPr>
            <w:tcW w:w="0" w:type="auto"/>
            <w:vAlign w:val="center"/>
          </w:tcPr>
          <w:p w14:paraId="64951757" w14:textId="77777777" w:rsidR="00DD685F" w:rsidRPr="002213BB" w:rsidRDefault="00DD685F" w:rsidP="00DD685F">
            <w:pPr>
              <w:spacing w:after="0" w:line="240" w:lineRule="auto"/>
              <w:jc w:val="center"/>
            </w:pPr>
            <w:r>
              <w:t>40</w:t>
            </w:r>
          </w:p>
        </w:tc>
        <w:tc>
          <w:tcPr>
            <w:tcW w:w="0" w:type="auto"/>
            <w:vAlign w:val="center"/>
          </w:tcPr>
          <w:p w14:paraId="46AD4C28" w14:textId="77777777" w:rsidR="00DD685F" w:rsidRPr="002213BB" w:rsidRDefault="00DD685F" w:rsidP="00DD685F">
            <w:pPr>
              <w:spacing w:after="0" w:line="240" w:lineRule="auto"/>
              <w:jc w:val="center"/>
            </w:pPr>
            <w:r>
              <w:t>6</w:t>
            </w:r>
            <w:r w:rsidRPr="002213BB">
              <w:t>0</w:t>
            </w:r>
          </w:p>
        </w:tc>
        <w:tc>
          <w:tcPr>
            <w:tcW w:w="0" w:type="auto"/>
            <w:vAlign w:val="center"/>
          </w:tcPr>
          <w:p w14:paraId="014F756C" w14:textId="77777777" w:rsidR="00DD685F" w:rsidRPr="008A2D61" w:rsidRDefault="00DD685F" w:rsidP="00DD685F">
            <w:pPr>
              <w:spacing w:after="0" w:line="240" w:lineRule="auto"/>
              <w:jc w:val="center"/>
            </w:pPr>
          </w:p>
        </w:tc>
      </w:tr>
      <w:tr w:rsidR="00DD685F" w:rsidRPr="0065388C" w14:paraId="0377BC64" w14:textId="77777777" w:rsidTr="00DF2591">
        <w:tc>
          <w:tcPr>
            <w:tcW w:w="0" w:type="auto"/>
          </w:tcPr>
          <w:p w14:paraId="3BDBD8EF" w14:textId="77777777" w:rsidR="00DD685F" w:rsidRPr="00021FDA" w:rsidRDefault="00DD685F" w:rsidP="00DD685F">
            <w:pPr>
              <w:spacing w:after="0" w:line="240" w:lineRule="auto"/>
              <w:rPr>
                <w:rFonts w:ascii="Times New Roman" w:hAnsi="Times New Roman"/>
              </w:rPr>
            </w:pPr>
            <w:r>
              <w:rPr>
                <w:rFonts w:ascii="Times New Roman" w:hAnsi="Times New Roman"/>
              </w:rPr>
              <w:t>4</w:t>
            </w:r>
            <w:r w:rsidRPr="00021FDA">
              <w:rPr>
                <w:rFonts w:ascii="Times New Roman" w:hAnsi="Times New Roman"/>
              </w:rPr>
              <w:t xml:space="preserve">. </w:t>
            </w:r>
            <w:r w:rsidRPr="00F96DC0">
              <w:rPr>
                <w:rFonts w:ascii="Times New Roman" w:hAnsi="Times New Roman"/>
              </w:rPr>
              <w:t xml:space="preserve"> </w:t>
            </w:r>
            <w:r>
              <w:rPr>
                <w:rFonts w:ascii="Times New Roman" w:hAnsi="Times New Roman"/>
              </w:rPr>
              <w:t xml:space="preserve">Education and training </w:t>
            </w:r>
            <w:r w:rsidRPr="009B427C">
              <w:rPr>
                <w:rFonts w:ascii="Times New Roman" w:hAnsi="Times New Roman"/>
              </w:rPr>
              <w:t xml:space="preserve"> </w:t>
            </w:r>
          </w:p>
        </w:tc>
        <w:tc>
          <w:tcPr>
            <w:tcW w:w="0" w:type="auto"/>
            <w:vAlign w:val="center"/>
          </w:tcPr>
          <w:p w14:paraId="7C1E27C1" w14:textId="77777777" w:rsidR="00DD685F" w:rsidRPr="008A2D61" w:rsidRDefault="00DD685F" w:rsidP="00DD685F">
            <w:pPr>
              <w:spacing w:after="0" w:line="240" w:lineRule="auto"/>
              <w:jc w:val="center"/>
            </w:pPr>
            <w:r w:rsidRPr="008A2D61">
              <w:rPr>
                <w:lang w:val="el-GR"/>
              </w:rPr>
              <w:t>#</w:t>
            </w:r>
            <w:r w:rsidRPr="008A2D61">
              <w:t xml:space="preserve"> of projects</w:t>
            </w:r>
          </w:p>
        </w:tc>
        <w:tc>
          <w:tcPr>
            <w:tcW w:w="0" w:type="auto"/>
            <w:vAlign w:val="center"/>
          </w:tcPr>
          <w:p w14:paraId="2BE81CA3" w14:textId="77777777" w:rsidR="00DD685F" w:rsidRPr="002213BB" w:rsidRDefault="00DD685F" w:rsidP="00DD685F">
            <w:pPr>
              <w:spacing w:after="0" w:line="240" w:lineRule="auto"/>
              <w:jc w:val="center"/>
            </w:pPr>
            <w:r w:rsidRPr="002213BB">
              <w:t>4</w:t>
            </w:r>
            <w:r w:rsidRPr="002213BB">
              <w:rPr>
                <w:vertAlign w:val="superscript"/>
              </w:rPr>
              <w:t>1</w:t>
            </w:r>
          </w:p>
        </w:tc>
        <w:tc>
          <w:tcPr>
            <w:tcW w:w="0" w:type="auto"/>
            <w:vAlign w:val="center"/>
          </w:tcPr>
          <w:p w14:paraId="029F6712" w14:textId="77777777" w:rsidR="00DD685F" w:rsidRPr="002213BB" w:rsidRDefault="00DD685F" w:rsidP="00DD685F">
            <w:pPr>
              <w:spacing w:after="0" w:line="240" w:lineRule="auto"/>
              <w:jc w:val="center"/>
            </w:pPr>
            <w:r w:rsidRPr="002213BB">
              <w:t>2</w:t>
            </w:r>
          </w:p>
        </w:tc>
        <w:tc>
          <w:tcPr>
            <w:tcW w:w="0" w:type="auto"/>
            <w:vAlign w:val="center"/>
          </w:tcPr>
          <w:p w14:paraId="3841C673" w14:textId="77777777" w:rsidR="00DD685F" w:rsidRPr="002213BB" w:rsidRDefault="00DD685F" w:rsidP="00DD685F">
            <w:pPr>
              <w:spacing w:after="0" w:line="240" w:lineRule="auto"/>
              <w:jc w:val="center"/>
            </w:pPr>
            <w:r w:rsidRPr="002213BB">
              <w:t>4</w:t>
            </w:r>
          </w:p>
        </w:tc>
        <w:tc>
          <w:tcPr>
            <w:tcW w:w="0" w:type="auto"/>
            <w:vAlign w:val="center"/>
          </w:tcPr>
          <w:p w14:paraId="4E670A5D" w14:textId="77777777" w:rsidR="00DD685F" w:rsidRPr="002213BB" w:rsidRDefault="00DD685F" w:rsidP="00DD685F">
            <w:pPr>
              <w:spacing w:after="0" w:line="240" w:lineRule="auto"/>
              <w:jc w:val="center"/>
            </w:pPr>
            <w:r w:rsidRPr="002213BB">
              <w:t>6</w:t>
            </w:r>
          </w:p>
        </w:tc>
        <w:tc>
          <w:tcPr>
            <w:tcW w:w="0" w:type="auto"/>
            <w:vAlign w:val="center"/>
          </w:tcPr>
          <w:p w14:paraId="6205616F" w14:textId="77777777" w:rsidR="00DD685F" w:rsidRPr="00743835" w:rsidRDefault="00DD685F" w:rsidP="00DD685F">
            <w:pPr>
              <w:spacing w:after="0" w:line="240" w:lineRule="auto"/>
              <w:jc w:val="center"/>
              <w:rPr>
                <w:color w:val="FF0000"/>
              </w:rPr>
            </w:pPr>
          </w:p>
        </w:tc>
      </w:tr>
      <w:tr w:rsidR="00DD685F" w:rsidRPr="008A2D61" w14:paraId="34671884" w14:textId="77777777" w:rsidTr="00DF2591">
        <w:tc>
          <w:tcPr>
            <w:tcW w:w="0" w:type="auto"/>
          </w:tcPr>
          <w:p w14:paraId="2382EC5F" w14:textId="77777777" w:rsidR="00DD685F" w:rsidRPr="00021FDA" w:rsidRDefault="00DD685F" w:rsidP="00DD685F">
            <w:pPr>
              <w:spacing w:after="0" w:line="240" w:lineRule="auto"/>
              <w:rPr>
                <w:rFonts w:ascii="Times New Roman" w:hAnsi="Times New Roman"/>
              </w:rPr>
            </w:pPr>
            <w:r>
              <w:rPr>
                <w:rFonts w:ascii="Times New Roman" w:hAnsi="Times New Roman"/>
              </w:rPr>
              <w:t>5</w:t>
            </w:r>
            <w:r w:rsidRPr="00021FDA">
              <w:rPr>
                <w:rFonts w:ascii="Times New Roman" w:hAnsi="Times New Roman"/>
              </w:rPr>
              <w:t>.</w:t>
            </w:r>
            <w:r>
              <w:rPr>
                <w:rFonts w:ascii="Times New Roman" w:hAnsi="Times New Roman"/>
              </w:rPr>
              <w:t xml:space="preserve"> Monitoring technology progress</w:t>
            </w:r>
            <w:r w:rsidRPr="009B427C">
              <w:rPr>
                <w:rFonts w:ascii="Times New Roman" w:hAnsi="Times New Roman"/>
              </w:rPr>
              <w:t xml:space="preserve"> </w:t>
            </w:r>
          </w:p>
        </w:tc>
        <w:tc>
          <w:tcPr>
            <w:tcW w:w="0" w:type="auto"/>
            <w:vAlign w:val="center"/>
          </w:tcPr>
          <w:p w14:paraId="70B2BA25" w14:textId="77777777" w:rsidR="00DD685F" w:rsidRPr="008A2D61" w:rsidRDefault="00DD685F" w:rsidP="00DD685F">
            <w:pPr>
              <w:spacing w:after="0" w:line="240" w:lineRule="auto"/>
              <w:jc w:val="center"/>
            </w:pPr>
            <w:r w:rsidRPr="00BA6129">
              <w:rPr>
                <w:i/>
                <w:iCs/>
              </w:rPr>
              <w:t>Qualitative indicator</w:t>
            </w:r>
          </w:p>
        </w:tc>
        <w:tc>
          <w:tcPr>
            <w:tcW w:w="0" w:type="auto"/>
            <w:vAlign w:val="center"/>
          </w:tcPr>
          <w:p w14:paraId="139C2224" w14:textId="77777777" w:rsidR="00DD685F" w:rsidRPr="002213BB" w:rsidRDefault="00DD685F" w:rsidP="00DD685F">
            <w:pPr>
              <w:spacing w:after="0" w:line="240" w:lineRule="auto"/>
              <w:jc w:val="center"/>
            </w:pPr>
            <w:r w:rsidRPr="002213BB">
              <w:t>N/A</w:t>
            </w:r>
          </w:p>
        </w:tc>
        <w:tc>
          <w:tcPr>
            <w:tcW w:w="0" w:type="auto"/>
            <w:vAlign w:val="center"/>
          </w:tcPr>
          <w:p w14:paraId="67D68CED" w14:textId="77777777" w:rsidR="00DD685F" w:rsidRPr="002213BB" w:rsidRDefault="00DD685F" w:rsidP="00DD685F">
            <w:pPr>
              <w:spacing w:after="0" w:line="240" w:lineRule="auto"/>
              <w:jc w:val="center"/>
            </w:pPr>
            <w:r w:rsidRPr="002213BB">
              <w:t>N/A</w:t>
            </w:r>
          </w:p>
        </w:tc>
        <w:tc>
          <w:tcPr>
            <w:tcW w:w="0" w:type="auto"/>
            <w:vAlign w:val="center"/>
          </w:tcPr>
          <w:p w14:paraId="2CE955BD" w14:textId="77777777" w:rsidR="00DD685F" w:rsidRPr="002213BB" w:rsidRDefault="00DD685F" w:rsidP="00DD685F">
            <w:pPr>
              <w:spacing w:after="0" w:line="240" w:lineRule="auto"/>
              <w:jc w:val="center"/>
            </w:pPr>
            <w:r w:rsidRPr="002213BB">
              <w:t>N/A</w:t>
            </w:r>
          </w:p>
        </w:tc>
        <w:tc>
          <w:tcPr>
            <w:tcW w:w="0" w:type="auto"/>
            <w:vAlign w:val="center"/>
          </w:tcPr>
          <w:p w14:paraId="0E8AEDE2" w14:textId="77777777" w:rsidR="00DD685F" w:rsidRPr="002213BB" w:rsidRDefault="00DD685F" w:rsidP="00DD685F">
            <w:pPr>
              <w:spacing w:after="0" w:line="240" w:lineRule="auto"/>
              <w:jc w:val="center"/>
            </w:pPr>
            <w:r w:rsidRPr="002213BB">
              <w:t>N/A</w:t>
            </w:r>
          </w:p>
        </w:tc>
        <w:tc>
          <w:tcPr>
            <w:tcW w:w="0" w:type="auto"/>
            <w:vAlign w:val="center"/>
          </w:tcPr>
          <w:p w14:paraId="02D4AFC0" w14:textId="77777777" w:rsidR="00DD685F" w:rsidRPr="008A2D61" w:rsidRDefault="00DD685F" w:rsidP="00DD685F">
            <w:pPr>
              <w:spacing w:after="0" w:line="240" w:lineRule="auto"/>
              <w:jc w:val="center"/>
            </w:pPr>
          </w:p>
        </w:tc>
      </w:tr>
      <w:tr w:rsidR="00DD685F" w:rsidRPr="0065388C" w14:paraId="33EA962F" w14:textId="77777777" w:rsidTr="00DF2591">
        <w:tc>
          <w:tcPr>
            <w:tcW w:w="0" w:type="auto"/>
          </w:tcPr>
          <w:p w14:paraId="72244988" w14:textId="77777777" w:rsidR="00DD685F" w:rsidRPr="00021FDA" w:rsidRDefault="00DD685F" w:rsidP="00DD685F">
            <w:pPr>
              <w:spacing w:after="0" w:line="240" w:lineRule="auto"/>
              <w:rPr>
                <w:rFonts w:ascii="Times New Roman" w:hAnsi="Times New Roman"/>
              </w:rPr>
            </w:pPr>
            <w:r>
              <w:rPr>
                <w:rFonts w:ascii="Times New Roman" w:hAnsi="Times New Roman"/>
              </w:rPr>
              <w:t>6</w:t>
            </w:r>
            <w:r w:rsidRPr="00021FDA">
              <w:rPr>
                <w:rFonts w:ascii="Times New Roman" w:hAnsi="Times New Roman"/>
              </w:rPr>
              <w:t xml:space="preserve">. </w:t>
            </w:r>
            <w:r w:rsidRPr="00F96DC0">
              <w:rPr>
                <w:rFonts w:ascii="Times New Roman" w:hAnsi="Times New Roman"/>
              </w:rPr>
              <w:t xml:space="preserve"> </w:t>
            </w:r>
            <w:r>
              <w:rPr>
                <w:rFonts w:ascii="Times New Roman" w:hAnsi="Times New Roman"/>
              </w:rPr>
              <w:t>Supporting EC in H2 market uptake</w:t>
            </w:r>
            <w:r w:rsidRPr="009B427C">
              <w:rPr>
                <w:rFonts w:ascii="Times New Roman" w:hAnsi="Times New Roman"/>
              </w:rPr>
              <w:t xml:space="preserve"> </w:t>
            </w:r>
          </w:p>
        </w:tc>
        <w:tc>
          <w:tcPr>
            <w:tcW w:w="0" w:type="auto"/>
            <w:vAlign w:val="center"/>
          </w:tcPr>
          <w:p w14:paraId="7525E57B" w14:textId="77777777" w:rsidR="00DD685F" w:rsidRPr="008A2D61" w:rsidRDefault="00DD685F" w:rsidP="00DD685F">
            <w:pPr>
              <w:spacing w:after="0" w:line="240" w:lineRule="auto"/>
              <w:jc w:val="center"/>
            </w:pPr>
            <w:r w:rsidRPr="00BA6129">
              <w:rPr>
                <w:i/>
                <w:iCs/>
              </w:rPr>
              <w:t>Qualitative indicator</w:t>
            </w:r>
          </w:p>
        </w:tc>
        <w:tc>
          <w:tcPr>
            <w:tcW w:w="0" w:type="auto"/>
            <w:vAlign w:val="center"/>
          </w:tcPr>
          <w:p w14:paraId="49E1A249" w14:textId="77777777" w:rsidR="00DD685F" w:rsidRPr="002213BB" w:rsidRDefault="00DD685F" w:rsidP="00DD685F">
            <w:pPr>
              <w:spacing w:after="0" w:line="240" w:lineRule="auto"/>
              <w:jc w:val="center"/>
            </w:pPr>
            <w:r w:rsidRPr="002213BB">
              <w:t>N/A</w:t>
            </w:r>
          </w:p>
        </w:tc>
        <w:tc>
          <w:tcPr>
            <w:tcW w:w="0" w:type="auto"/>
            <w:vAlign w:val="center"/>
          </w:tcPr>
          <w:p w14:paraId="701B9512" w14:textId="77777777" w:rsidR="00DD685F" w:rsidRPr="002213BB" w:rsidRDefault="00DD685F" w:rsidP="00DD685F">
            <w:pPr>
              <w:spacing w:after="0" w:line="240" w:lineRule="auto"/>
              <w:jc w:val="center"/>
            </w:pPr>
            <w:r w:rsidRPr="002213BB">
              <w:t>N/A</w:t>
            </w:r>
          </w:p>
        </w:tc>
        <w:tc>
          <w:tcPr>
            <w:tcW w:w="0" w:type="auto"/>
            <w:vAlign w:val="center"/>
          </w:tcPr>
          <w:p w14:paraId="6D32C979" w14:textId="77777777" w:rsidR="00DD685F" w:rsidRPr="002213BB" w:rsidRDefault="00DD685F" w:rsidP="00DD685F">
            <w:pPr>
              <w:spacing w:after="0" w:line="240" w:lineRule="auto"/>
              <w:jc w:val="center"/>
            </w:pPr>
            <w:r w:rsidRPr="002213BB">
              <w:t>N/A</w:t>
            </w:r>
          </w:p>
        </w:tc>
        <w:tc>
          <w:tcPr>
            <w:tcW w:w="0" w:type="auto"/>
            <w:vAlign w:val="center"/>
          </w:tcPr>
          <w:p w14:paraId="50682390" w14:textId="77777777" w:rsidR="00DD685F" w:rsidRPr="002213BB" w:rsidRDefault="00DD685F" w:rsidP="00DD685F">
            <w:pPr>
              <w:spacing w:after="0" w:line="240" w:lineRule="auto"/>
              <w:jc w:val="center"/>
            </w:pPr>
            <w:r w:rsidRPr="002213BB">
              <w:t>N/A</w:t>
            </w:r>
          </w:p>
        </w:tc>
        <w:tc>
          <w:tcPr>
            <w:tcW w:w="0" w:type="auto"/>
            <w:vAlign w:val="center"/>
          </w:tcPr>
          <w:p w14:paraId="462927D9" w14:textId="77777777" w:rsidR="00DD685F" w:rsidRPr="008A2D61" w:rsidRDefault="00DD685F" w:rsidP="00DD685F">
            <w:pPr>
              <w:spacing w:after="0" w:line="240" w:lineRule="auto"/>
              <w:jc w:val="center"/>
            </w:pPr>
          </w:p>
        </w:tc>
      </w:tr>
      <w:tr w:rsidR="00DD685F" w:rsidRPr="0065388C" w14:paraId="43E1B4A9" w14:textId="77777777" w:rsidTr="00DF2591">
        <w:tc>
          <w:tcPr>
            <w:tcW w:w="0" w:type="auto"/>
            <w:gridSpan w:val="7"/>
            <w:shd w:val="clear" w:color="auto" w:fill="7F7F7F" w:themeFill="text1" w:themeFillTint="80"/>
            <w:vAlign w:val="center"/>
          </w:tcPr>
          <w:p w14:paraId="4990678F" w14:textId="77777777" w:rsidR="00DD685F" w:rsidRPr="008A2D61" w:rsidRDefault="00DD685F" w:rsidP="00DD685F">
            <w:pPr>
              <w:spacing w:after="0" w:line="240" w:lineRule="auto"/>
              <w:jc w:val="center"/>
              <w:rPr>
                <w:b/>
                <w:bCs/>
              </w:rPr>
            </w:pPr>
            <w:r w:rsidRPr="008A2D61">
              <w:rPr>
                <w:b/>
                <w:bCs/>
                <w:color w:val="FFFFFF" w:themeColor="background1"/>
              </w:rPr>
              <w:t>Outcomes</w:t>
            </w:r>
          </w:p>
        </w:tc>
      </w:tr>
      <w:tr w:rsidR="00DD685F" w:rsidRPr="0065388C" w14:paraId="0D23166A" w14:textId="77777777" w:rsidTr="00DF2591">
        <w:tc>
          <w:tcPr>
            <w:tcW w:w="0" w:type="auto"/>
          </w:tcPr>
          <w:p w14:paraId="44DC9DD2" w14:textId="77777777" w:rsidR="00DD685F" w:rsidRPr="00F96DC0" w:rsidRDefault="00DD685F" w:rsidP="00DD685F">
            <w:pPr>
              <w:spacing w:after="0" w:line="240" w:lineRule="auto"/>
              <w:rPr>
                <w:rFonts w:ascii="Times New Roman" w:eastAsia="Times New Roman" w:hAnsi="Times New Roman"/>
                <w:lang w:val="en-US"/>
              </w:rPr>
            </w:pPr>
            <w:r w:rsidRPr="28317815">
              <w:rPr>
                <w:rFonts w:ascii="Times New Roman" w:hAnsi="Times New Roman"/>
              </w:rPr>
              <w:t xml:space="preserve">7. </w:t>
            </w:r>
            <w:r w:rsidRPr="28317815">
              <w:rPr>
                <w:rFonts w:ascii="Times New Roman" w:eastAsia="Times New Roman" w:hAnsi="Times New Roman"/>
                <w:lang w:val="en-US"/>
              </w:rPr>
              <w:t>Environmental impact and sustainability</w:t>
            </w:r>
          </w:p>
        </w:tc>
        <w:tc>
          <w:tcPr>
            <w:tcW w:w="0" w:type="auto"/>
            <w:vAlign w:val="center"/>
          </w:tcPr>
          <w:p w14:paraId="5E9F66BE" w14:textId="77777777" w:rsidR="00DD685F" w:rsidRPr="004A5A72" w:rsidRDefault="00DD685F" w:rsidP="00DD685F">
            <w:pPr>
              <w:spacing w:after="0" w:line="240" w:lineRule="auto"/>
              <w:jc w:val="center"/>
              <w:rPr>
                <w:i/>
                <w:iCs/>
              </w:rPr>
            </w:pPr>
            <w:r w:rsidRPr="28317815">
              <w:rPr>
                <w:i/>
                <w:iCs/>
              </w:rPr>
              <w:t>TBD</w:t>
            </w:r>
          </w:p>
        </w:tc>
        <w:tc>
          <w:tcPr>
            <w:tcW w:w="0" w:type="auto"/>
            <w:vAlign w:val="center"/>
          </w:tcPr>
          <w:p w14:paraId="24355E9E" w14:textId="77777777" w:rsidR="00DD685F" w:rsidRPr="00F17951" w:rsidRDefault="00DD685F" w:rsidP="00DD685F">
            <w:pPr>
              <w:spacing w:after="0" w:line="240" w:lineRule="auto"/>
              <w:jc w:val="center"/>
              <w:rPr>
                <w:i/>
                <w:iCs/>
              </w:rPr>
            </w:pPr>
            <w:r w:rsidRPr="00F17951">
              <w:rPr>
                <w:i/>
                <w:iCs/>
              </w:rPr>
              <w:t>TBD</w:t>
            </w:r>
          </w:p>
        </w:tc>
        <w:tc>
          <w:tcPr>
            <w:tcW w:w="0" w:type="auto"/>
            <w:vAlign w:val="center"/>
          </w:tcPr>
          <w:p w14:paraId="2E7B93D7" w14:textId="77777777" w:rsidR="00DD685F" w:rsidRPr="00F17951" w:rsidRDefault="00DD685F" w:rsidP="00DD685F">
            <w:pPr>
              <w:spacing w:after="0" w:line="240" w:lineRule="auto"/>
              <w:jc w:val="center"/>
              <w:rPr>
                <w:i/>
                <w:iCs/>
              </w:rPr>
            </w:pPr>
            <w:r w:rsidRPr="00F17951">
              <w:rPr>
                <w:i/>
                <w:iCs/>
              </w:rPr>
              <w:t>TBD</w:t>
            </w:r>
          </w:p>
        </w:tc>
        <w:tc>
          <w:tcPr>
            <w:tcW w:w="0" w:type="auto"/>
            <w:vAlign w:val="center"/>
          </w:tcPr>
          <w:p w14:paraId="55E35AAC" w14:textId="77777777" w:rsidR="00DD685F" w:rsidRPr="00F17951" w:rsidRDefault="00DD685F" w:rsidP="00DD685F">
            <w:pPr>
              <w:spacing w:after="0" w:line="240" w:lineRule="auto"/>
              <w:jc w:val="center"/>
              <w:rPr>
                <w:i/>
                <w:iCs/>
              </w:rPr>
            </w:pPr>
            <w:r w:rsidRPr="00F17951">
              <w:rPr>
                <w:i/>
                <w:iCs/>
              </w:rPr>
              <w:t>TBD</w:t>
            </w:r>
          </w:p>
        </w:tc>
        <w:tc>
          <w:tcPr>
            <w:tcW w:w="0" w:type="auto"/>
            <w:vAlign w:val="center"/>
          </w:tcPr>
          <w:p w14:paraId="0E1A61D6" w14:textId="77777777" w:rsidR="00DD685F" w:rsidRPr="00F17951" w:rsidRDefault="00DD685F" w:rsidP="00DD685F">
            <w:pPr>
              <w:spacing w:after="0" w:line="240" w:lineRule="auto"/>
              <w:jc w:val="center"/>
              <w:rPr>
                <w:i/>
                <w:iCs/>
              </w:rPr>
            </w:pPr>
            <w:r w:rsidRPr="00F17951">
              <w:rPr>
                <w:i/>
                <w:iCs/>
              </w:rPr>
              <w:t>TBD</w:t>
            </w:r>
          </w:p>
        </w:tc>
        <w:tc>
          <w:tcPr>
            <w:tcW w:w="0" w:type="auto"/>
            <w:vAlign w:val="center"/>
          </w:tcPr>
          <w:p w14:paraId="2528110E" w14:textId="77777777" w:rsidR="00DD685F" w:rsidRPr="008A2D61" w:rsidRDefault="00DD685F" w:rsidP="00DD685F">
            <w:pPr>
              <w:spacing w:after="0" w:line="240" w:lineRule="auto"/>
              <w:jc w:val="center"/>
            </w:pPr>
          </w:p>
        </w:tc>
      </w:tr>
      <w:tr w:rsidR="00DD685F" w:rsidRPr="0065388C" w14:paraId="3F1E3306" w14:textId="77777777" w:rsidTr="00DF2591">
        <w:tc>
          <w:tcPr>
            <w:tcW w:w="0" w:type="auto"/>
          </w:tcPr>
          <w:p w14:paraId="161F8932" w14:textId="77777777" w:rsidR="00DD685F" w:rsidRPr="00F96DC0" w:rsidRDefault="00DD685F" w:rsidP="00DD685F">
            <w:pPr>
              <w:spacing w:after="0" w:line="240" w:lineRule="auto"/>
              <w:rPr>
                <w:rFonts w:ascii="Times New Roman" w:hAnsi="Times New Roman"/>
              </w:rPr>
            </w:pPr>
            <w:r>
              <w:rPr>
                <w:rFonts w:ascii="Times New Roman" w:hAnsi="Times New Roman"/>
              </w:rPr>
              <w:t>8</w:t>
            </w:r>
            <w:r w:rsidRPr="00021FDA">
              <w:rPr>
                <w:rFonts w:ascii="Times New Roman" w:hAnsi="Times New Roman"/>
              </w:rPr>
              <w:t xml:space="preserve">. </w:t>
            </w:r>
            <w:r>
              <w:rPr>
                <w:rFonts w:ascii="Times New Roman" w:hAnsi="Times New Roman"/>
              </w:rPr>
              <w:t>Capital c</w:t>
            </w:r>
            <w:r w:rsidRPr="00021FDA">
              <w:rPr>
                <w:rFonts w:ascii="Times New Roman" w:hAnsi="Times New Roman"/>
              </w:rPr>
              <w:t xml:space="preserve">ost of </w:t>
            </w:r>
            <w:r>
              <w:rPr>
                <w:rFonts w:ascii="Times New Roman" w:hAnsi="Times New Roman"/>
              </w:rPr>
              <w:t>hydrogen applications</w:t>
            </w:r>
          </w:p>
        </w:tc>
        <w:tc>
          <w:tcPr>
            <w:tcW w:w="0" w:type="auto"/>
            <w:vAlign w:val="center"/>
          </w:tcPr>
          <w:p w14:paraId="52DF0ED7" w14:textId="77777777" w:rsidR="00DD685F" w:rsidRDefault="00DD685F" w:rsidP="00DD685F">
            <w:pPr>
              <w:spacing w:after="0" w:line="240" w:lineRule="auto"/>
              <w:jc w:val="center"/>
              <w:rPr>
                <w:rFonts w:cs="Arial"/>
                <w:lang w:eastAsia="en-GB"/>
              </w:rPr>
            </w:pPr>
            <w:r w:rsidRPr="008A2D61">
              <w:rPr>
                <w:rFonts w:cs="Arial"/>
                <w:lang w:eastAsia="en-GB"/>
              </w:rPr>
              <w:t>€/k</w:t>
            </w:r>
            <w:r>
              <w:rPr>
                <w:rFonts w:cs="Arial"/>
                <w:lang w:eastAsia="en-GB"/>
              </w:rPr>
              <w:t>ilowatt</w:t>
            </w:r>
          </w:p>
          <w:p w14:paraId="5249397A" w14:textId="77777777" w:rsidR="00DD685F" w:rsidRPr="00F17951" w:rsidRDefault="00DD685F" w:rsidP="00DD685F">
            <w:pPr>
              <w:spacing w:after="0" w:line="240" w:lineRule="auto"/>
              <w:jc w:val="center"/>
            </w:pPr>
            <w:r>
              <w:rPr>
                <w:rFonts w:cs="Arial"/>
                <w:lang w:eastAsia="en-GB"/>
              </w:rPr>
              <w:t>(2 indicators)</w:t>
            </w:r>
          </w:p>
        </w:tc>
        <w:tc>
          <w:tcPr>
            <w:tcW w:w="0" w:type="auto"/>
            <w:vAlign w:val="center"/>
          </w:tcPr>
          <w:p w14:paraId="5E2EE252" w14:textId="77777777" w:rsidR="00DD685F" w:rsidRPr="00F17951" w:rsidRDefault="00DD685F" w:rsidP="00DD685F">
            <w:pPr>
              <w:spacing w:after="0" w:line="240" w:lineRule="auto"/>
              <w:jc w:val="center"/>
              <w:rPr>
                <w:i/>
                <w:iCs/>
              </w:rPr>
            </w:pPr>
            <w:r w:rsidRPr="00F17951">
              <w:rPr>
                <w:i/>
                <w:iCs/>
              </w:rPr>
              <w:t>TBD</w:t>
            </w:r>
          </w:p>
        </w:tc>
        <w:tc>
          <w:tcPr>
            <w:tcW w:w="0" w:type="auto"/>
            <w:vAlign w:val="center"/>
          </w:tcPr>
          <w:p w14:paraId="47AD5E4C" w14:textId="77777777" w:rsidR="00DD685F" w:rsidRPr="00F17951" w:rsidRDefault="00DD685F" w:rsidP="00DD685F">
            <w:pPr>
              <w:spacing w:after="0" w:line="240" w:lineRule="auto"/>
              <w:jc w:val="center"/>
              <w:rPr>
                <w:i/>
                <w:iCs/>
              </w:rPr>
            </w:pPr>
            <w:r w:rsidRPr="00F17951">
              <w:rPr>
                <w:i/>
                <w:iCs/>
              </w:rPr>
              <w:t>TBD</w:t>
            </w:r>
          </w:p>
        </w:tc>
        <w:tc>
          <w:tcPr>
            <w:tcW w:w="0" w:type="auto"/>
            <w:vAlign w:val="center"/>
          </w:tcPr>
          <w:p w14:paraId="610762C6" w14:textId="77777777" w:rsidR="00DD685F" w:rsidRPr="00F17951" w:rsidRDefault="00DD685F" w:rsidP="00DD685F">
            <w:pPr>
              <w:spacing w:after="0" w:line="240" w:lineRule="auto"/>
              <w:jc w:val="center"/>
              <w:rPr>
                <w:i/>
                <w:iCs/>
              </w:rPr>
            </w:pPr>
            <w:r w:rsidRPr="00F17951">
              <w:rPr>
                <w:i/>
                <w:iCs/>
              </w:rPr>
              <w:t>TBD</w:t>
            </w:r>
          </w:p>
        </w:tc>
        <w:tc>
          <w:tcPr>
            <w:tcW w:w="0" w:type="auto"/>
            <w:vAlign w:val="center"/>
          </w:tcPr>
          <w:p w14:paraId="7365259C" w14:textId="77777777" w:rsidR="00DD685F" w:rsidRPr="00F17951" w:rsidRDefault="00DD685F" w:rsidP="00DD685F">
            <w:pPr>
              <w:spacing w:after="0" w:line="240" w:lineRule="auto"/>
              <w:jc w:val="center"/>
              <w:rPr>
                <w:i/>
                <w:iCs/>
              </w:rPr>
            </w:pPr>
            <w:r w:rsidRPr="00F17951">
              <w:rPr>
                <w:i/>
                <w:iCs/>
              </w:rPr>
              <w:t>TBD</w:t>
            </w:r>
          </w:p>
        </w:tc>
        <w:tc>
          <w:tcPr>
            <w:tcW w:w="0" w:type="auto"/>
            <w:vAlign w:val="center"/>
          </w:tcPr>
          <w:p w14:paraId="0A60D028" w14:textId="77777777" w:rsidR="00DD685F" w:rsidRPr="008A2D61" w:rsidRDefault="00DD685F" w:rsidP="00DD685F">
            <w:pPr>
              <w:spacing w:after="0" w:line="240" w:lineRule="auto"/>
              <w:jc w:val="center"/>
            </w:pPr>
          </w:p>
        </w:tc>
      </w:tr>
      <w:tr w:rsidR="00DD685F" w:rsidRPr="0065388C" w14:paraId="4FE2701E" w14:textId="77777777" w:rsidTr="00DF2591">
        <w:tc>
          <w:tcPr>
            <w:tcW w:w="0" w:type="auto"/>
          </w:tcPr>
          <w:p w14:paraId="04983244" w14:textId="77777777" w:rsidR="00DD685F" w:rsidRPr="00F96DC0" w:rsidRDefault="00DD685F" w:rsidP="00DD685F">
            <w:pPr>
              <w:spacing w:after="0" w:line="240" w:lineRule="auto"/>
              <w:rPr>
                <w:rFonts w:ascii="Times New Roman" w:hAnsi="Times New Roman"/>
              </w:rPr>
            </w:pPr>
            <w:r>
              <w:rPr>
                <w:rFonts w:ascii="Times New Roman" w:hAnsi="Times New Roman"/>
              </w:rPr>
              <w:t>9</w:t>
            </w:r>
            <w:r w:rsidRPr="00260936">
              <w:rPr>
                <w:rFonts w:ascii="Times New Roman" w:hAnsi="Times New Roman"/>
              </w:rPr>
              <w:t xml:space="preserve">. </w:t>
            </w:r>
            <w:r w:rsidRPr="00F96DC0">
              <w:rPr>
                <w:rFonts w:ascii="Times New Roman" w:hAnsi="Times New Roman"/>
              </w:rPr>
              <w:t xml:space="preserve"> </w:t>
            </w:r>
            <w:r>
              <w:rPr>
                <w:rFonts w:ascii="Times New Roman" w:hAnsi="Times New Roman"/>
              </w:rPr>
              <w:t>Research and Innovation Synergies</w:t>
            </w:r>
          </w:p>
        </w:tc>
        <w:tc>
          <w:tcPr>
            <w:tcW w:w="0" w:type="auto"/>
            <w:vAlign w:val="center"/>
          </w:tcPr>
          <w:p w14:paraId="5DCD204F" w14:textId="77777777" w:rsidR="00DD685F" w:rsidRPr="008A2D61" w:rsidRDefault="00DD685F" w:rsidP="00DD685F">
            <w:pPr>
              <w:spacing w:after="0" w:line="240" w:lineRule="auto"/>
              <w:jc w:val="center"/>
            </w:pPr>
            <w:r w:rsidRPr="008A2D61">
              <w:rPr>
                <w:lang w:val="el-GR"/>
              </w:rPr>
              <w:t>#</w:t>
            </w:r>
            <w:r w:rsidRPr="008A2D61">
              <w:t xml:space="preserve"> of projects</w:t>
            </w:r>
          </w:p>
        </w:tc>
        <w:tc>
          <w:tcPr>
            <w:tcW w:w="0" w:type="auto"/>
            <w:vAlign w:val="center"/>
          </w:tcPr>
          <w:p w14:paraId="215D6D17" w14:textId="77777777" w:rsidR="00DD685F" w:rsidRPr="002213BB" w:rsidRDefault="00DD685F" w:rsidP="00DD685F">
            <w:pPr>
              <w:spacing w:after="0" w:line="240" w:lineRule="auto"/>
              <w:jc w:val="center"/>
            </w:pPr>
            <w:r w:rsidRPr="002213BB">
              <w:t>5</w:t>
            </w:r>
            <w:r w:rsidRPr="002213BB">
              <w:rPr>
                <w:vertAlign w:val="superscript"/>
              </w:rPr>
              <w:t>1</w:t>
            </w:r>
          </w:p>
        </w:tc>
        <w:tc>
          <w:tcPr>
            <w:tcW w:w="0" w:type="auto"/>
            <w:vAlign w:val="center"/>
          </w:tcPr>
          <w:p w14:paraId="182EBE89" w14:textId="77777777" w:rsidR="00DD685F" w:rsidRPr="002213BB" w:rsidRDefault="00DD685F" w:rsidP="00DD685F">
            <w:pPr>
              <w:spacing w:after="0" w:line="240" w:lineRule="auto"/>
              <w:jc w:val="center"/>
            </w:pPr>
            <w:r w:rsidRPr="002213BB">
              <w:t>5</w:t>
            </w:r>
          </w:p>
        </w:tc>
        <w:tc>
          <w:tcPr>
            <w:tcW w:w="0" w:type="auto"/>
            <w:vAlign w:val="center"/>
          </w:tcPr>
          <w:p w14:paraId="54504391" w14:textId="77777777" w:rsidR="00DD685F" w:rsidRPr="002213BB" w:rsidRDefault="00DD685F" w:rsidP="00DD685F">
            <w:pPr>
              <w:spacing w:after="0" w:line="240" w:lineRule="auto"/>
              <w:jc w:val="center"/>
            </w:pPr>
            <w:r w:rsidRPr="002213BB">
              <w:t>10</w:t>
            </w:r>
          </w:p>
        </w:tc>
        <w:tc>
          <w:tcPr>
            <w:tcW w:w="0" w:type="auto"/>
            <w:vAlign w:val="center"/>
          </w:tcPr>
          <w:p w14:paraId="263CFB8D" w14:textId="77777777" w:rsidR="00DD685F" w:rsidRPr="002213BB" w:rsidRDefault="00DD685F" w:rsidP="00DD685F">
            <w:pPr>
              <w:spacing w:after="0" w:line="240" w:lineRule="auto"/>
              <w:jc w:val="center"/>
            </w:pPr>
            <w:r w:rsidRPr="002213BB">
              <w:t>20</w:t>
            </w:r>
          </w:p>
        </w:tc>
        <w:tc>
          <w:tcPr>
            <w:tcW w:w="0" w:type="auto"/>
            <w:vAlign w:val="center"/>
          </w:tcPr>
          <w:p w14:paraId="0C8B1CF4" w14:textId="77777777" w:rsidR="00DD685F" w:rsidRPr="008A2D61" w:rsidRDefault="00DD685F" w:rsidP="00DD685F">
            <w:pPr>
              <w:spacing w:after="0" w:line="240" w:lineRule="auto"/>
              <w:jc w:val="center"/>
            </w:pPr>
          </w:p>
        </w:tc>
      </w:tr>
      <w:tr w:rsidR="00DD685F" w:rsidRPr="0065388C" w14:paraId="567D7729" w14:textId="77777777" w:rsidTr="00DF2591">
        <w:tc>
          <w:tcPr>
            <w:tcW w:w="0" w:type="auto"/>
          </w:tcPr>
          <w:p w14:paraId="3CF40092" w14:textId="77777777" w:rsidR="00DD685F" w:rsidRPr="00021FDA" w:rsidRDefault="00DD685F" w:rsidP="00DD685F">
            <w:pPr>
              <w:spacing w:after="0" w:line="240" w:lineRule="auto"/>
              <w:rPr>
                <w:rFonts w:ascii="Times New Roman" w:hAnsi="Times New Roman"/>
              </w:rPr>
            </w:pPr>
            <w:r>
              <w:rPr>
                <w:rFonts w:ascii="Times New Roman" w:hAnsi="Times New Roman"/>
              </w:rPr>
              <w:t>10</w:t>
            </w:r>
            <w:r w:rsidRPr="00021FDA">
              <w:rPr>
                <w:rFonts w:ascii="Times New Roman" w:hAnsi="Times New Roman"/>
              </w:rPr>
              <w:t xml:space="preserve">. Public perception of hydrogen </w:t>
            </w:r>
          </w:p>
        </w:tc>
        <w:tc>
          <w:tcPr>
            <w:tcW w:w="0" w:type="auto"/>
            <w:vAlign w:val="center"/>
          </w:tcPr>
          <w:p w14:paraId="77C6BA6D" w14:textId="77777777" w:rsidR="00DD685F" w:rsidRPr="00BA6129" w:rsidRDefault="00DD685F" w:rsidP="00DD685F">
            <w:pPr>
              <w:spacing w:after="0" w:line="240" w:lineRule="auto"/>
              <w:jc w:val="center"/>
              <w:rPr>
                <w:i/>
                <w:iCs/>
              </w:rPr>
            </w:pPr>
            <w:r w:rsidRPr="00BA6129">
              <w:rPr>
                <w:i/>
                <w:iCs/>
              </w:rPr>
              <w:t>Qualitative indicator</w:t>
            </w:r>
          </w:p>
        </w:tc>
        <w:tc>
          <w:tcPr>
            <w:tcW w:w="0" w:type="auto"/>
            <w:vAlign w:val="center"/>
          </w:tcPr>
          <w:p w14:paraId="1DEADC30" w14:textId="77777777" w:rsidR="00DD685F" w:rsidRPr="002213BB" w:rsidRDefault="00DD685F" w:rsidP="00DD685F">
            <w:pPr>
              <w:spacing w:after="0" w:line="240" w:lineRule="auto"/>
              <w:jc w:val="center"/>
              <w:rPr>
                <w:highlight w:val="yellow"/>
              </w:rPr>
            </w:pPr>
            <w:r w:rsidRPr="002213BB">
              <w:t>N/A</w:t>
            </w:r>
          </w:p>
        </w:tc>
        <w:tc>
          <w:tcPr>
            <w:tcW w:w="0" w:type="auto"/>
            <w:vAlign w:val="center"/>
          </w:tcPr>
          <w:p w14:paraId="560DE930" w14:textId="77777777" w:rsidR="00DD685F" w:rsidRPr="002213BB" w:rsidRDefault="00DD685F" w:rsidP="00DD685F">
            <w:pPr>
              <w:spacing w:after="0" w:line="240" w:lineRule="auto"/>
              <w:jc w:val="center"/>
              <w:rPr>
                <w:highlight w:val="yellow"/>
              </w:rPr>
            </w:pPr>
            <w:r w:rsidRPr="002213BB">
              <w:t>N/A</w:t>
            </w:r>
          </w:p>
        </w:tc>
        <w:tc>
          <w:tcPr>
            <w:tcW w:w="0" w:type="auto"/>
            <w:vAlign w:val="center"/>
          </w:tcPr>
          <w:p w14:paraId="6EB7C8C7" w14:textId="77777777" w:rsidR="00DD685F" w:rsidRPr="002213BB" w:rsidRDefault="00DD685F" w:rsidP="00DD685F">
            <w:pPr>
              <w:spacing w:after="0" w:line="240" w:lineRule="auto"/>
              <w:jc w:val="center"/>
              <w:rPr>
                <w:highlight w:val="yellow"/>
              </w:rPr>
            </w:pPr>
            <w:r w:rsidRPr="002213BB">
              <w:t>N/A</w:t>
            </w:r>
          </w:p>
        </w:tc>
        <w:tc>
          <w:tcPr>
            <w:tcW w:w="0" w:type="auto"/>
            <w:vAlign w:val="center"/>
          </w:tcPr>
          <w:p w14:paraId="1B9E5B2E" w14:textId="77777777" w:rsidR="00DD685F" w:rsidRPr="002213BB" w:rsidRDefault="00DD685F" w:rsidP="00DD685F">
            <w:pPr>
              <w:spacing w:after="0" w:line="240" w:lineRule="auto"/>
              <w:jc w:val="center"/>
              <w:rPr>
                <w:highlight w:val="yellow"/>
              </w:rPr>
            </w:pPr>
            <w:r w:rsidRPr="002213BB">
              <w:t>N/A</w:t>
            </w:r>
          </w:p>
        </w:tc>
        <w:tc>
          <w:tcPr>
            <w:tcW w:w="0" w:type="auto"/>
            <w:vAlign w:val="center"/>
          </w:tcPr>
          <w:p w14:paraId="251CA1F2" w14:textId="77777777" w:rsidR="00DD685F" w:rsidRPr="00A12A42" w:rsidRDefault="00DD685F" w:rsidP="00DD685F">
            <w:pPr>
              <w:spacing w:after="0" w:line="240" w:lineRule="auto"/>
              <w:jc w:val="center"/>
            </w:pPr>
          </w:p>
        </w:tc>
      </w:tr>
      <w:tr w:rsidR="00DD685F" w:rsidRPr="0065388C" w14:paraId="45568DE9" w14:textId="77777777" w:rsidTr="00DF2591">
        <w:tc>
          <w:tcPr>
            <w:tcW w:w="0" w:type="auto"/>
          </w:tcPr>
          <w:p w14:paraId="26514D38" w14:textId="77777777" w:rsidR="00DD685F" w:rsidRPr="00F96DC0" w:rsidRDefault="00DD685F" w:rsidP="00DD685F">
            <w:pPr>
              <w:spacing w:after="0" w:line="240" w:lineRule="auto"/>
              <w:rPr>
                <w:rFonts w:ascii="Times New Roman" w:hAnsi="Times New Roman"/>
              </w:rPr>
            </w:pPr>
            <w:r w:rsidRPr="00F96DC0">
              <w:rPr>
                <w:rFonts w:ascii="Times New Roman" w:hAnsi="Times New Roman"/>
              </w:rPr>
              <w:t>1</w:t>
            </w:r>
            <w:r>
              <w:rPr>
                <w:rFonts w:ascii="Times New Roman" w:hAnsi="Times New Roman"/>
              </w:rPr>
              <w:t>1</w:t>
            </w:r>
            <w:r w:rsidRPr="00F96DC0">
              <w:rPr>
                <w:rFonts w:ascii="Times New Roman" w:hAnsi="Times New Roman"/>
              </w:rPr>
              <w:t>. Total persons trained</w:t>
            </w:r>
          </w:p>
        </w:tc>
        <w:tc>
          <w:tcPr>
            <w:tcW w:w="0" w:type="auto"/>
            <w:vAlign w:val="center"/>
          </w:tcPr>
          <w:p w14:paraId="180C1159" w14:textId="77777777" w:rsidR="00DD685F" w:rsidRPr="008A2D61" w:rsidRDefault="00DD685F" w:rsidP="00DD685F">
            <w:pPr>
              <w:spacing w:after="0" w:line="240" w:lineRule="auto"/>
              <w:jc w:val="center"/>
            </w:pPr>
            <w:r w:rsidRPr="008A2D61">
              <w:rPr>
                <w:lang w:val="el-GR"/>
              </w:rPr>
              <w:t>#</w:t>
            </w:r>
            <w:r w:rsidRPr="008A2D61">
              <w:t xml:space="preserve"> of p</w:t>
            </w:r>
            <w:r>
              <w:t>ersons</w:t>
            </w:r>
          </w:p>
        </w:tc>
        <w:tc>
          <w:tcPr>
            <w:tcW w:w="0" w:type="auto"/>
            <w:vAlign w:val="center"/>
          </w:tcPr>
          <w:p w14:paraId="2202390F" w14:textId="77777777" w:rsidR="00DD685F" w:rsidRPr="002213BB" w:rsidRDefault="00DD685F" w:rsidP="00DD685F">
            <w:pPr>
              <w:spacing w:after="0" w:line="240" w:lineRule="auto"/>
              <w:jc w:val="center"/>
            </w:pPr>
            <w:r w:rsidRPr="002213BB">
              <w:t>4,163</w:t>
            </w:r>
            <w:r w:rsidRPr="002213BB">
              <w:rPr>
                <w:vertAlign w:val="superscript"/>
              </w:rPr>
              <w:t>1</w:t>
            </w:r>
          </w:p>
        </w:tc>
        <w:tc>
          <w:tcPr>
            <w:tcW w:w="0" w:type="auto"/>
            <w:vAlign w:val="center"/>
          </w:tcPr>
          <w:p w14:paraId="4A53B0FE" w14:textId="77777777" w:rsidR="00DD685F" w:rsidRPr="002213BB" w:rsidRDefault="00DD685F" w:rsidP="00DD685F">
            <w:pPr>
              <w:spacing w:after="0" w:line="240" w:lineRule="auto"/>
              <w:jc w:val="center"/>
            </w:pPr>
            <w:r w:rsidRPr="002213BB">
              <w:t>1,000</w:t>
            </w:r>
          </w:p>
        </w:tc>
        <w:tc>
          <w:tcPr>
            <w:tcW w:w="0" w:type="auto"/>
            <w:vAlign w:val="center"/>
          </w:tcPr>
          <w:p w14:paraId="07B9D120" w14:textId="77777777" w:rsidR="00DD685F" w:rsidRPr="002213BB" w:rsidRDefault="00DD685F" w:rsidP="00DD685F">
            <w:pPr>
              <w:spacing w:after="0" w:line="240" w:lineRule="auto"/>
              <w:jc w:val="center"/>
            </w:pPr>
            <w:r w:rsidRPr="002213BB">
              <w:t>3,000</w:t>
            </w:r>
          </w:p>
        </w:tc>
        <w:tc>
          <w:tcPr>
            <w:tcW w:w="0" w:type="auto"/>
            <w:vAlign w:val="center"/>
          </w:tcPr>
          <w:p w14:paraId="7E986BB9" w14:textId="77777777" w:rsidR="00DD685F" w:rsidRPr="002213BB" w:rsidRDefault="00DD685F" w:rsidP="00DD685F">
            <w:pPr>
              <w:spacing w:after="0" w:line="240" w:lineRule="auto"/>
              <w:jc w:val="center"/>
            </w:pPr>
            <w:r w:rsidRPr="002213BB">
              <w:t>6,000</w:t>
            </w:r>
          </w:p>
        </w:tc>
        <w:tc>
          <w:tcPr>
            <w:tcW w:w="0" w:type="auto"/>
            <w:vAlign w:val="center"/>
          </w:tcPr>
          <w:p w14:paraId="386993C4" w14:textId="77777777" w:rsidR="00DD685F" w:rsidRPr="008A2D61" w:rsidRDefault="00DD685F" w:rsidP="00DD685F">
            <w:pPr>
              <w:spacing w:after="0" w:line="240" w:lineRule="auto"/>
              <w:jc w:val="center"/>
            </w:pPr>
          </w:p>
        </w:tc>
      </w:tr>
      <w:tr w:rsidR="00DD685F" w:rsidRPr="0065388C" w14:paraId="5C133CDC" w14:textId="77777777" w:rsidTr="00DF2591">
        <w:tc>
          <w:tcPr>
            <w:tcW w:w="0" w:type="auto"/>
          </w:tcPr>
          <w:p w14:paraId="248EF6F7" w14:textId="77777777" w:rsidR="00DD685F" w:rsidRPr="00F96DC0" w:rsidRDefault="00DD685F" w:rsidP="00DD685F">
            <w:pPr>
              <w:spacing w:after="0" w:line="240" w:lineRule="auto"/>
              <w:rPr>
                <w:rFonts w:ascii="Times New Roman" w:hAnsi="Times New Roman"/>
              </w:rPr>
            </w:pPr>
            <w:r>
              <w:rPr>
                <w:rFonts w:ascii="Times New Roman" w:hAnsi="Times New Roman"/>
              </w:rPr>
              <w:t>12</w:t>
            </w:r>
            <w:r w:rsidRPr="00021FDA">
              <w:rPr>
                <w:rFonts w:ascii="Times New Roman" w:hAnsi="Times New Roman"/>
              </w:rPr>
              <w:t xml:space="preserve">. </w:t>
            </w:r>
            <w:r>
              <w:rPr>
                <w:rFonts w:ascii="Times New Roman" w:hAnsi="Times New Roman"/>
              </w:rPr>
              <w:t>P</w:t>
            </w:r>
            <w:r w:rsidRPr="00021FDA">
              <w:rPr>
                <w:rFonts w:ascii="Times New Roman" w:hAnsi="Times New Roman"/>
              </w:rPr>
              <w:t xml:space="preserve">atents </w:t>
            </w:r>
            <w:r>
              <w:rPr>
                <w:rFonts w:ascii="Times New Roman" w:hAnsi="Times New Roman"/>
              </w:rPr>
              <w:t xml:space="preserve">and publications </w:t>
            </w:r>
          </w:p>
        </w:tc>
        <w:tc>
          <w:tcPr>
            <w:tcW w:w="0" w:type="auto"/>
            <w:vAlign w:val="center"/>
          </w:tcPr>
          <w:p w14:paraId="1BA53AF9" w14:textId="77777777" w:rsidR="00DD685F" w:rsidRPr="008A2D61" w:rsidRDefault="00DD685F" w:rsidP="00DD685F">
            <w:pPr>
              <w:spacing w:after="0" w:line="240" w:lineRule="auto"/>
              <w:jc w:val="center"/>
            </w:pPr>
            <w:r w:rsidRPr="008A2D61">
              <w:t xml:space="preserve"># </w:t>
            </w:r>
            <w:proofErr w:type="gramStart"/>
            <w:r>
              <w:t>of</w:t>
            </w:r>
            <w:proofErr w:type="gramEnd"/>
            <w:r>
              <w:t xml:space="preserve"> patents / publications</w:t>
            </w:r>
          </w:p>
        </w:tc>
        <w:tc>
          <w:tcPr>
            <w:tcW w:w="0" w:type="auto"/>
            <w:vAlign w:val="center"/>
          </w:tcPr>
          <w:p w14:paraId="2CD422BF" w14:textId="77777777" w:rsidR="00DD685F" w:rsidRPr="002213BB" w:rsidRDefault="00DD685F" w:rsidP="00DD685F">
            <w:pPr>
              <w:spacing w:after="0" w:line="240" w:lineRule="auto"/>
              <w:jc w:val="center"/>
            </w:pPr>
            <w:r w:rsidRPr="002213BB">
              <w:t>12</w:t>
            </w:r>
            <w:r w:rsidRPr="002213BB">
              <w:rPr>
                <w:vertAlign w:val="superscript"/>
              </w:rPr>
              <w:t>1</w:t>
            </w:r>
            <w:r w:rsidRPr="002213BB">
              <w:t xml:space="preserve"> / </w:t>
            </w:r>
          </w:p>
          <w:p w14:paraId="6145CD61" w14:textId="77777777" w:rsidR="00DD685F" w:rsidRPr="002213BB" w:rsidRDefault="00DD685F" w:rsidP="00DD685F">
            <w:pPr>
              <w:spacing w:after="0" w:line="240" w:lineRule="auto"/>
              <w:jc w:val="center"/>
            </w:pPr>
            <w:r w:rsidRPr="002213BB">
              <w:t>289</w:t>
            </w:r>
          </w:p>
        </w:tc>
        <w:tc>
          <w:tcPr>
            <w:tcW w:w="0" w:type="auto"/>
            <w:vAlign w:val="center"/>
          </w:tcPr>
          <w:p w14:paraId="4DE4F3D4" w14:textId="77777777" w:rsidR="00DD685F" w:rsidRPr="002213BB" w:rsidRDefault="00DD685F" w:rsidP="00DD685F">
            <w:pPr>
              <w:spacing w:after="0" w:line="240" w:lineRule="auto"/>
              <w:jc w:val="center"/>
            </w:pPr>
            <w:r w:rsidRPr="002213BB">
              <w:t xml:space="preserve">17 / </w:t>
            </w:r>
          </w:p>
          <w:p w14:paraId="636AF3F0" w14:textId="77777777" w:rsidR="00DD685F" w:rsidRPr="002213BB" w:rsidRDefault="00DD685F" w:rsidP="00DD685F">
            <w:pPr>
              <w:spacing w:after="0" w:line="240" w:lineRule="auto"/>
              <w:jc w:val="center"/>
            </w:pPr>
            <w:r w:rsidRPr="002213BB">
              <w:t>350</w:t>
            </w:r>
          </w:p>
        </w:tc>
        <w:tc>
          <w:tcPr>
            <w:tcW w:w="0" w:type="auto"/>
            <w:vAlign w:val="center"/>
          </w:tcPr>
          <w:p w14:paraId="191D3BEB" w14:textId="77777777" w:rsidR="00DD685F" w:rsidRPr="002213BB" w:rsidRDefault="00DD685F" w:rsidP="00DD685F">
            <w:pPr>
              <w:spacing w:after="0" w:line="240" w:lineRule="auto"/>
              <w:jc w:val="center"/>
            </w:pPr>
            <w:r w:rsidRPr="002213BB">
              <w:t>20 / 400</w:t>
            </w:r>
          </w:p>
        </w:tc>
        <w:tc>
          <w:tcPr>
            <w:tcW w:w="0" w:type="auto"/>
            <w:vAlign w:val="center"/>
          </w:tcPr>
          <w:p w14:paraId="11907845" w14:textId="77777777" w:rsidR="00DD685F" w:rsidRPr="002213BB" w:rsidRDefault="00DD685F" w:rsidP="00DD685F">
            <w:pPr>
              <w:spacing w:after="0" w:line="240" w:lineRule="auto"/>
              <w:jc w:val="center"/>
            </w:pPr>
            <w:r w:rsidRPr="002213BB">
              <w:t>25/ 450</w:t>
            </w:r>
          </w:p>
        </w:tc>
        <w:tc>
          <w:tcPr>
            <w:tcW w:w="0" w:type="auto"/>
            <w:vAlign w:val="center"/>
          </w:tcPr>
          <w:p w14:paraId="6E62B6FF" w14:textId="77777777" w:rsidR="00DD685F" w:rsidRPr="008A2D61" w:rsidRDefault="00DD685F" w:rsidP="00DD685F">
            <w:pPr>
              <w:spacing w:after="0" w:line="240" w:lineRule="auto"/>
              <w:jc w:val="center"/>
            </w:pPr>
          </w:p>
        </w:tc>
      </w:tr>
      <w:tr w:rsidR="00DD685F" w:rsidRPr="0065388C" w14:paraId="72BE5F25" w14:textId="77777777" w:rsidTr="00DF2591">
        <w:trPr>
          <w:trHeight w:val="320"/>
        </w:trPr>
        <w:tc>
          <w:tcPr>
            <w:tcW w:w="0" w:type="auto"/>
          </w:tcPr>
          <w:p w14:paraId="6912B73C" w14:textId="77777777" w:rsidR="00DD685F" w:rsidRPr="00021FDA" w:rsidRDefault="00DD685F" w:rsidP="00DD685F">
            <w:pPr>
              <w:spacing w:after="0" w:line="240" w:lineRule="auto"/>
              <w:rPr>
                <w:rFonts w:ascii="Times New Roman" w:hAnsi="Times New Roman"/>
              </w:rPr>
            </w:pPr>
            <w:r>
              <w:rPr>
                <w:rFonts w:ascii="Times New Roman" w:hAnsi="Times New Roman"/>
              </w:rPr>
              <w:t>13</w:t>
            </w:r>
            <w:r w:rsidRPr="00021FDA">
              <w:rPr>
                <w:rFonts w:ascii="Times New Roman" w:hAnsi="Times New Roman"/>
              </w:rPr>
              <w:t xml:space="preserve">. </w:t>
            </w:r>
            <w:r w:rsidRPr="00F96DC0">
              <w:rPr>
                <w:rFonts w:ascii="Times New Roman" w:hAnsi="Times New Roman"/>
              </w:rPr>
              <w:t xml:space="preserve"> </w:t>
            </w:r>
            <w:r>
              <w:rPr>
                <w:rFonts w:ascii="Times New Roman" w:hAnsi="Times New Roman"/>
              </w:rPr>
              <w:t xml:space="preserve">Promoting cross-sectoral solutions </w:t>
            </w:r>
          </w:p>
        </w:tc>
        <w:tc>
          <w:tcPr>
            <w:tcW w:w="0" w:type="auto"/>
            <w:vAlign w:val="center"/>
          </w:tcPr>
          <w:p w14:paraId="0E0C678B" w14:textId="77777777" w:rsidR="00DD685F" w:rsidRPr="008A2D61" w:rsidRDefault="00DD685F" w:rsidP="00DD685F">
            <w:pPr>
              <w:spacing w:after="0" w:line="240" w:lineRule="auto"/>
              <w:jc w:val="center"/>
            </w:pPr>
            <w:r w:rsidRPr="008A2D61">
              <w:rPr>
                <w:lang w:val="el-GR"/>
              </w:rPr>
              <w:t>#</w:t>
            </w:r>
            <w:r w:rsidRPr="008A2D61">
              <w:t xml:space="preserve"> of projects</w:t>
            </w:r>
          </w:p>
        </w:tc>
        <w:tc>
          <w:tcPr>
            <w:tcW w:w="0" w:type="auto"/>
            <w:vAlign w:val="center"/>
          </w:tcPr>
          <w:p w14:paraId="0CED04CF" w14:textId="77777777" w:rsidR="00DD685F" w:rsidRPr="002213BB" w:rsidRDefault="00DD685F" w:rsidP="00DD685F">
            <w:pPr>
              <w:spacing w:after="0" w:line="240" w:lineRule="auto"/>
              <w:jc w:val="center"/>
              <w:rPr>
                <w:vertAlign w:val="superscript"/>
              </w:rPr>
            </w:pPr>
            <w:r w:rsidRPr="002213BB">
              <w:t>1</w:t>
            </w:r>
            <w:r>
              <w:t>5</w:t>
            </w:r>
            <w:r w:rsidRPr="002213BB">
              <w:rPr>
                <w:vertAlign w:val="superscript"/>
              </w:rPr>
              <w:t>1</w:t>
            </w:r>
          </w:p>
        </w:tc>
        <w:tc>
          <w:tcPr>
            <w:tcW w:w="0" w:type="auto"/>
            <w:vAlign w:val="center"/>
          </w:tcPr>
          <w:p w14:paraId="7BDE2D59" w14:textId="77777777" w:rsidR="00DD685F" w:rsidRPr="002213BB" w:rsidRDefault="00DD685F" w:rsidP="00DD685F">
            <w:pPr>
              <w:spacing w:after="0" w:line="240" w:lineRule="auto"/>
              <w:jc w:val="center"/>
            </w:pPr>
            <w:r w:rsidRPr="002213BB">
              <w:t>1</w:t>
            </w:r>
            <w:r>
              <w:t>0</w:t>
            </w:r>
          </w:p>
        </w:tc>
        <w:tc>
          <w:tcPr>
            <w:tcW w:w="0" w:type="auto"/>
            <w:vAlign w:val="center"/>
          </w:tcPr>
          <w:p w14:paraId="157E995C" w14:textId="77777777" w:rsidR="00DD685F" w:rsidRPr="002213BB" w:rsidRDefault="00DD685F" w:rsidP="00DD685F">
            <w:pPr>
              <w:spacing w:after="0" w:line="240" w:lineRule="auto"/>
              <w:jc w:val="center"/>
            </w:pPr>
            <w:r w:rsidRPr="002213BB">
              <w:t>15</w:t>
            </w:r>
          </w:p>
        </w:tc>
        <w:tc>
          <w:tcPr>
            <w:tcW w:w="0" w:type="auto"/>
            <w:vAlign w:val="center"/>
          </w:tcPr>
          <w:p w14:paraId="34CE12CC" w14:textId="77777777" w:rsidR="00DD685F" w:rsidRPr="002213BB" w:rsidRDefault="00DD685F" w:rsidP="00DD685F">
            <w:pPr>
              <w:spacing w:after="0" w:line="240" w:lineRule="auto"/>
              <w:jc w:val="center"/>
            </w:pPr>
            <w:r w:rsidRPr="002213BB">
              <w:t>2</w:t>
            </w:r>
            <w:r>
              <w:t>5</w:t>
            </w:r>
          </w:p>
        </w:tc>
        <w:tc>
          <w:tcPr>
            <w:tcW w:w="0" w:type="auto"/>
            <w:vAlign w:val="center"/>
          </w:tcPr>
          <w:p w14:paraId="60B3F4AC" w14:textId="77777777" w:rsidR="00DD685F" w:rsidRPr="008A2D61" w:rsidRDefault="00DD685F" w:rsidP="00DD685F">
            <w:pPr>
              <w:spacing w:after="0" w:line="240" w:lineRule="auto"/>
              <w:jc w:val="center"/>
            </w:pPr>
          </w:p>
        </w:tc>
      </w:tr>
      <w:tr w:rsidR="00DD685F" w:rsidRPr="0065388C" w14:paraId="350E8DE6" w14:textId="77777777" w:rsidTr="00DF2591">
        <w:tc>
          <w:tcPr>
            <w:tcW w:w="0" w:type="auto"/>
            <w:gridSpan w:val="7"/>
            <w:shd w:val="clear" w:color="auto" w:fill="7F7F7F" w:themeFill="text1" w:themeFillTint="80"/>
            <w:vAlign w:val="center"/>
          </w:tcPr>
          <w:p w14:paraId="0C550787" w14:textId="77777777" w:rsidR="00DD685F" w:rsidRPr="008A2D61" w:rsidRDefault="00DD685F" w:rsidP="00DD685F">
            <w:pPr>
              <w:spacing w:after="0" w:line="240" w:lineRule="auto"/>
              <w:jc w:val="center"/>
              <w:rPr>
                <w:b/>
                <w:bCs/>
              </w:rPr>
            </w:pPr>
            <w:r w:rsidRPr="00436AF1">
              <w:rPr>
                <w:b/>
                <w:bCs/>
                <w:color w:val="FFFFFF" w:themeColor="background1"/>
              </w:rPr>
              <w:t>Impacts</w:t>
            </w:r>
          </w:p>
        </w:tc>
      </w:tr>
      <w:tr w:rsidR="00DD685F" w:rsidRPr="0065388C" w14:paraId="3F9E9214" w14:textId="77777777" w:rsidTr="00DF2591">
        <w:tc>
          <w:tcPr>
            <w:tcW w:w="0" w:type="auto"/>
          </w:tcPr>
          <w:p w14:paraId="0A6691D1" w14:textId="77777777" w:rsidR="00DD685F" w:rsidRPr="00F96DC0" w:rsidRDefault="00DD685F" w:rsidP="00DD685F">
            <w:pPr>
              <w:spacing w:after="0" w:line="240" w:lineRule="auto"/>
              <w:rPr>
                <w:rFonts w:ascii="Times New Roman" w:hAnsi="Times New Roman"/>
              </w:rPr>
            </w:pPr>
            <w:r w:rsidRPr="00021FDA">
              <w:rPr>
                <w:rFonts w:ascii="Times New Roman" w:hAnsi="Times New Roman"/>
              </w:rPr>
              <w:t>1</w:t>
            </w:r>
            <w:r>
              <w:rPr>
                <w:rFonts w:ascii="Times New Roman" w:hAnsi="Times New Roman"/>
              </w:rPr>
              <w:t>4</w:t>
            </w:r>
            <w:r w:rsidRPr="00021FDA">
              <w:rPr>
                <w:rFonts w:ascii="Times New Roman" w:hAnsi="Times New Roman"/>
              </w:rPr>
              <w:t xml:space="preserve">. Expected avoided emissions </w:t>
            </w:r>
          </w:p>
        </w:tc>
        <w:tc>
          <w:tcPr>
            <w:tcW w:w="0" w:type="auto"/>
            <w:vAlign w:val="center"/>
          </w:tcPr>
          <w:p w14:paraId="1BF4A990" w14:textId="77777777" w:rsidR="00DD685F" w:rsidRPr="008A2D61" w:rsidRDefault="00DD685F" w:rsidP="00DD685F">
            <w:pPr>
              <w:spacing w:after="0" w:line="240" w:lineRule="auto"/>
              <w:jc w:val="center"/>
            </w:pPr>
            <w:r w:rsidRPr="008A2D61">
              <w:t>M</w:t>
            </w:r>
            <w:r>
              <w:t xml:space="preserve">illion tonnes of </w:t>
            </w:r>
            <w:r w:rsidRPr="008A2D61">
              <w:t>CO2-eq</w:t>
            </w:r>
          </w:p>
        </w:tc>
        <w:tc>
          <w:tcPr>
            <w:tcW w:w="0" w:type="auto"/>
            <w:vAlign w:val="center"/>
          </w:tcPr>
          <w:p w14:paraId="1419BA5A" w14:textId="77777777" w:rsidR="00DD685F" w:rsidRPr="00F17951" w:rsidRDefault="00DD685F" w:rsidP="00DD685F">
            <w:pPr>
              <w:spacing w:after="0" w:line="240" w:lineRule="auto"/>
              <w:jc w:val="center"/>
              <w:rPr>
                <w:i/>
                <w:iCs/>
              </w:rPr>
            </w:pPr>
            <w:r w:rsidRPr="00F17951">
              <w:rPr>
                <w:i/>
                <w:iCs/>
              </w:rPr>
              <w:t>TBD</w:t>
            </w:r>
          </w:p>
        </w:tc>
        <w:tc>
          <w:tcPr>
            <w:tcW w:w="0" w:type="auto"/>
            <w:vAlign w:val="center"/>
          </w:tcPr>
          <w:p w14:paraId="3A0EDBA6" w14:textId="77777777" w:rsidR="00DD685F" w:rsidRPr="002213BB" w:rsidRDefault="00DD685F" w:rsidP="00DD685F">
            <w:pPr>
              <w:spacing w:after="0" w:line="240" w:lineRule="auto"/>
              <w:jc w:val="center"/>
            </w:pPr>
            <w:r w:rsidRPr="002213BB">
              <w:t>N/A</w:t>
            </w:r>
          </w:p>
        </w:tc>
        <w:tc>
          <w:tcPr>
            <w:tcW w:w="0" w:type="auto"/>
            <w:vAlign w:val="center"/>
          </w:tcPr>
          <w:p w14:paraId="670D37AF" w14:textId="77777777" w:rsidR="00DD685F" w:rsidRPr="002213BB" w:rsidRDefault="00DD685F" w:rsidP="00DD685F">
            <w:pPr>
              <w:spacing w:after="0" w:line="240" w:lineRule="auto"/>
              <w:jc w:val="center"/>
            </w:pPr>
            <w:r w:rsidRPr="002213BB">
              <w:t>N/A</w:t>
            </w:r>
          </w:p>
        </w:tc>
        <w:tc>
          <w:tcPr>
            <w:tcW w:w="0" w:type="auto"/>
            <w:vAlign w:val="center"/>
          </w:tcPr>
          <w:p w14:paraId="011E2040" w14:textId="77777777" w:rsidR="00DD685F" w:rsidRPr="002213BB" w:rsidRDefault="00DD685F" w:rsidP="00DD685F">
            <w:pPr>
              <w:spacing w:after="0" w:line="240" w:lineRule="auto"/>
              <w:jc w:val="center"/>
            </w:pPr>
            <w:r w:rsidRPr="002213BB">
              <w:t>N/A</w:t>
            </w:r>
          </w:p>
        </w:tc>
        <w:tc>
          <w:tcPr>
            <w:tcW w:w="0" w:type="auto"/>
            <w:vAlign w:val="center"/>
          </w:tcPr>
          <w:p w14:paraId="7BC7EB66" w14:textId="77777777" w:rsidR="00DD685F" w:rsidRPr="002213BB" w:rsidRDefault="00DD685F" w:rsidP="00DD685F">
            <w:pPr>
              <w:spacing w:after="0" w:line="240" w:lineRule="auto"/>
              <w:jc w:val="center"/>
            </w:pPr>
            <w:r>
              <w:t>TBD (2030/ 2050)</w:t>
            </w:r>
          </w:p>
        </w:tc>
      </w:tr>
      <w:tr w:rsidR="00DD685F" w:rsidRPr="0065388C" w14:paraId="12D044DC" w14:textId="77777777" w:rsidTr="00DF2591">
        <w:trPr>
          <w:trHeight w:val="262"/>
        </w:trPr>
        <w:tc>
          <w:tcPr>
            <w:tcW w:w="0" w:type="auto"/>
          </w:tcPr>
          <w:p w14:paraId="4156EF8B" w14:textId="77777777" w:rsidR="00DD685F" w:rsidRPr="00F96DC0" w:rsidRDefault="00DD685F" w:rsidP="00DD685F">
            <w:pPr>
              <w:spacing w:after="0" w:line="240" w:lineRule="auto"/>
              <w:rPr>
                <w:rFonts w:ascii="Times New Roman" w:hAnsi="Times New Roman"/>
              </w:rPr>
            </w:pPr>
            <w:r>
              <w:rPr>
                <w:rFonts w:ascii="Times New Roman" w:hAnsi="Times New Roman"/>
              </w:rPr>
              <w:t>15</w:t>
            </w:r>
            <w:r w:rsidRPr="00021FDA">
              <w:rPr>
                <w:rFonts w:ascii="Times New Roman" w:hAnsi="Times New Roman"/>
              </w:rPr>
              <w:t xml:space="preserve">. </w:t>
            </w:r>
            <w:r>
              <w:rPr>
                <w:rFonts w:ascii="Times New Roman" w:hAnsi="Times New Roman"/>
              </w:rPr>
              <w:t>Deployment of electrolysers</w:t>
            </w:r>
          </w:p>
        </w:tc>
        <w:tc>
          <w:tcPr>
            <w:tcW w:w="0" w:type="auto"/>
            <w:vAlign w:val="center"/>
          </w:tcPr>
          <w:p w14:paraId="3F307F03" w14:textId="77777777" w:rsidR="00DD685F" w:rsidRPr="008A2D61" w:rsidRDefault="00DD685F" w:rsidP="00DD685F">
            <w:pPr>
              <w:spacing w:after="0" w:line="240" w:lineRule="auto"/>
              <w:jc w:val="center"/>
            </w:pPr>
            <w:r w:rsidRPr="008A2D61">
              <w:t>G</w:t>
            </w:r>
            <w:r>
              <w:t>igawatt</w:t>
            </w:r>
          </w:p>
        </w:tc>
        <w:tc>
          <w:tcPr>
            <w:tcW w:w="0" w:type="auto"/>
            <w:vAlign w:val="center"/>
          </w:tcPr>
          <w:p w14:paraId="428575EC" w14:textId="77777777" w:rsidR="00DD685F" w:rsidRPr="002213BB" w:rsidRDefault="00DD685F" w:rsidP="00DD685F">
            <w:pPr>
              <w:spacing w:after="0" w:line="240" w:lineRule="auto"/>
              <w:jc w:val="center"/>
            </w:pPr>
            <w:r w:rsidRPr="002213BB">
              <w:t>1</w:t>
            </w:r>
          </w:p>
        </w:tc>
        <w:tc>
          <w:tcPr>
            <w:tcW w:w="0" w:type="auto"/>
            <w:vAlign w:val="center"/>
          </w:tcPr>
          <w:p w14:paraId="1509C4CA" w14:textId="77777777" w:rsidR="00DD685F" w:rsidRPr="002213BB" w:rsidRDefault="00DD685F" w:rsidP="00DD685F">
            <w:pPr>
              <w:spacing w:after="0" w:line="240" w:lineRule="auto"/>
              <w:jc w:val="center"/>
            </w:pPr>
            <w:r w:rsidRPr="002213BB">
              <w:t>4</w:t>
            </w:r>
          </w:p>
        </w:tc>
        <w:tc>
          <w:tcPr>
            <w:tcW w:w="0" w:type="auto"/>
            <w:vAlign w:val="center"/>
          </w:tcPr>
          <w:p w14:paraId="32CF3BFF" w14:textId="77777777" w:rsidR="00DD685F" w:rsidRPr="002213BB" w:rsidRDefault="00DD685F" w:rsidP="00DD685F">
            <w:pPr>
              <w:spacing w:after="0" w:line="240" w:lineRule="auto"/>
              <w:jc w:val="center"/>
            </w:pPr>
            <w:r w:rsidRPr="002213BB">
              <w:t>6</w:t>
            </w:r>
          </w:p>
        </w:tc>
        <w:tc>
          <w:tcPr>
            <w:tcW w:w="0" w:type="auto"/>
            <w:vAlign w:val="center"/>
          </w:tcPr>
          <w:p w14:paraId="533D6B78" w14:textId="77777777" w:rsidR="00DD685F" w:rsidRPr="002213BB" w:rsidRDefault="00DD685F" w:rsidP="00DD685F">
            <w:pPr>
              <w:spacing w:after="0" w:line="240" w:lineRule="auto"/>
              <w:jc w:val="center"/>
            </w:pPr>
            <w:r w:rsidRPr="002213BB">
              <w:t>10</w:t>
            </w:r>
          </w:p>
        </w:tc>
        <w:tc>
          <w:tcPr>
            <w:tcW w:w="0" w:type="auto"/>
            <w:vAlign w:val="center"/>
          </w:tcPr>
          <w:p w14:paraId="7650BF85" w14:textId="77777777" w:rsidR="00DD685F" w:rsidRPr="002213BB" w:rsidRDefault="00DD685F" w:rsidP="00DD685F">
            <w:pPr>
              <w:spacing w:after="0" w:line="240" w:lineRule="auto"/>
              <w:jc w:val="center"/>
            </w:pPr>
            <w:r w:rsidRPr="002213BB">
              <w:t>40 (2030)</w:t>
            </w:r>
          </w:p>
        </w:tc>
      </w:tr>
      <w:tr w:rsidR="00DD685F" w:rsidRPr="00C671C2" w14:paraId="7ADEE714" w14:textId="77777777" w:rsidTr="00DF2591">
        <w:tc>
          <w:tcPr>
            <w:tcW w:w="0" w:type="auto"/>
          </w:tcPr>
          <w:p w14:paraId="5AEE62FE" w14:textId="77777777" w:rsidR="00DD685F" w:rsidRPr="00021FDA" w:rsidRDefault="00DD685F" w:rsidP="00DD685F">
            <w:pPr>
              <w:spacing w:after="0" w:line="240" w:lineRule="auto"/>
              <w:rPr>
                <w:rFonts w:ascii="Times New Roman" w:hAnsi="Times New Roman"/>
              </w:rPr>
            </w:pPr>
            <w:r>
              <w:rPr>
                <w:rFonts w:ascii="Times New Roman" w:hAnsi="Times New Roman"/>
              </w:rPr>
              <w:t>16</w:t>
            </w:r>
            <w:r w:rsidRPr="00021FDA">
              <w:rPr>
                <w:rFonts w:ascii="Times New Roman" w:hAnsi="Times New Roman"/>
              </w:rPr>
              <w:t xml:space="preserve">. </w:t>
            </w:r>
            <w:r>
              <w:rPr>
                <w:rFonts w:ascii="Times New Roman" w:hAnsi="Times New Roman"/>
              </w:rPr>
              <w:t>Market u</w:t>
            </w:r>
            <w:r w:rsidRPr="00021FDA">
              <w:rPr>
                <w:rFonts w:ascii="Times New Roman" w:hAnsi="Times New Roman"/>
              </w:rPr>
              <w:t xml:space="preserve">ptake of clean hydrogen </w:t>
            </w:r>
          </w:p>
        </w:tc>
        <w:tc>
          <w:tcPr>
            <w:tcW w:w="0" w:type="auto"/>
            <w:vAlign w:val="center"/>
          </w:tcPr>
          <w:p w14:paraId="06589786" w14:textId="77777777" w:rsidR="00DD685F" w:rsidRPr="00703625" w:rsidRDefault="00DD685F" w:rsidP="00DD685F">
            <w:pPr>
              <w:spacing w:after="0" w:line="240" w:lineRule="auto"/>
              <w:jc w:val="center"/>
            </w:pPr>
            <w:r w:rsidRPr="00852F7F">
              <w:rPr>
                <w:sz w:val="20"/>
                <w:szCs w:val="20"/>
              </w:rPr>
              <w:t xml:space="preserve">Mt of </w:t>
            </w:r>
            <w:r>
              <w:rPr>
                <w:sz w:val="20"/>
                <w:szCs w:val="20"/>
              </w:rPr>
              <w:t>clean hydrogen consumed</w:t>
            </w:r>
          </w:p>
        </w:tc>
        <w:tc>
          <w:tcPr>
            <w:tcW w:w="0" w:type="auto"/>
            <w:vAlign w:val="center"/>
          </w:tcPr>
          <w:p w14:paraId="0FB99CB7" w14:textId="77777777" w:rsidR="00DD685F" w:rsidRPr="002213BB" w:rsidRDefault="00DD685F" w:rsidP="00DD685F">
            <w:pPr>
              <w:spacing w:after="0" w:line="240" w:lineRule="auto"/>
              <w:jc w:val="center"/>
            </w:pPr>
            <w:r w:rsidRPr="002213BB">
              <w:t>0.155</w:t>
            </w:r>
          </w:p>
        </w:tc>
        <w:tc>
          <w:tcPr>
            <w:tcW w:w="0" w:type="auto"/>
            <w:vAlign w:val="center"/>
          </w:tcPr>
          <w:p w14:paraId="5EBDD253" w14:textId="77777777" w:rsidR="00DD685F" w:rsidRPr="002213BB" w:rsidRDefault="00DD685F" w:rsidP="00DD685F">
            <w:pPr>
              <w:spacing w:after="0" w:line="240" w:lineRule="auto"/>
              <w:jc w:val="center"/>
            </w:pPr>
            <w:r w:rsidRPr="002213BB">
              <w:t>0.7</w:t>
            </w:r>
          </w:p>
        </w:tc>
        <w:tc>
          <w:tcPr>
            <w:tcW w:w="0" w:type="auto"/>
            <w:vAlign w:val="center"/>
          </w:tcPr>
          <w:p w14:paraId="333A9CAF" w14:textId="77777777" w:rsidR="00DD685F" w:rsidRPr="002213BB" w:rsidRDefault="00DD685F" w:rsidP="00DD685F">
            <w:pPr>
              <w:spacing w:after="0" w:line="240" w:lineRule="auto"/>
              <w:jc w:val="center"/>
            </w:pPr>
            <w:r w:rsidRPr="002213BB">
              <w:t>1</w:t>
            </w:r>
          </w:p>
        </w:tc>
        <w:tc>
          <w:tcPr>
            <w:tcW w:w="0" w:type="auto"/>
            <w:vAlign w:val="center"/>
          </w:tcPr>
          <w:p w14:paraId="6A99B9F1" w14:textId="77777777" w:rsidR="00DD685F" w:rsidRPr="002213BB" w:rsidRDefault="00DD685F" w:rsidP="00DD685F">
            <w:pPr>
              <w:spacing w:after="0" w:line="240" w:lineRule="auto"/>
              <w:jc w:val="center"/>
            </w:pPr>
            <w:r w:rsidRPr="002213BB">
              <w:t>2</w:t>
            </w:r>
          </w:p>
        </w:tc>
        <w:tc>
          <w:tcPr>
            <w:tcW w:w="0" w:type="auto"/>
            <w:vAlign w:val="center"/>
          </w:tcPr>
          <w:p w14:paraId="267F409F" w14:textId="77777777" w:rsidR="00DD685F" w:rsidRPr="002213BB" w:rsidRDefault="00DD685F" w:rsidP="00DD685F">
            <w:pPr>
              <w:spacing w:after="0" w:line="240" w:lineRule="auto"/>
              <w:jc w:val="center"/>
            </w:pPr>
            <w:r w:rsidRPr="002213BB">
              <w:t>10 (2030)</w:t>
            </w:r>
          </w:p>
        </w:tc>
      </w:tr>
      <w:tr w:rsidR="00DD685F" w:rsidRPr="0065388C" w14:paraId="40C4CA05" w14:textId="77777777" w:rsidTr="00DF2591">
        <w:tc>
          <w:tcPr>
            <w:tcW w:w="0" w:type="auto"/>
          </w:tcPr>
          <w:p w14:paraId="5453E9DE" w14:textId="77777777" w:rsidR="00DD685F" w:rsidRPr="00021FDA" w:rsidRDefault="00DD685F" w:rsidP="00DD685F">
            <w:pPr>
              <w:spacing w:after="0" w:line="240" w:lineRule="auto"/>
              <w:rPr>
                <w:rFonts w:ascii="Times New Roman" w:hAnsi="Times New Roman"/>
              </w:rPr>
            </w:pPr>
            <w:r>
              <w:rPr>
                <w:rFonts w:ascii="Times New Roman" w:hAnsi="Times New Roman"/>
              </w:rPr>
              <w:t>17</w:t>
            </w:r>
            <w:r w:rsidRPr="00021FDA">
              <w:rPr>
                <w:rFonts w:ascii="Times New Roman" w:hAnsi="Times New Roman"/>
              </w:rPr>
              <w:t xml:space="preserve">. </w:t>
            </w:r>
            <w:r>
              <w:rPr>
                <w:rFonts w:ascii="Times New Roman" w:hAnsi="Times New Roman"/>
              </w:rPr>
              <w:t>Total cost of hydrogen at end-use</w:t>
            </w:r>
          </w:p>
        </w:tc>
        <w:tc>
          <w:tcPr>
            <w:tcW w:w="0" w:type="auto"/>
            <w:vAlign w:val="center"/>
          </w:tcPr>
          <w:p w14:paraId="323FD060" w14:textId="77777777" w:rsidR="00DD685F" w:rsidRPr="00703625" w:rsidRDefault="00DD685F" w:rsidP="00DD685F">
            <w:pPr>
              <w:spacing w:after="0" w:line="240" w:lineRule="auto"/>
              <w:jc w:val="center"/>
            </w:pPr>
            <w:r w:rsidRPr="00703625">
              <w:rPr>
                <w:rFonts w:ascii="Times New Roman" w:hAnsi="Times New Roman"/>
              </w:rPr>
              <w:t>€/kg</w:t>
            </w:r>
          </w:p>
        </w:tc>
        <w:tc>
          <w:tcPr>
            <w:tcW w:w="0" w:type="auto"/>
            <w:vAlign w:val="center"/>
          </w:tcPr>
          <w:p w14:paraId="5529CDD6" w14:textId="77777777" w:rsidR="00DD685F" w:rsidRPr="002213BB" w:rsidRDefault="00DD685F" w:rsidP="00DD685F">
            <w:pPr>
              <w:spacing w:after="0" w:line="240" w:lineRule="auto"/>
              <w:jc w:val="center"/>
            </w:pPr>
            <w:r w:rsidRPr="002213BB">
              <w:t>8</w:t>
            </w:r>
          </w:p>
        </w:tc>
        <w:tc>
          <w:tcPr>
            <w:tcW w:w="0" w:type="auto"/>
            <w:vAlign w:val="center"/>
          </w:tcPr>
          <w:p w14:paraId="3FCA7836" w14:textId="77777777" w:rsidR="00DD685F" w:rsidRPr="002213BB" w:rsidRDefault="00DD685F" w:rsidP="00DD685F">
            <w:pPr>
              <w:spacing w:after="0" w:line="240" w:lineRule="auto"/>
              <w:jc w:val="center"/>
            </w:pPr>
            <w:r w:rsidRPr="002213BB">
              <w:t>6.5</w:t>
            </w:r>
          </w:p>
        </w:tc>
        <w:tc>
          <w:tcPr>
            <w:tcW w:w="0" w:type="auto"/>
            <w:vAlign w:val="center"/>
          </w:tcPr>
          <w:p w14:paraId="557297EB" w14:textId="77777777" w:rsidR="00DD685F" w:rsidRPr="002213BB" w:rsidRDefault="00DD685F" w:rsidP="00DD685F">
            <w:pPr>
              <w:spacing w:after="0" w:line="240" w:lineRule="auto"/>
              <w:jc w:val="center"/>
            </w:pPr>
            <w:r w:rsidRPr="002213BB">
              <w:t>5.5</w:t>
            </w:r>
          </w:p>
        </w:tc>
        <w:tc>
          <w:tcPr>
            <w:tcW w:w="0" w:type="auto"/>
            <w:vAlign w:val="center"/>
          </w:tcPr>
          <w:p w14:paraId="283AE638" w14:textId="77777777" w:rsidR="00DD685F" w:rsidRPr="002213BB" w:rsidRDefault="00DD685F" w:rsidP="00DD685F">
            <w:pPr>
              <w:spacing w:after="0" w:line="240" w:lineRule="auto"/>
              <w:jc w:val="center"/>
            </w:pPr>
            <w:r w:rsidRPr="002213BB">
              <w:t>4.5</w:t>
            </w:r>
          </w:p>
        </w:tc>
        <w:tc>
          <w:tcPr>
            <w:tcW w:w="0" w:type="auto"/>
            <w:vAlign w:val="center"/>
          </w:tcPr>
          <w:p w14:paraId="769EAFA2" w14:textId="77777777" w:rsidR="00DD685F" w:rsidRPr="002213BB" w:rsidRDefault="00DD685F" w:rsidP="00DD685F">
            <w:pPr>
              <w:spacing w:after="0" w:line="240" w:lineRule="auto"/>
              <w:jc w:val="center"/>
            </w:pPr>
            <w:r w:rsidRPr="002213BB">
              <w:t>3 (2030)</w:t>
            </w:r>
          </w:p>
        </w:tc>
      </w:tr>
      <w:tr w:rsidR="00DD685F" w:rsidRPr="0065388C" w14:paraId="36B1EBD3" w14:textId="77777777" w:rsidTr="00DF2591">
        <w:trPr>
          <w:trHeight w:val="629"/>
        </w:trPr>
        <w:tc>
          <w:tcPr>
            <w:tcW w:w="0" w:type="auto"/>
          </w:tcPr>
          <w:p w14:paraId="5886F882" w14:textId="77777777" w:rsidR="00DD685F" w:rsidRPr="00021FDA" w:rsidRDefault="00DD685F" w:rsidP="00DD685F">
            <w:pPr>
              <w:spacing w:after="0" w:line="240" w:lineRule="auto"/>
              <w:rPr>
                <w:rFonts w:ascii="Times New Roman" w:hAnsi="Times New Roman"/>
              </w:rPr>
            </w:pPr>
            <w:r>
              <w:rPr>
                <w:rFonts w:ascii="Times New Roman" w:hAnsi="Times New Roman"/>
              </w:rPr>
              <w:t>18</w:t>
            </w:r>
            <w:r w:rsidRPr="00021FDA">
              <w:rPr>
                <w:rFonts w:ascii="Times New Roman" w:hAnsi="Times New Roman"/>
              </w:rPr>
              <w:t xml:space="preserve">. </w:t>
            </w:r>
            <w:r>
              <w:rPr>
                <w:rFonts w:ascii="Times New Roman" w:hAnsi="Times New Roman"/>
              </w:rPr>
              <w:t>Size of private hydrogen sector</w:t>
            </w:r>
          </w:p>
        </w:tc>
        <w:tc>
          <w:tcPr>
            <w:tcW w:w="0" w:type="auto"/>
            <w:vAlign w:val="center"/>
          </w:tcPr>
          <w:p w14:paraId="4CF87322" w14:textId="77777777" w:rsidR="00DD685F" w:rsidRPr="00BA6129" w:rsidRDefault="00DD685F" w:rsidP="00DD685F">
            <w:pPr>
              <w:spacing w:after="0" w:line="240" w:lineRule="auto"/>
              <w:jc w:val="center"/>
              <w:rPr>
                <w:i/>
                <w:iCs/>
              </w:rPr>
            </w:pPr>
            <w:r w:rsidRPr="00BA6129">
              <w:rPr>
                <w:i/>
                <w:iCs/>
              </w:rPr>
              <w:t>Qualitative indicator</w:t>
            </w:r>
          </w:p>
        </w:tc>
        <w:tc>
          <w:tcPr>
            <w:tcW w:w="0" w:type="auto"/>
            <w:vAlign w:val="center"/>
          </w:tcPr>
          <w:p w14:paraId="7265CC5F" w14:textId="77777777" w:rsidR="00DD685F" w:rsidRPr="002213BB" w:rsidRDefault="00DD685F" w:rsidP="00DD685F">
            <w:pPr>
              <w:spacing w:after="0" w:line="240" w:lineRule="auto"/>
              <w:jc w:val="center"/>
            </w:pPr>
            <w:r w:rsidRPr="002213BB">
              <w:t>N/A</w:t>
            </w:r>
          </w:p>
        </w:tc>
        <w:tc>
          <w:tcPr>
            <w:tcW w:w="0" w:type="auto"/>
            <w:vAlign w:val="center"/>
          </w:tcPr>
          <w:p w14:paraId="465E3D5D" w14:textId="77777777" w:rsidR="00DD685F" w:rsidRPr="002213BB" w:rsidRDefault="00DD685F" w:rsidP="00DD685F">
            <w:pPr>
              <w:spacing w:after="0" w:line="240" w:lineRule="auto"/>
              <w:jc w:val="center"/>
            </w:pPr>
            <w:r w:rsidRPr="002213BB">
              <w:t>N/A</w:t>
            </w:r>
          </w:p>
        </w:tc>
        <w:tc>
          <w:tcPr>
            <w:tcW w:w="0" w:type="auto"/>
            <w:vAlign w:val="center"/>
          </w:tcPr>
          <w:p w14:paraId="28650582" w14:textId="77777777" w:rsidR="00DD685F" w:rsidRPr="002213BB" w:rsidRDefault="00DD685F" w:rsidP="00DD685F">
            <w:pPr>
              <w:spacing w:after="0" w:line="240" w:lineRule="auto"/>
              <w:jc w:val="center"/>
            </w:pPr>
            <w:r w:rsidRPr="002213BB">
              <w:t>N/A</w:t>
            </w:r>
          </w:p>
        </w:tc>
        <w:tc>
          <w:tcPr>
            <w:tcW w:w="0" w:type="auto"/>
            <w:vAlign w:val="center"/>
          </w:tcPr>
          <w:p w14:paraId="46911535" w14:textId="77777777" w:rsidR="00DD685F" w:rsidRPr="002213BB" w:rsidRDefault="00DD685F" w:rsidP="00DD685F">
            <w:pPr>
              <w:spacing w:after="0" w:line="240" w:lineRule="auto"/>
              <w:jc w:val="center"/>
            </w:pPr>
            <w:r w:rsidRPr="002213BB">
              <w:t>N/A</w:t>
            </w:r>
          </w:p>
        </w:tc>
        <w:tc>
          <w:tcPr>
            <w:tcW w:w="0" w:type="auto"/>
            <w:vAlign w:val="center"/>
          </w:tcPr>
          <w:p w14:paraId="46E768F2" w14:textId="77777777" w:rsidR="00DD685F" w:rsidRPr="002213BB" w:rsidRDefault="00DD685F" w:rsidP="00DD685F">
            <w:pPr>
              <w:spacing w:after="0" w:line="240" w:lineRule="auto"/>
              <w:jc w:val="center"/>
            </w:pPr>
          </w:p>
        </w:tc>
      </w:tr>
    </w:tbl>
    <w:p w14:paraId="62B0C44F" w14:textId="77777777" w:rsidR="00DD685F" w:rsidRDefault="00DD685F" w:rsidP="00DD685F">
      <w:pPr>
        <w:rPr>
          <w:b/>
          <w:bCs/>
          <w:i/>
          <w:iCs/>
          <w:color w:val="FF0000"/>
          <w:sz w:val="20"/>
          <w:szCs w:val="20"/>
        </w:rPr>
      </w:pPr>
    </w:p>
    <w:tbl>
      <w:tblPr>
        <w:tblStyle w:val="TableGrid"/>
        <w:tblW w:w="0" w:type="auto"/>
        <w:tblLook w:val="04A0" w:firstRow="1" w:lastRow="0" w:firstColumn="1" w:lastColumn="0" w:noHBand="0" w:noVBand="1"/>
      </w:tblPr>
      <w:tblGrid>
        <w:gridCol w:w="8934"/>
      </w:tblGrid>
      <w:tr w:rsidR="00DD685F" w:rsidRPr="006A5887" w14:paraId="2485AD28" w14:textId="77777777" w:rsidTr="00DF2591">
        <w:trPr>
          <w:trHeight w:val="277"/>
        </w:trPr>
        <w:tc>
          <w:tcPr>
            <w:tcW w:w="8934" w:type="dxa"/>
          </w:tcPr>
          <w:p w14:paraId="3267EF8E" w14:textId="6180DB0B" w:rsidR="00DD685F" w:rsidRDefault="00611A6B" w:rsidP="00DF2591">
            <w:pPr>
              <w:jc w:val="both"/>
              <w:rPr>
                <w:rFonts w:ascii="Times New Roman" w:hAnsi="Times New Roman"/>
              </w:rPr>
            </w:pPr>
            <w:r>
              <w:rPr>
                <w:rFonts w:ascii="Times New Roman" w:hAnsi="Times New Roman"/>
              </w:rPr>
              <w:t xml:space="preserve">Note: </w:t>
            </w:r>
            <w:r w:rsidR="00DD685F" w:rsidRPr="28317815">
              <w:rPr>
                <w:rFonts w:ascii="Times New Roman" w:hAnsi="Times New Roman"/>
              </w:rPr>
              <w:t>The work on the KPIs is under progress</w:t>
            </w:r>
            <w:r w:rsidR="00DD685F">
              <w:rPr>
                <w:rFonts w:ascii="Times New Roman" w:hAnsi="Times New Roman"/>
              </w:rPr>
              <w:t xml:space="preserve">, requiring </w:t>
            </w:r>
            <w:r w:rsidR="00DD685F" w:rsidRPr="28317815">
              <w:rPr>
                <w:rFonts w:ascii="Times New Roman" w:hAnsi="Times New Roman"/>
              </w:rPr>
              <w:t xml:space="preserve">a robust and transparent methodology </w:t>
            </w:r>
            <w:r w:rsidR="00DD685F">
              <w:rPr>
                <w:rFonts w:ascii="Times New Roman" w:hAnsi="Times New Roman"/>
              </w:rPr>
              <w:t xml:space="preserve">to </w:t>
            </w:r>
            <w:r w:rsidR="00DD685F" w:rsidRPr="28317815">
              <w:rPr>
                <w:rFonts w:ascii="Times New Roman" w:hAnsi="Times New Roman"/>
              </w:rPr>
              <w:t>be developed with the help of experts in 2022. This especially applies for all elements of the table labelled TBD (to be determined</w:t>
            </w:r>
            <w:r w:rsidR="00DD685F">
              <w:rPr>
                <w:rFonts w:ascii="Times New Roman" w:hAnsi="Times New Roman"/>
              </w:rPr>
              <w:t>)</w:t>
            </w:r>
            <w:r w:rsidR="00DD685F" w:rsidRPr="28317815">
              <w:rPr>
                <w:rFonts w:ascii="Times New Roman" w:hAnsi="Times New Roman"/>
              </w:rPr>
              <w:t xml:space="preserve">. More detailed information on the Partnership’s KPIs, activities, </w:t>
            </w:r>
            <w:r w:rsidR="00DD685F" w:rsidRPr="28317815">
              <w:rPr>
                <w:rFonts w:ascii="Times New Roman" w:hAnsi="Times New Roman"/>
              </w:rPr>
              <w:lastRenderedPageBreak/>
              <w:t>performance and impacts can be found in the Strategic Research and Innovation Agenda and Activity Reports of the Partnership, available on the Partnership’s website.</w:t>
            </w:r>
          </w:p>
          <w:p w14:paraId="585DE0CB" w14:textId="77777777" w:rsidR="00DD685F" w:rsidRPr="000F16C6" w:rsidRDefault="00DD685F" w:rsidP="00DF2591">
            <w:pPr>
              <w:jc w:val="both"/>
              <w:rPr>
                <w:rFonts w:ascii="Arial" w:hAnsi="Arial" w:cs="Arial"/>
              </w:rPr>
            </w:pPr>
            <w:r w:rsidRPr="000F16C6">
              <w:rPr>
                <w:rFonts w:ascii="Arial" w:hAnsi="Arial" w:cs="Arial"/>
                <w:vertAlign w:val="superscript"/>
              </w:rPr>
              <w:t>1</w:t>
            </w:r>
            <w:r>
              <w:rPr>
                <w:rFonts w:ascii="Arial" w:hAnsi="Arial" w:cs="Arial"/>
              </w:rPr>
              <w:t xml:space="preserve"> </w:t>
            </w:r>
            <w:r>
              <w:rPr>
                <w:rFonts w:ascii="Times New Roman" w:hAnsi="Times New Roman"/>
              </w:rPr>
              <w:t>Baseline refers to the achievement over the lifetime of the predecessor partnership (FCH 2 JU).</w:t>
            </w:r>
          </w:p>
        </w:tc>
      </w:tr>
    </w:tbl>
    <w:p w14:paraId="3750901A" w14:textId="77777777" w:rsidR="00DD685F" w:rsidRPr="004A5A72" w:rsidRDefault="00DD685F" w:rsidP="00DD685F">
      <w:pPr>
        <w:rPr>
          <w:rFonts w:ascii="Arial" w:hAnsi="Arial" w:cs="Arial"/>
          <w:b/>
          <w:bCs/>
          <w:color w:val="365F91" w:themeColor="accent1" w:themeShade="BF"/>
          <w:sz w:val="28"/>
          <w:szCs w:val="28"/>
        </w:rPr>
      </w:pPr>
    </w:p>
    <w:p w14:paraId="28B5149B" w14:textId="375DCACE" w:rsidR="00DD685F" w:rsidRDefault="00DD685F" w:rsidP="00DD685F">
      <w:pPr>
        <w:pStyle w:val="ListParagraph"/>
      </w:pPr>
    </w:p>
    <w:p w14:paraId="45E44C02" w14:textId="77777777" w:rsidR="00DD685F" w:rsidRPr="0065388C" w:rsidRDefault="00DD685F" w:rsidP="00DD685F"/>
    <w:p w14:paraId="549CD97E" w14:textId="77777777" w:rsidR="003B649D" w:rsidRPr="00DD685F" w:rsidRDefault="003B649D" w:rsidP="003B649D">
      <w:pPr>
        <w:rPr>
          <w:rFonts w:asciiTheme="minorHAnsi" w:hAnsiTheme="minorHAnsi"/>
          <w:b/>
          <w:sz w:val="24"/>
          <w:szCs w:val="24"/>
          <w:u w:val="single"/>
        </w:rPr>
      </w:pPr>
    </w:p>
    <w:p w14:paraId="42EFC3D3" w14:textId="77777777" w:rsidR="00BD154D" w:rsidRDefault="00BD154D" w:rsidP="00BD154D">
      <w:pPr>
        <w:spacing w:after="0" w:line="240" w:lineRule="auto"/>
      </w:pPr>
    </w:p>
    <w:p w14:paraId="033840BC" w14:textId="2E7BE84E" w:rsidR="00BD154D" w:rsidRDefault="00BD154D" w:rsidP="00BD154D">
      <w:pPr>
        <w:rPr>
          <w:rFonts w:asciiTheme="minorHAnsi" w:hAnsiTheme="minorHAnsi"/>
        </w:rPr>
      </w:pPr>
    </w:p>
    <w:p w14:paraId="20181FED" w14:textId="77777777" w:rsidR="00BD154D" w:rsidRDefault="00BD154D" w:rsidP="00BD154D">
      <w:pPr>
        <w:rPr>
          <w:rFonts w:asciiTheme="minorHAnsi" w:hAnsiTheme="minorHAnsi"/>
        </w:rPr>
      </w:pPr>
    </w:p>
    <w:p w14:paraId="588D8058" w14:textId="77777777" w:rsidR="00BD154D" w:rsidRDefault="00BD154D" w:rsidP="00BD154D">
      <w:pPr>
        <w:rPr>
          <w:rFonts w:asciiTheme="minorHAnsi" w:hAnsiTheme="minorHAnsi"/>
        </w:rPr>
      </w:pPr>
    </w:p>
    <w:p w14:paraId="43F6204D" w14:textId="77777777" w:rsidR="00BD154D" w:rsidRDefault="00BD154D">
      <w:pPr>
        <w:spacing w:after="0" w:line="240" w:lineRule="auto"/>
        <w:rPr>
          <w:rFonts w:ascii="Cambria" w:eastAsia="Times New Roman" w:hAnsi="Cambria"/>
          <w:b/>
          <w:bCs/>
          <w:sz w:val="28"/>
          <w:szCs w:val="28"/>
        </w:rPr>
      </w:pPr>
      <w:r>
        <w:rPr>
          <w:i/>
          <w:iCs/>
        </w:rPr>
        <w:br w:type="page"/>
      </w:r>
    </w:p>
    <w:p w14:paraId="5C18C0AA" w14:textId="4F16C37F" w:rsidR="003B2819" w:rsidRPr="00F77365" w:rsidRDefault="003B2819" w:rsidP="00F77365">
      <w:pPr>
        <w:pStyle w:val="Heading2"/>
        <w:jc w:val="center"/>
        <w:rPr>
          <w:rStyle w:val="Heading2Char"/>
          <w:rFonts w:ascii="Arial" w:hAnsi="Arial" w:cs="Arial"/>
          <w:b/>
          <w:bCs/>
        </w:rPr>
      </w:pPr>
      <w:bookmarkStart w:id="266" w:name="_Toc98496393"/>
      <w:bookmarkStart w:id="267" w:name="_Toc101516110"/>
      <w:r w:rsidRPr="00F77365">
        <w:rPr>
          <w:rStyle w:val="Heading2Char"/>
          <w:rFonts w:ascii="Arial" w:hAnsi="Arial" w:cs="Arial"/>
          <w:b/>
          <w:bCs/>
          <w:i/>
          <w:iCs/>
        </w:rPr>
        <w:lastRenderedPageBreak/>
        <w:t>A</w:t>
      </w:r>
      <w:bookmarkEnd w:id="266"/>
      <w:r w:rsidR="00F77365" w:rsidRPr="00F77365">
        <w:rPr>
          <w:rStyle w:val="Heading2Char"/>
          <w:rFonts w:ascii="Arial" w:hAnsi="Arial" w:cs="Arial"/>
          <w:b/>
          <w:bCs/>
          <w:i/>
          <w:iCs/>
        </w:rPr>
        <w:t xml:space="preserve">nnex 8- </w:t>
      </w:r>
      <w:r w:rsidRPr="00F77365">
        <w:rPr>
          <w:rStyle w:val="Heading2Char"/>
          <w:rFonts w:ascii="Arial" w:hAnsi="Arial" w:cs="Arial"/>
          <w:b/>
          <w:bCs/>
        </w:rPr>
        <w:t>Draft annual accounts</w:t>
      </w:r>
      <w:bookmarkEnd w:id="26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5"/>
        <w:gridCol w:w="2456"/>
        <w:gridCol w:w="2441"/>
      </w:tblGrid>
      <w:tr w:rsidR="003B2819" w:rsidRPr="003B2819" w14:paraId="60CCDA73" w14:textId="77777777" w:rsidTr="00BD154D">
        <w:trPr>
          <w:trHeight w:val="234"/>
        </w:trPr>
        <w:tc>
          <w:tcPr>
            <w:tcW w:w="2298" w:type="pct"/>
            <w:shd w:val="clear" w:color="auto" w:fill="auto"/>
            <w:vAlign w:val="center"/>
            <w:hideMark/>
          </w:tcPr>
          <w:p w14:paraId="574A1E44" w14:textId="77777777" w:rsidR="003B2819" w:rsidRPr="003B2819" w:rsidRDefault="003B2819" w:rsidP="003B2819">
            <w:pPr>
              <w:spacing w:after="0" w:line="240" w:lineRule="auto"/>
              <w:rPr>
                <w:rFonts w:ascii="Arial" w:eastAsia="Times New Roman" w:hAnsi="Arial" w:cs="Arial"/>
                <w:sz w:val="20"/>
                <w:szCs w:val="20"/>
                <w:lang w:eastAsia="en-GB"/>
              </w:rPr>
            </w:pPr>
          </w:p>
        </w:tc>
        <w:tc>
          <w:tcPr>
            <w:tcW w:w="1355" w:type="pct"/>
            <w:shd w:val="clear" w:color="auto" w:fill="auto"/>
            <w:vAlign w:val="center"/>
            <w:hideMark/>
          </w:tcPr>
          <w:p w14:paraId="5177F509" w14:textId="77777777" w:rsidR="003B2819" w:rsidRPr="003B2819" w:rsidRDefault="003B2819" w:rsidP="003B2819">
            <w:pPr>
              <w:spacing w:after="0" w:line="240" w:lineRule="auto"/>
              <w:jc w:val="center"/>
              <w:rPr>
                <w:rFonts w:ascii="Arial" w:eastAsia="Times New Roman" w:hAnsi="Arial" w:cs="Arial"/>
                <w:sz w:val="20"/>
                <w:szCs w:val="20"/>
                <w:lang w:eastAsia="en-GB"/>
              </w:rPr>
            </w:pPr>
          </w:p>
        </w:tc>
        <w:tc>
          <w:tcPr>
            <w:tcW w:w="1347" w:type="pct"/>
            <w:shd w:val="clear" w:color="auto" w:fill="auto"/>
            <w:vAlign w:val="center"/>
            <w:hideMark/>
          </w:tcPr>
          <w:p w14:paraId="02004E6A" w14:textId="77777777" w:rsidR="003B2819" w:rsidRPr="003B2819" w:rsidRDefault="003B2819" w:rsidP="003B2819">
            <w:pPr>
              <w:spacing w:after="0" w:line="240" w:lineRule="auto"/>
              <w:jc w:val="center"/>
              <w:rPr>
                <w:rFonts w:ascii="Arial" w:eastAsia="Times New Roman" w:hAnsi="Arial" w:cs="Arial"/>
                <w:color w:val="000000"/>
                <w:sz w:val="20"/>
                <w:szCs w:val="20"/>
                <w:lang w:eastAsia="en-GB"/>
              </w:rPr>
            </w:pPr>
            <w:r w:rsidRPr="003B2819">
              <w:rPr>
                <w:rFonts w:ascii="Arial" w:eastAsia="Times New Roman" w:hAnsi="Arial" w:cs="Arial"/>
                <w:color w:val="000000"/>
                <w:sz w:val="20"/>
                <w:szCs w:val="20"/>
                <w:lang w:eastAsia="en-GB"/>
              </w:rPr>
              <w:t>EUR '000</w:t>
            </w:r>
          </w:p>
        </w:tc>
      </w:tr>
      <w:tr w:rsidR="003B2819" w:rsidRPr="003B2819" w14:paraId="677F7B85" w14:textId="77777777" w:rsidTr="00BD154D">
        <w:trPr>
          <w:trHeight w:val="138"/>
        </w:trPr>
        <w:tc>
          <w:tcPr>
            <w:tcW w:w="2298" w:type="pct"/>
            <w:shd w:val="clear" w:color="000000" w:fill="016794"/>
            <w:vAlign w:val="center"/>
            <w:hideMark/>
          </w:tcPr>
          <w:p w14:paraId="2DE5527C" w14:textId="77777777" w:rsidR="003B2819" w:rsidRPr="003B2819" w:rsidRDefault="003B2819" w:rsidP="003B2819">
            <w:pPr>
              <w:spacing w:after="0" w:line="240" w:lineRule="auto"/>
              <w:rPr>
                <w:rFonts w:ascii="Arial" w:eastAsia="Times New Roman" w:hAnsi="Arial" w:cs="Arial"/>
                <w:color w:val="FFFFFF"/>
                <w:sz w:val="20"/>
                <w:szCs w:val="20"/>
                <w:lang w:val="el-GR" w:eastAsia="en-GB"/>
              </w:rPr>
            </w:pPr>
            <w:r w:rsidRPr="003B2819">
              <w:rPr>
                <w:rFonts w:ascii="Arial" w:eastAsia="Times New Roman" w:hAnsi="Arial" w:cs="Arial"/>
                <w:color w:val="FFFFFF"/>
                <w:sz w:val="20"/>
                <w:szCs w:val="20"/>
                <w:lang w:eastAsia="en-GB"/>
              </w:rPr>
              <w:t> </w:t>
            </w:r>
          </w:p>
        </w:tc>
        <w:tc>
          <w:tcPr>
            <w:tcW w:w="1355" w:type="pct"/>
            <w:shd w:val="clear" w:color="000000" w:fill="016794"/>
            <w:vAlign w:val="center"/>
            <w:hideMark/>
          </w:tcPr>
          <w:p w14:paraId="519A2E52" w14:textId="77777777" w:rsidR="003B2819" w:rsidRPr="003B2819" w:rsidRDefault="003B2819" w:rsidP="003B2819">
            <w:pPr>
              <w:spacing w:after="0" w:line="240" w:lineRule="auto"/>
              <w:jc w:val="center"/>
              <w:rPr>
                <w:rFonts w:ascii="Arial" w:eastAsia="Times New Roman" w:hAnsi="Arial" w:cs="Arial"/>
                <w:color w:val="FFFFFF"/>
                <w:sz w:val="20"/>
                <w:szCs w:val="20"/>
                <w:lang w:eastAsia="en-GB"/>
              </w:rPr>
            </w:pPr>
            <w:r w:rsidRPr="003B2819">
              <w:rPr>
                <w:rFonts w:ascii="Arial" w:eastAsia="Times New Roman" w:hAnsi="Arial" w:cs="Arial"/>
                <w:color w:val="FFFFFF"/>
                <w:sz w:val="20"/>
                <w:szCs w:val="20"/>
                <w:lang w:eastAsia="en-GB"/>
              </w:rPr>
              <w:t xml:space="preserve"> 31.12.2021 </w:t>
            </w:r>
          </w:p>
        </w:tc>
        <w:tc>
          <w:tcPr>
            <w:tcW w:w="1347" w:type="pct"/>
            <w:shd w:val="clear" w:color="000000" w:fill="016794"/>
            <w:vAlign w:val="center"/>
            <w:hideMark/>
          </w:tcPr>
          <w:p w14:paraId="22EFE060" w14:textId="77777777" w:rsidR="003B2819" w:rsidRPr="003B2819" w:rsidRDefault="003B2819" w:rsidP="003B2819">
            <w:pPr>
              <w:spacing w:after="0" w:line="240" w:lineRule="auto"/>
              <w:jc w:val="center"/>
              <w:rPr>
                <w:rFonts w:ascii="Arial" w:eastAsia="Times New Roman" w:hAnsi="Arial" w:cs="Arial"/>
                <w:color w:val="FFFFFF"/>
                <w:sz w:val="20"/>
                <w:szCs w:val="20"/>
                <w:lang w:eastAsia="en-GB"/>
              </w:rPr>
            </w:pPr>
            <w:r w:rsidRPr="003B2819">
              <w:rPr>
                <w:rFonts w:ascii="Arial" w:eastAsia="Times New Roman" w:hAnsi="Arial" w:cs="Arial"/>
                <w:color w:val="FFFFFF"/>
                <w:sz w:val="20"/>
                <w:szCs w:val="20"/>
                <w:lang w:eastAsia="en-GB"/>
              </w:rPr>
              <w:t xml:space="preserve"> 31.12.2020 </w:t>
            </w:r>
          </w:p>
        </w:tc>
      </w:tr>
      <w:tr w:rsidR="003B2819" w:rsidRPr="003B2819" w14:paraId="199C30B6" w14:textId="77777777" w:rsidTr="00BD154D">
        <w:trPr>
          <w:trHeight w:val="185"/>
        </w:trPr>
        <w:tc>
          <w:tcPr>
            <w:tcW w:w="2298" w:type="pct"/>
            <w:shd w:val="clear" w:color="auto" w:fill="auto"/>
            <w:vAlign w:val="center"/>
            <w:hideMark/>
          </w:tcPr>
          <w:p w14:paraId="20B28372" w14:textId="77777777" w:rsidR="003B2819" w:rsidRPr="003B2819" w:rsidRDefault="003B2819" w:rsidP="003B2819">
            <w:pPr>
              <w:spacing w:after="0" w:line="240" w:lineRule="auto"/>
              <w:rPr>
                <w:rFonts w:ascii="Arial" w:eastAsia="Times New Roman" w:hAnsi="Arial" w:cs="Arial"/>
                <w:b/>
                <w:bCs/>
                <w:color w:val="000000"/>
                <w:sz w:val="20"/>
                <w:szCs w:val="20"/>
                <w:lang w:eastAsia="en-GB"/>
              </w:rPr>
            </w:pPr>
            <w:r w:rsidRPr="003B2819">
              <w:rPr>
                <w:rFonts w:ascii="Arial" w:eastAsia="Times New Roman" w:hAnsi="Arial" w:cs="Arial"/>
                <w:b/>
                <w:bCs/>
                <w:color w:val="000000"/>
                <w:sz w:val="20"/>
                <w:szCs w:val="20"/>
                <w:lang w:eastAsia="en-GB"/>
              </w:rPr>
              <w:t>NON-CURRENT ASSETS</w:t>
            </w:r>
          </w:p>
        </w:tc>
        <w:tc>
          <w:tcPr>
            <w:tcW w:w="1355" w:type="pct"/>
            <w:shd w:val="clear" w:color="auto" w:fill="auto"/>
            <w:vAlign w:val="center"/>
            <w:hideMark/>
          </w:tcPr>
          <w:p w14:paraId="7B6975FE" w14:textId="77777777" w:rsidR="003B2819" w:rsidRPr="003B2819" w:rsidRDefault="003B2819" w:rsidP="003B2819">
            <w:pPr>
              <w:spacing w:after="0" w:line="240" w:lineRule="auto"/>
              <w:rPr>
                <w:rFonts w:ascii="Arial" w:eastAsia="Times New Roman" w:hAnsi="Arial" w:cs="Arial"/>
                <w:b/>
                <w:bCs/>
                <w:color w:val="000000"/>
                <w:sz w:val="20"/>
                <w:szCs w:val="20"/>
                <w:lang w:eastAsia="en-GB"/>
              </w:rPr>
            </w:pPr>
          </w:p>
        </w:tc>
        <w:tc>
          <w:tcPr>
            <w:tcW w:w="1347" w:type="pct"/>
            <w:shd w:val="clear" w:color="auto" w:fill="auto"/>
            <w:vAlign w:val="center"/>
            <w:hideMark/>
          </w:tcPr>
          <w:p w14:paraId="17E0795A" w14:textId="77777777" w:rsidR="003B2819" w:rsidRPr="003B2819" w:rsidRDefault="003B2819" w:rsidP="003B2819">
            <w:pPr>
              <w:spacing w:after="0" w:line="240" w:lineRule="auto"/>
              <w:jc w:val="right"/>
              <w:rPr>
                <w:rFonts w:ascii="Arial" w:eastAsia="Times New Roman" w:hAnsi="Arial" w:cs="Arial"/>
                <w:sz w:val="20"/>
                <w:szCs w:val="20"/>
                <w:lang w:eastAsia="en-GB"/>
              </w:rPr>
            </w:pPr>
          </w:p>
        </w:tc>
      </w:tr>
      <w:tr w:rsidR="003B2819" w:rsidRPr="003B2819" w14:paraId="3404EA72" w14:textId="77777777" w:rsidTr="00BD154D">
        <w:trPr>
          <w:trHeight w:val="230"/>
        </w:trPr>
        <w:tc>
          <w:tcPr>
            <w:tcW w:w="2298" w:type="pct"/>
            <w:shd w:val="clear" w:color="auto" w:fill="auto"/>
            <w:vAlign w:val="center"/>
            <w:hideMark/>
          </w:tcPr>
          <w:p w14:paraId="180586BE" w14:textId="77777777" w:rsidR="003B2819" w:rsidRPr="003B2819" w:rsidRDefault="003B2819" w:rsidP="003B2819">
            <w:pPr>
              <w:spacing w:after="0" w:line="240" w:lineRule="auto"/>
              <w:rPr>
                <w:rFonts w:ascii="Arial" w:eastAsia="Times New Roman" w:hAnsi="Arial" w:cs="Arial"/>
                <w:i/>
                <w:iCs/>
                <w:color w:val="000000"/>
                <w:sz w:val="20"/>
                <w:szCs w:val="20"/>
                <w:lang w:eastAsia="en-GB"/>
              </w:rPr>
            </w:pPr>
            <w:r w:rsidRPr="003B2819">
              <w:rPr>
                <w:rFonts w:ascii="Arial" w:eastAsia="Times New Roman" w:hAnsi="Arial" w:cs="Arial"/>
                <w:i/>
                <w:iCs/>
                <w:color w:val="000000"/>
                <w:sz w:val="20"/>
                <w:szCs w:val="20"/>
                <w:lang w:eastAsia="en-GB"/>
              </w:rPr>
              <w:t>Intangible assets</w:t>
            </w:r>
          </w:p>
        </w:tc>
        <w:tc>
          <w:tcPr>
            <w:tcW w:w="1355" w:type="pct"/>
            <w:shd w:val="clear" w:color="auto" w:fill="auto"/>
            <w:vAlign w:val="center"/>
            <w:hideMark/>
          </w:tcPr>
          <w:p w14:paraId="270EEB96" w14:textId="77777777" w:rsidR="003B2819" w:rsidRPr="003B2819" w:rsidRDefault="003B2819" w:rsidP="003B2819">
            <w:pPr>
              <w:spacing w:after="0" w:line="240" w:lineRule="auto"/>
              <w:jc w:val="right"/>
              <w:rPr>
                <w:rFonts w:ascii="Arial" w:eastAsia="Times New Roman" w:hAnsi="Arial" w:cs="Arial"/>
                <w:i/>
                <w:iCs/>
                <w:color w:val="000000"/>
                <w:sz w:val="20"/>
                <w:szCs w:val="20"/>
                <w:lang w:eastAsia="en-GB"/>
              </w:rPr>
            </w:pPr>
            <w:r w:rsidRPr="003B2819">
              <w:rPr>
                <w:rFonts w:ascii="Arial" w:eastAsia="Times New Roman" w:hAnsi="Arial" w:cs="Arial"/>
                <w:i/>
                <w:iCs/>
                <w:color w:val="000000"/>
                <w:sz w:val="20"/>
                <w:szCs w:val="20"/>
                <w:lang w:eastAsia="en-GB"/>
              </w:rPr>
              <w:t xml:space="preserve">                                              11 </w:t>
            </w:r>
          </w:p>
        </w:tc>
        <w:tc>
          <w:tcPr>
            <w:tcW w:w="1347" w:type="pct"/>
            <w:shd w:val="clear" w:color="auto" w:fill="auto"/>
            <w:vAlign w:val="center"/>
            <w:hideMark/>
          </w:tcPr>
          <w:p w14:paraId="027094B1" w14:textId="77777777" w:rsidR="003B2819" w:rsidRPr="003B2819" w:rsidRDefault="003B2819" w:rsidP="003B2819">
            <w:pPr>
              <w:spacing w:after="0" w:line="240" w:lineRule="auto"/>
              <w:jc w:val="right"/>
              <w:rPr>
                <w:rFonts w:ascii="Arial" w:eastAsia="Times New Roman" w:hAnsi="Arial" w:cs="Arial"/>
                <w:i/>
                <w:iCs/>
                <w:color w:val="000000"/>
                <w:sz w:val="20"/>
                <w:szCs w:val="20"/>
                <w:lang w:eastAsia="en-GB"/>
              </w:rPr>
            </w:pPr>
            <w:r w:rsidRPr="003B2819">
              <w:rPr>
                <w:rFonts w:ascii="Arial" w:eastAsia="Times New Roman" w:hAnsi="Arial" w:cs="Arial"/>
                <w:i/>
                <w:iCs/>
                <w:color w:val="000000"/>
                <w:sz w:val="20"/>
                <w:szCs w:val="20"/>
                <w:lang w:eastAsia="en-GB"/>
              </w:rPr>
              <w:t xml:space="preserve">                                             25 </w:t>
            </w:r>
          </w:p>
        </w:tc>
      </w:tr>
      <w:tr w:rsidR="003B2819" w:rsidRPr="003B2819" w14:paraId="6F3A7E78" w14:textId="77777777" w:rsidTr="00BD154D">
        <w:trPr>
          <w:trHeight w:val="263"/>
        </w:trPr>
        <w:tc>
          <w:tcPr>
            <w:tcW w:w="2298" w:type="pct"/>
            <w:shd w:val="clear" w:color="auto" w:fill="auto"/>
            <w:vAlign w:val="center"/>
            <w:hideMark/>
          </w:tcPr>
          <w:p w14:paraId="3BA2EE55" w14:textId="77777777" w:rsidR="003B2819" w:rsidRPr="003B2819" w:rsidRDefault="003B2819" w:rsidP="003B2819">
            <w:pPr>
              <w:spacing w:after="0" w:line="240" w:lineRule="auto"/>
              <w:rPr>
                <w:rFonts w:ascii="Arial" w:eastAsia="Times New Roman" w:hAnsi="Arial" w:cs="Arial"/>
                <w:i/>
                <w:iCs/>
                <w:color w:val="000000"/>
                <w:sz w:val="20"/>
                <w:szCs w:val="20"/>
                <w:lang w:eastAsia="en-GB"/>
              </w:rPr>
            </w:pPr>
            <w:r w:rsidRPr="003B2819">
              <w:rPr>
                <w:rFonts w:ascii="Arial" w:eastAsia="Times New Roman" w:hAnsi="Arial" w:cs="Arial"/>
                <w:i/>
                <w:iCs/>
                <w:color w:val="000000"/>
                <w:sz w:val="20"/>
                <w:szCs w:val="20"/>
                <w:lang w:eastAsia="en-GB"/>
              </w:rPr>
              <w:t xml:space="preserve">Property, </w:t>
            </w:r>
            <w:proofErr w:type="gramStart"/>
            <w:r w:rsidRPr="003B2819">
              <w:rPr>
                <w:rFonts w:ascii="Arial" w:eastAsia="Times New Roman" w:hAnsi="Arial" w:cs="Arial"/>
                <w:i/>
                <w:iCs/>
                <w:color w:val="000000"/>
                <w:sz w:val="20"/>
                <w:szCs w:val="20"/>
                <w:lang w:eastAsia="en-GB"/>
              </w:rPr>
              <w:t>plant</w:t>
            </w:r>
            <w:proofErr w:type="gramEnd"/>
            <w:r w:rsidRPr="003B2819">
              <w:rPr>
                <w:rFonts w:ascii="Arial" w:eastAsia="Times New Roman" w:hAnsi="Arial" w:cs="Arial"/>
                <w:i/>
                <w:iCs/>
                <w:color w:val="000000"/>
                <w:sz w:val="20"/>
                <w:szCs w:val="20"/>
                <w:lang w:eastAsia="en-GB"/>
              </w:rPr>
              <w:t xml:space="preserve"> and equipment</w:t>
            </w:r>
          </w:p>
        </w:tc>
        <w:tc>
          <w:tcPr>
            <w:tcW w:w="1355" w:type="pct"/>
            <w:shd w:val="clear" w:color="auto" w:fill="auto"/>
            <w:vAlign w:val="center"/>
            <w:hideMark/>
          </w:tcPr>
          <w:p w14:paraId="749E1854" w14:textId="77777777" w:rsidR="003B2819" w:rsidRPr="003B2819" w:rsidRDefault="003B2819" w:rsidP="003B2819">
            <w:pPr>
              <w:spacing w:after="0" w:line="240" w:lineRule="auto"/>
              <w:jc w:val="right"/>
              <w:rPr>
                <w:rFonts w:ascii="Arial" w:eastAsia="Times New Roman" w:hAnsi="Arial" w:cs="Arial"/>
                <w:i/>
                <w:iCs/>
                <w:color w:val="000000"/>
                <w:sz w:val="20"/>
                <w:szCs w:val="20"/>
                <w:lang w:eastAsia="en-GB"/>
              </w:rPr>
            </w:pPr>
            <w:r w:rsidRPr="003B2819">
              <w:rPr>
                <w:rFonts w:ascii="Arial" w:eastAsia="Times New Roman" w:hAnsi="Arial" w:cs="Arial"/>
                <w:i/>
                <w:iCs/>
                <w:color w:val="000000"/>
                <w:sz w:val="20"/>
                <w:szCs w:val="20"/>
                <w:lang w:eastAsia="en-GB"/>
              </w:rPr>
              <w:t xml:space="preserve">                                           173 </w:t>
            </w:r>
          </w:p>
        </w:tc>
        <w:tc>
          <w:tcPr>
            <w:tcW w:w="1347" w:type="pct"/>
            <w:shd w:val="clear" w:color="auto" w:fill="auto"/>
            <w:vAlign w:val="center"/>
            <w:hideMark/>
          </w:tcPr>
          <w:p w14:paraId="70184C78" w14:textId="77777777" w:rsidR="003B2819" w:rsidRPr="003B2819" w:rsidRDefault="003B2819" w:rsidP="003B2819">
            <w:pPr>
              <w:spacing w:after="0" w:line="240" w:lineRule="auto"/>
              <w:jc w:val="right"/>
              <w:rPr>
                <w:rFonts w:ascii="Arial" w:eastAsia="Times New Roman" w:hAnsi="Arial" w:cs="Arial"/>
                <w:i/>
                <w:iCs/>
                <w:color w:val="000000"/>
                <w:sz w:val="20"/>
                <w:szCs w:val="20"/>
                <w:lang w:eastAsia="en-GB"/>
              </w:rPr>
            </w:pPr>
            <w:r w:rsidRPr="003B2819">
              <w:rPr>
                <w:rFonts w:ascii="Arial" w:eastAsia="Times New Roman" w:hAnsi="Arial" w:cs="Arial"/>
                <w:i/>
                <w:iCs/>
                <w:color w:val="000000"/>
                <w:sz w:val="20"/>
                <w:szCs w:val="20"/>
                <w:lang w:eastAsia="en-GB"/>
              </w:rPr>
              <w:t xml:space="preserve">                                           112 </w:t>
            </w:r>
          </w:p>
        </w:tc>
      </w:tr>
      <w:tr w:rsidR="003B2819" w:rsidRPr="003B2819" w14:paraId="32F3AF9E" w14:textId="77777777" w:rsidTr="00BD154D">
        <w:trPr>
          <w:trHeight w:val="280"/>
        </w:trPr>
        <w:tc>
          <w:tcPr>
            <w:tcW w:w="2298" w:type="pct"/>
            <w:shd w:val="clear" w:color="auto" w:fill="auto"/>
            <w:vAlign w:val="center"/>
            <w:hideMark/>
          </w:tcPr>
          <w:p w14:paraId="3212AA92" w14:textId="77777777" w:rsidR="003B2819" w:rsidRPr="003B2819" w:rsidRDefault="003B2819" w:rsidP="003B2819">
            <w:pPr>
              <w:spacing w:after="0" w:line="240" w:lineRule="auto"/>
              <w:rPr>
                <w:rFonts w:ascii="Arial" w:eastAsia="Times New Roman" w:hAnsi="Arial" w:cs="Arial"/>
                <w:i/>
                <w:iCs/>
                <w:color w:val="000000"/>
                <w:sz w:val="20"/>
                <w:szCs w:val="20"/>
                <w:lang w:eastAsia="en-GB"/>
              </w:rPr>
            </w:pPr>
            <w:r w:rsidRPr="003B2819">
              <w:rPr>
                <w:rFonts w:ascii="Arial" w:eastAsia="Times New Roman" w:hAnsi="Arial" w:cs="Arial"/>
                <w:i/>
                <w:iCs/>
                <w:color w:val="000000"/>
                <w:sz w:val="20"/>
                <w:szCs w:val="20"/>
                <w:lang w:eastAsia="en-GB"/>
              </w:rPr>
              <w:t>Pre-financing</w:t>
            </w:r>
          </w:p>
        </w:tc>
        <w:tc>
          <w:tcPr>
            <w:tcW w:w="1355" w:type="pct"/>
            <w:shd w:val="clear" w:color="auto" w:fill="auto"/>
            <w:vAlign w:val="center"/>
            <w:hideMark/>
          </w:tcPr>
          <w:p w14:paraId="112668F3" w14:textId="77777777" w:rsidR="003B2819" w:rsidRPr="003B2819" w:rsidRDefault="003B2819" w:rsidP="003B2819">
            <w:pPr>
              <w:spacing w:after="0" w:line="240" w:lineRule="auto"/>
              <w:jc w:val="right"/>
              <w:rPr>
                <w:rFonts w:ascii="Arial" w:eastAsia="Times New Roman" w:hAnsi="Arial" w:cs="Arial"/>
                <w:i/>
                <w:iCs/>
                <w:color w:val="000000"/>
                <w:sz w:val="20"/>
                <w:szCs w:val="20"/>
                <w:lang w:eastAsia="en-GB"/>
              </w:rPr>
            </w:pPr>
            <w:r w:rsidRPr="003B2819">
              <w:rPr>
                <w:rFonts w:ascii="Arial" w:eastAsia="Times New Roman" w:hAnsi="Arial" w:cs="Arial"/>
                <w:i/>
                <w:iCs/>
                <w:color w:val="000000"/>
                <w:sz w:val="20"/>
                <w:szCs w:val="20"/>
                <w:lang w:eastAsia="en-GB"/>
              </w:rPr>
              <w:t xml:space="preserve">                                     86,827 </w:t>
            </w:r>
          </w:p>
        </w:tc>
        <w:tc>
          <w:tcPr>
            <w:tcW w:w="1347" w:type="pct"/>
            <w:shd w:val="clear" w:color="auto" w:fill="auto"/>
            <w:vAlign w:val="center"/>
            <w:hideMark/>
          </w:tcPr>
          <w:p w14:paraId="0994F7D0" w14:textId="77777777" w:rsidR="003B2819" w:rsidRPr="003B2819" w:rsidRDefault="003B2819" w:rsidP="003B2819">
            <w:pPr>
              <w:spacing w:after="0" w:line="240" w:lineRule="auto"/>
              <w:jc w:val="right"/>
              <w:rPr>
                <w:rFonts w:ascii="Arial" w:eastAsia="Times New Roman" w:hAnsi="Arial" w:cs="Arial"/>
                <w:i/>
                <w:iCs/>
                <w:color w:val="000000"/>
                <w:sz w:val="20"/>
                <w:szCs w:val="20"/>
                <w:lang w:eastAsia="en-GB"/>
              </w:rPr>
            </w:pPr>
            <w:r w:rsidRPr="003B2819">
              <w:rPr>
                <w:rFonts w:ascii="Arial" w:eastAsia="Times New Roman" w:hAnsi="Arial" w:cs="Arial"/>
                <w:i/>
                <w:iCs/>
                <w:color w:val="000000"/>
                <w:sz w:val="20"/>
                <w:szCs w:val="20"/>
                <w:lang w:eastAsia="en-GB"/>
              </w:rPr>
              <w:t xml:space="preserve">                                  113,854 </w:t>
            </w:r>
          </w:p>
        </w:tc>
      </w:tr>
      <w:tr w:rsidR="003B2819" w:rsidRPr="003B2819" w14:paraId="67616121" w14:textId="77777777" w:rsidTr="00BD154D">
        <w:trPr>
          <w:trHeight w:val="129"/>
        </w:trPr>
        <w:tc>
          <w:tcPr>
            <w:tcW w:w="2298" w:type="pct"/>
            <w:shd w:val="clear" w:color="auto" w:fill="auto"/>
            <w:vAlign w:val="center"/>
            <w:hideMark/>
          </w:tcPr>
          <w:p w14:paraId="49A51E0F" w14:textId="77777777" w:rsidR="003B2819" w:rsidRPr="003B2819" w:rsidRDefault="003B2819" w:rsidP="003B2819">
            <w:pPr>
              <w:spacing w:after="0" w:line="240" w:lineRule="auto"/>
              <w:rPr>
                <w:rFonts w:ascii="Arial" w:eastAsia="Times New Roman" w:hAnsi="Arial" w:cs="Arial"/>
                <w:i/>
                <w:iCs/>
                <w:color w:val="000000"/>
                <w:sz w:val="20"/>
                <w:szCs w:val="20"/>
                <w:lang w:eastAsia="en-GB"/>
              </w:rPr>
            </w:pPr>
            <w:r w:rsidRPr="003B2819">
              <w:rPr>
                <w:rFonts w:ascii="Arial" w:eastAsia="Times New Roman" w:hAnsi="Arial" w:cs="Arial"/>
                <w:i/>
                <w:iCs/>
                <w:color w:val="000000"/>
                <w:sz w:val="20"/>
                <w:szCs w:val="20"/>
                <w:lang w:eastAsia="en-GB"/>
              </w:rPr>
              <w:t> </w:t>
            </w:r>
          </w:p>
        </w:tc>
        <w:tc>
          <w:tcPr>
            <w:tcW w:w="1355" w:type="pct"/>
            <w:shd w:val="clear" w:color="auto" w:fill="auto"/>
            <w:vAlign w:val="center"/>
            <w:hideMark/>
          </w:tcPr>
          <w:p w14:paraId="5E7F013C" w14:textId="77777777" w:rsidR="003B2819" w:rsidRPr="003B2819" w:rsidRDefault="003B2819" w:rsidP="003B2819">
            <w:pPr>
              <w:spacing w:after="0" w:line="240" w:lineRule="auto"/>
              <w:jc w:val="right"/>
              <w:rPr>
                <w:rFonts w:ascii="Arial" w:eastAsia="Times New Roman" w:hAnsi="Arial" w:cs="Arial"/>
                <w:b/>
                <w:bCs/>
                <w:color w:val="000000"/>
                <w:sz w:val="20"/>
                <w:szCs w:val="20"/>
                <w:lang w:eastAsia="en-GB"/>
              </w:rPr>
            </w:pPr>
            <w:r w:rsidRPr="003B2819">
              <w:rPr>
                <w:rFonts w:ascii="Arial" w:eastAsia="Times New Roman" w:hAnsi="Arial" w:cs="Arial"/>
                <w:b/>
                <w:bCs/>
                <w:color w:val="000000"/>
                <w:sz w:val="20"/>
                <w:szCs w:val="20"/>
                <w:lang w:eastAsia="en-GB"/>
              </w:rPr>
              <w:t xml:space="preserve">                                      87,012 </w:t>
            </w:r>
          </w:p>
        </w:tc>
        <w:tc>
          <w:tcPr>
            <w:tcW w:w="1347" w:type="pct"/>
            <w:shd w:val="clear" w:color="auto" w:fill="auto"/>
            <w:vAlign w:val="center"/>
            <w:hideMark/>
          </w:tcPr>
          <w:p w14:paraId="495F4831" w14:textId="77777777" w:rsidR="003B2819" w:rsidRPr="003B2819" w:rsidRDefault="003B2819" w:rsidP="003B2819">
            <w:pPr>
              <w:spacing w:after="0" w:line="240" w:lineRule="auto"/>
              <w:jc w:val="right"/>
              <w:rPr>
                <w:rFonts w:ascii="Arial" w:eastAsia="Times New Roman" w:hAnsi="Arial" w:cs="Arial"/>
                <w:b/>
                <w:bCs/>
                <w:color w:val="000000"/>
                <w:sz w:val="20"/>
                <w:szCs w:val="20"/>
                <w:lang w:eastAsia="en-GB"/>
              </w:rPr>
            </w:pPr>
            <w:r w:rsidRPr="003B2819">
              <w:rPr>
                <w:rFonts w:ascii="Arial" w:eastAsia="Times New Roman" w:hAnsi="Arial" w:cs="Arial"/>
                <w:b/>
                <w:bCs/>
                <w:color w:val="000000"/>
                <w:sz w:val="20"/>
                <w:szCs w:val="20"/>
                <w:lang w:eastAsia="en-GB"/>
              </w:rPr>
              <w:t xml:space="preserve">                                   113,990 </w:t>
            </w:r>
          </w:p>
        </w:tc>
      </w:tr>
      <w:tr w:rsidR="003B2819" w:rsidRPr="003B2819" w14:paraId="2034485A" w14:textId="77777777" w:rsidTr="00BD154D">
        <w:trPr>
          <w:trHeight w:val="160"/>
        </w:trPr>
        <w:tc>
          <w:tcPr>
            <w:tcW w:w="2298" w:type="pct"/>
            <w:shd w:val="clear" w:color="auto" w:fill="auto"/>
            <w:vAlign w:val="center"/>
            <w:hideMark/>
          </w:tcPr>
          <w:p w14:paraId="69BA847A" w14:textId="77777777" w:rsidR="003B2819" w:rsidRPr="003B2819" w:rsidRDefault="003B2819" w:rsidP="003B2819">
            <w:pPr>
              <w:spacing w:after="0" w:line="240" w:lineRule="auto"/>
              <w:rPr>
                <w:rFonts w:ascii="Arial" w:eastAsia="Times New Roman" w:hAnsi="Arial" w:cs="Arial"/>
                <w:b/>
                <w:bCs/>
                <w:color w:val="000000"/>
                <w:sz w:val="20"/>
                <w:szCs w:val="20"/>
                <w:lang w:eastAsia="en-GB"/>
              </w:rPr>
            </w:pPr>
            <w:r w:rsidRPr="003B2819">
              <w:rPr>
                <w:rFonts w:ascii="Arial" w:eastAsia="Times New Roman" w:hAnsi="Arial" w:cs="Arial"/>
                <w:b/>
                <w:bCs/>
                <w:color w:val="000000"/>
                <w:sz w:val="20"/>
                <w:szCs w:val="20"/>
                <w:lang w:eastAsia="en-GB"/>
              </w:rPr>
              <w:t>CURRENT ASSETS</w:t>
            </w:r>
          </w:p>
        </w:tc>
        <w:tc>
          <w:tcPr>
            <w:tcW w:w="1355" w:type="pct"/>
            <w:shd w:val="clear" w:color="auto" w:fill="auto"/>
            <w:vAlign w:val="center"/>
            <w:hideMark/>
          </w:tcPr>
          <w:p w14:paraId="337918B5" w14:textId="77777777" w:rsidR="003B2819" w:rsidRPr="003B2819" w:rsidRDefault="003B2819" w:rsidP="003B2819">
            <w:pPr>
              <w:spacing w:after="0" w:line="240" w:lineRule="auto"/>
              <w:rPr>
                <w:rFonts w:ascii="Arial" w:eastAsia="Times New Roman" w:hAnsi="Arial" w:cs="Arial"/>
                <w:b/>
                <w:bCs/>
                <w:color w:val="000000"/>
                <w:sz w:val="20"/>
                <w:szCs w:val="20"/>
                <w:lang w:eastAsia="en-GB"/>
              </w:rPr>
            </w:pPr>
          </w:p>
        </w:tc>
        <w:tc>
          <w:tcPr>
            <w:tcW w:w="1347" w:type="pct"/>
            <w:shd w:val="clear" w:color="auto" w:fill="auto"/>
            <w:vAlign w:val="center"/>
            <w:hideMark/>
          </w:tcPr>
          <w:p w14:paraId="47B5B02B" w14:textId="77777777" w:rsidR="003B2819" w:rsidRPr="003B2819" w:rsidRDefault="003B2819" w:rsidP="003B2819">
            <w:pPr>
              <w:spacing w:after="0" w:line="240" w:lineRule="auto"/>
              <w:jc w:val="right"/>
              <w:rPr>
                <w:rFonts w:ascii="Arial" w:eastAsia="Times New Roman" w:hAnsi="Arial" w:cs="Arial"/>
                <w:sz w:val="20"/>
                <w:szCs w:val="20"/>
                <w:lang w:eastAsia="en-GB"/>
              </w:rPr>
            </w:pPr>
          </w:p>
        </w:tc>
      </w:tr>
      <w:tr w:rsidR="003B2819" w:rsidRPr="003B2819" w14:paraId="1CB60781" w14:textId="77777777" w:rsidTr="00BD154D">
        <w:trPr>
          <w:trHeight w:val="70"/>
        </w:trPr>
        <w:tc>
          <w:tcPr>
            <w:tcW w:w="2298" w:type="pct"/>
            <w:shd w:val="clear" w:color="auto" w:fill="auto"/>
            <w:vAlign w:val="center"/>
            <w:hideMark/>
          </w:tcPr>
          <w:p w14:paraId="10C8594C" w14:textId="77777777" w:rsidR="003B2819" w:rsidRPr="003B2819" w:rsidRDefault="003B2819" w:rsidP="003B2819">
            <w:pPr>
              <w:spacing w:after="0" w:line="240" w:lineRule="auto"/>
              <w:rPr>
                <w:rFonts w:ascii="Arial" w:eastAsia="Times New Roman" w:hAnsi="Arial" w:cs="Arial"/>
                <w:i/>
                <w:iCs/>
                <w:color w:val="000000"/>
                <w:sz w:val="20"/>
                <w:szCs w:val="20"/>
                <w:lang w:eastAsia="en-GB"/>
              </w:rPr>
            </w:pPr>
            <w:r w:rsidRPr="003B2819">
              <w:rPr>
                <w:rFonts w:ascii="Arial" w:eastAsia="Times New Roman" w:hAnsi="Arial" w:cs="Arial"/>
                <w:i/>
                <w:iCs/>
                <w:color w:val="000000"/>
                <w:sz w:val="20"/>
                <w:szCs w:val="20"/>
                <w:lang w:eastAsia="en-GB"/>
              </w:rPr>
              <w:t>Pre-financing</w:t>
            </w:r>
          </w:p>
        </w:tc>
        <w:tc>
          <w:tcPr>
            <w:tcW w:w="1355" w:type="pct"/>
            <w:shd w:val="clear" w:color="auto" w:fill="auto"/>
            <w:vAlign w:val="center"/>
            <w:hideMark/>
          </w:tcPr>
          <w:p w14:paraId="71167FB7" w14:textId="77777777" w:rsidR="003B2819" w:rsidRPr="003B2819" w:rsidRDefault="003B2819" w:rsidP="003B2819">
            <w:pPr>
              <w:spacing w:after="0" w:line="240" w:lineRule="auto"/>
              <w:jc w:val="right"/>
              <w:rPr>
                <w:rFonts w:ascii="Arial" w:eastAsia="Times New Roman" w:hAnsi="Arial" w:cs="Arial"/>
                <w:i/>
                <w:iCs/>
                <w:color w:val="000000"/>
                <w:sz w:val="20"/>
                <w:szCs w:val="20"/>
                <w:lang w:eastAsia="en-GB"/>
              </w:rPr>
            </w:pPr>
            <w:r w:rsidRPr="003B2819">
              <w:rPr>
                <w:rFonts w:ascii="Arial" w:eastAsia="Times New Roman" w:hAnsi="Arial" w:cs="Arial"/>
                <w:i/>
                <w:iCs/>
                <w:color w:val="000000"/>
                <w:sz w:val="20"/>
                <w:szCs w:val="20"/>
                <w:lang w:eastAsia="en-GB"/>
              </w:rPr>
              <w:t xml:space="preserve">                                     40,946 </w:t>
            </w:r>
          </w:p>
        </w:tc>
        <w:tc>
          <w:tcPr>
            <w:tcW w:w="1347" w:type="pct"/>
            <w:shd w:val="clear" w:color="auto" w:fill="auto"/>
            <w:vAlign w:val="center"/>
            <w:hideMark/>
          </w:tcPr>
          <w:p w14:paraId="072E77C9" w14:textId="77777777" w:rsidR="003B2819" w:rsidRPr="003B2819" w:rsidRDefault="003B2819" w:rsidP="003B2819">
            <w:pPr>
              <w:spacing w:after="0" w:line="240" w:lineRule="auto"/>
              <w:jc w:val="right"/>
              <w:rPr>
                <w:rFonts w:ascii="Arial" w:eastAsia="Times New Roman" w:hAnsi="Arial" w:cs="Arial"/>
                <w:i/>
                <w:iCs/>
                <w:color w:val="000000"/>
                <w:sz w:val="20"/>
                <w:szCs w:val="20"/>
                <w:lang w:eastAsia="en-GB"/>
              </w:rPr>
            </w:pPr>
            <w:r w:rsidRPr="003B2819">
              <w:rPr>
                <w:rFonts w:ascii="Arial" w:eastAsia="Times New Roman" w:hAnsi="Arial" w:cs="Arial"/>
                <w:i/>
                <w:iCs/>
                <w:color w:val="000000"/>
                <w:sz w:val="20"/>
                <w:szCs w:val="20"/>
                <w:lang w:eastAsia="en-GB"/>
              </w:rPr>
              <w:t xml:space="preserve">                                     48,913 </w:t>
            </w:r>
          </w:p>
        </w:tc>
      </w:tr>
      <w:tr w:rsidR="003B2819" w:rsidRPr="003B2819" w14:paraId="15801EDD" w14:textId="77777777" w:rsidTr="00BD154D">
        <w:trPr>
          <w:trHeight w:val="252"/>
        </w:trPr>
        <w:tc>
          <w:tcPr>
            <w:tcW w:w="2298" w:type="pct"/>
            <w:shd w:val="clear" w:color="auto" w:fill="auto"/>
            <w:vAlign w:val="center"/>
            <w:hideMark/>
          </w:tcPr>
          <w:p w14:paraId="0E4A9D28" w14:textId="77777777" w:rsidR="003B2819" w:rsidRPr="003B2819" w:rsidRDefault="003B2819" w:rsidP="003B2819">
            <w:pPr>
              <w:spacing w:after="0" w:line="240" w:lineRule="auto"/>
              <w:rPr>
                <w:rFonts w:ascii="Arial" w:eastAsia="Times New Roman" w:hAnsi="Arial" w:cs="Arial"/>
                <w:i/>
                <w:iCs/>
                <w:color w:val="000000"/>
                <w:sz w:val="20"/>
                <w:szCs w:val="20"/>
                <w:lang w:eastAsia="en-GB"/>
              </w:rPr>
            </w:pPr>
            <w:r w:rsidRPr="003B2819">
              <w:rPr>
                <w:rFonts w:ascii="Arial" w:eastAsia="Times New Roman" w:hAnsi="Arial" w:cs="Arial"/>
                <w:i/>
                <w:iCs/>
                <w:color w:val="000000"/>
                <w:sz w:val="20"/>
                <w:szCs w:val="20"/>
                <w:lang w:eastAsia="en-GB"/>
              </w:rPr>
              <w:t>Exchange receivables and non-exchange recoverables</w:t>
            </w:r>
          </w:p>
        </w:tc>
        <w:tc>
          <w:tcPr>
            <w:tcW w:w="1355" w:type="pct"/>
            <w:shd w:val="clear" w:color="auto" w:fill="auto"/>
            <w:vAlign w:val="center"/>
            <w:hideMark/>
          </w:tcPr>
          <w:p w14:paraId="5F7BD156" w14:textId="77777777" w:rsidR="003B2819" w:rsidRPr="003B2819" w:rsidRDefault="003B2819" w:rsidP="003B2819">
            <w:pPr>
              <w:spacing w:after="0" w:line="240" w:lineRule="auto"/>
              <w:jc w:val="right"/>
              <w:rPr>
                <w:rFonts w:ascii="Arial" w:eastAsia="Times New Roman" w:hAnsi="Arial" w:cs="Arial"/>
                <w:i/>
                <w:iCs/>
                <w:color w:val="000000"/>
                <w:sz w:val="20"/>
                <w:szCs w:val="20"/>
                <w:lang w:eastAsia="en-GB"/>
              </w:rPr>
            </w:pPr>
            <w:r w:rsidRPr="003B2819">
              <w:rPr>
                <w:rFonts w:ascii="Arial" w:eastAsia="Times New Roman" w:hAnsi="Arial" w:cs="Arial"/>
                <w:i/>
                <w:iCs/>
                <w:color w:val="000000"/>
                <w:sz w:val="20"/>
                <w:szCs w:val="20"/>
                <w:lang w:eastAsia="en-GB"/>
              </w:rPr>
              <w:t xml:space="preserve">                                       9,645 </w:t>
            </w:r>
          </w:p>
        </w:tc>
        <w:tc>
          <w:tcPr>
            <w:tcW w:w="1347" w:type="pct"/>
            <w:shd w:val="clear" w:color="auto" w:fill="auto"/>
            <w:vAlign w:val="center"/>
            <w:hideMark/>
          </w:tcPr>
          <w:p w14:paraId="2C1AA6DC" w14:textId="77777777" w:rsidR="003B2819" w:rsidRPr="003B2819" w:rsidRDefault="003B2819" w:rsidP="003B2819">
            <w:pPr>
              <w:spacing w:after="0" w:line="240" w:lineRule="auto"/>
              <w:jc w:val="right"/>
              <w:rPr>
                <w:rFonts w:ascii="Arial" w:eastAsia="Times New Roman" w:hAnsi="Arial" w:cs="Arial"/>
                <w:i/>
                <w:iCs/>
                <w:color w:val="000000"/>
                <w:sz w:val="20"/>
                <w:szCs w:val="20"/>
                <w:lang w:eastAsia="en-GB"/>
              </w:rPr>
            </w:pPr>
            <w:r w:rsidRPr="003B2819">
              <w:rPr>
                <w:rFonts w:ascii="Arial" w:eastAsia="Times New Roman" w:hAnsi="Arial" w:cs="Arial"/>
                <w:i/>
                <w:iCs/>
                <w:color w:val="000000"/>
                <w:sz w:val="20"/>
                <w:szCs w:val="20"/>
                <w:lang w:eastAsia="en-GB"/>
              </w:rPr>
              <w:t xml:space="preserve">                                       7,028 </w:t>
            </w:r>
          </w:p>
        </w:tc>
      </w:tr>
      <w:tr w:rsidR="003B2819" w:rsidRPr="003B2819" w14:paraId="0D0E7958" w14:textId="77777777" w:rsidTr="00BD154D">
        <w:trPr>
          <w:trHeight w:val="70"/>
        </w:trPr>
        <w:tc>
          <w:tcPr>
            <w:tcW w:w="2298" w:type="pct"/>
            <w:shd w:val="clear" w:color="auto" w:fill="auto"/>
            <w:vAlign w:val="center"/>
            <w:hideMark/>
          </w:tcPr>
          <w:p w14:paraId="6F2CCF10" w14:textId="77777777" w:rsidR="003B2819" w:rsidRPr="003B2819" w:rsidRDefault="003B2819" w:rsidP="003B2819">
            <w:pPr>
              <w:spacing w:after="0" w:line="240" w:lineRule="auto"/>
              <w:rPr>
                <w:rFonts w:ascii="Arial" w:eastAsia="Times New Roman" w:hAnsi="Arial" w:cs="Arial"/>
                <w:i/>
                <w:iCs/>
                <w:color w:val="000000"/>
                <w:sz w:val="20"/>
                <w:szCs w:val="20"/>
                <w:lang w:eastAsia="en-GB"/>
              </w:rPr>
            </w:pPr>
            <w:r w:rsidRPr="003B2819">
              <w:rPr>
                <w:rFonts w:ascii="Arial" w:eastAsia="Times New Roman" w:hAnsi="Arial" w:cs="Arial"/>
                <w:i/>
                <w:iCs/>
                <w:color w:val="000000"/>
                <w:sz w:val="20"/>
                <w:szCs w:val="20"/>
                <w:lang w:eastAsia="en-GB"/>
              </w:rPr>
              <w:t> </w:t>
            </w:r>
          </w:p>
        </w:tc>
        <w:tc>
          <w:tcPr>
            <w:tcW w:w="1355" w:type="pct"/>
            <w:shd w:val="clear" w:color="auto" w:fill="auto"/>
            <w:vAlign w:val="center"/>
            <w:hideMark/>
          </w:tcPr>
          <w:p w14:paraId="25107D4B" w14:textId="77777777" w:rsidR="003B2819" w:rsidRPr="003B2819" w:rsidRDefault="003B2819" w:rsidP="003B2819">
            <w:pPr>
              <w:spacing w:after="0" w:line="240" w:lineRule="auto"/>
              <w:jc w:val="right"/>
              <w:rPr>
                <w:rFonts w:ascii="Arial" w:eastAsia="Times New Roman" w:hAnsi="Arial" w:cs="Arial"/>
                <w:b/>
                <w:bCs/>
                <w:color w:val="000000"/>
                <w:sz w:val="20"/>
                <w:szCs w:val="20"/>
                <w:lang w:eastAsia="en-GB"/>
              </w:rPr>
            </w:pPr>
            <w:r w:rsidRPr="003B2819">
              <w:rPr>
                <w:rFonts w:ascii="Arial" w:eastAsia="Times New Roman" w:hAnsi="Arial" w:cs="Arial"/>
                <w:b/>
                <w:bCs/>
                <w:color w:val="000000"/>
                <w:sz w:val="20"/>
                <w:szCs w:val="20"/>
                <w:lang w:eastAsia="en-GB"/>
              </w:rPr>
              <w:t xml:space="preserve">                                      50,591 </w:t>
            </w:r>
          </w:p>
        </w:tc>
        <w:tc>
          <w:tcPr>
            <w:tcW w:w="1347" w:type="pct"/>
            <w:shd w:val="clear" w:color="auto" w:fill="auto"/>
            <w:vAlign w:val="center"/>
            <w:hideMark/>
          </w:tcPr>
          <w:p w14:paraId="04A3700E" w14:textId="77777777" w:rsidR="003B2819" w:rsidRPr="003B2819" w:rsidRDefault="003B2819" w:rsidP="003B2819">
            <w:pPr>
              <w:spacing w:after="0" w:line="240" w:lineRule="auto"/>
              <w:jc w:val="right"/>
              <w:rPr>
                <w:rFonts w:ascii="Arial" w:eastAsia="Times New Roman" w:hAnsi="Arial" w:cs="Arial"/>
                <w:b/>
                <w:bCs/>
                <w:color w:val="000000"/>
                <w:sz w:val="20"/>
                <w:szCs w:val="20"/>
                <w:lang w:eastAsia="en-GB"/>
              </w:rPr>
            </w:pPr>
            <w:r w:rsidRPr="003B2819">
              <w:rPr>
                <w:rFonts w:ascii="Arial" w:eastAsia="Times New Roman" w:hAnsi="Arial" w:cs="Arial"/>
                <w:b/>
                <w:bCs/>
                <w:color w:val="000000"/>
                <w:sz w:val="20"/>
                <w:szCs w:val="20"/>
                <w:lang w:eastAsia="en-GB"/>
              </w:rPr>
              <w:t xml:space="preserve">                                     55,940 </w:t>
            </w:r>
          </w:p>
        </w:tc>
      </w:tr>
      <w:tr w:rsidR="003B2819" w:rsidRPr="003B2819" w14:paraId="0906B5BF" w14:textId="77777777" w:rsidTr="00BD154D">
        <w:trPr>
          <w:trHeight w:val="70"/>
        </w:trPr>
        <w:tc>
          <w:tcPr>
            <w:tcW w:w="2298" w:type="pct"/>
            <w:shd w:val="clear" w:color="000000" w:fill="CCE1EA"/>
            <w:vAlign w:val="center"/>
            <w:hideMark/>
          </w:tcPr>
          <w:p w14:paraId="047EB421" w14:textId="77777777" w:rsidR="003B2819" w:rsidRPr="003B2819" w:rsidRDefault="003B2819" w:rsidP="003B2819">
            <w:pPr>
              <w:spacing w:after="0" w:line="240" w:lineRule="auto"/>
              <w:rPr>
                <w:rFonts w:ascii="Arial" w:eastAsia="Times New Roman" w:hAnsi="Arial" w:cs="Arial"/>
                <w:b/>
                <w:bCs/>
                <w:color w:val="000000"/>
                <w:sz w:val="20"/>
                <w:szCs w:val="20"/>
                <w:lang w:eastAsia="en-GB"/>
              </w:rPr>
            </w:pPr>
            <w:r w:rsidRPr="003B2819">
              <w:rPr>
                <w:rFonts w:ascii="Arial" w:eastAsia="Times New Roman" w:hAnsi="Arial" w:cs="Arial"/>
                <w:b/>
                <w:bCs/>
                <w:color w:val="000000"/>
                <w:sz w:val="20"/>
                <w:szCs w:val="20"/>
                <w:lang w:eastAsia="en-GB"/>
              </w:rPr>
              <w:t>TOTAL ASSETS</w:t>
            </w:r>
          </w:p>
        </w:tc>
        <w:tc>
          <w:tcPr>
            <w:tcW w:w="1355" w:type="pct"/>
            <w:shd w:val="clear" w:color="000000" w:fill="CCE1EA"/>
            <w:vAlign w:val="center"/>
            <w:hideMark/>
          </w:tcPr>
          <w:p w14:paraId="0BD1045F" w14:textId="77777777" w:rsidR="003B2819" w:rsidRPr="003B2819" w:rsidRDefault="003B2819" w:rsidP="003B2819">
            <w:pPr>
              <w:spacing w:after="0" w:line="240" w:lineRule="auto"/>
              <w:jc w:val="right"/>
              <w:rPr>
                <w:rFonts w:ascii="Arial" w:eastAsia="Times New Roman" w:hAnsi="Arial" w:cs="Arial"/>
                <w:b/>
                <w:bCs/>
                <w:color w:val="000000"/>
                <w:sz w:val="20"/>
                <w:szCs w:val="20"/>
                <w:lang w:eastAsia="en-GB"/>
              </w:rPr>
            </w:pPr>
            <w:r w:rsidRPr="003B2819">
              <w:rPr>
                <w:rFonts w:ascii="Arial" w:eastAsia="Times New Roman" w:hAnsi="Arial" w:cs="Arial"/>
                <w:b/>
                <w:bCs/>
                <w:color w:val="000000"/>
                <w:sz w:val="20"/>
                <w:szCs w:val="20"/>
                <w:lang w:eastAsia="en-GB"/>
              </w:rPr>
              <w:t xml:space="preserve">                                   137,603 </w:t>
            </w:r>
          </w:p>
        </w:tc>
        <w:tc>
          <w:tcPr>
            <w:tcW w:w="1347" w:type="pct"/>
            <w:shd w:val="clear" w:color="000000" w:fill="CCE1EA"/>
            <w:vAlign w:val="center"/>
            <w:hideMark/>
          </w:tcPr>
          <w:p w14:paraId="6CA174B2" w14:textId="77777777" w:rsidR="003B2819" w:rsidRPr="003B2819" w:rsidRDefault="003B2819" w:rsidP="003B2819">
            <w:pPr>
              <w:spacing w:after="0" w:line="240" w:lineRule="auto"/>
              <w:jc w:val="right"/>
              <w:rPr>
                <w:rFonts w:ascii="Arial" w:eastAsia="Times New Roman" w:hAnsi="Arial" w:cs="Arial"/>
                <w:b/>
                <w:bCs/>
                <w:color w:val="000000"/>
                <w:sz w:val="20"/>
                <w:szCs w:val="20"/>
                <w:lang w:eastAsia="en-GB"/>
              </w:rPr>
            </w:pPr>
            <w:r w:rsidRPr="003B2819">
              <w:rPr>
                <w:rFonts w:ascii="Arial" w:eastAsia="Times New Roman" w:hAnsi="Arial" w:cs="Arial"/>
                <w:b/>
                <w:bCs/>
                <w:color w:val="000000"/>
                <w:sz w:val="20"/>
                <w:szCs w:val="20"/>
                <w:lang w:eastAsia="en-GB"/>
              </w:rPr>
              <w:t xml:space="preserve">                                   169,930 </w:t>
            </w:r>
          </w:p>
        </w:tc>
      </w:tr>
      <w:tr w:rsidR="003B2819" w:rsidRPr="003B2819" w14:paraId="3B89EA91" w14:textId="77777777" w:rsidTr="00BD154D">
        <w:trPr>
          <w:trHeight w:val="78"/>
        </w:trPr>
        <w:tc>
          <w:tcPr>
            <w:tcW w:w="2298" w:type="pct"/>
            <w:shd w:val="clear" w:color="auto" w:fill="auto"/>
            <w:vAlign w:val="center"/>
            <w:hideMark/>
          </w:tcPr>
          <w:p w14:paraId="61771536" w14:textId="77777777" w:rsidR="003B2819" w:rsidRPr="003B2819" w:rsidRDefault="003B2819" w:rsidP="003B2819">
            <w:pPr>
              <w:spacing w:after="0" w:line="240" w:lineRule="auto"/>
              <w:jc w:val="right"/>
              <w:rPr>
                <w:rFonts w:ascii="Arial" w:eastAsia="Times New Roman" w:hAnsi="Arial" w:cs="Arial"/>
                <w:b/>
                <w:bCs/>
                <w:color w:val="000000"/>
                <w:sz w:val="20"/>
                <w:szCs w:val="20"/>
                <w:lang w:eastAsia="en-GB"/>
              </w:rPr>
            </w:pPr>
          </w:p>
        </w:tc>
        <w:tc>
          <w:tcPr>
            <w:tcW w:w="1355" w:type="pct"/>
            <w:shd w:val="clear" w:color="auto" w:fill="auto"/>
            <w:vAlign w:val="center"/>
            <w:hideMark/>
          </w:tcPr>
          <w:p w14:paraId="307594A1" w14:textId="77777777" w:rsidR="003B2819" w:rsidRPr="003B2819" w:rsidRDefault="003B2819" w:rsidP="003B2819">
            <w:pPr>
              <w:spacing w:after="0" w:line="240" w:lineRule="auto"/>
              <w:rPr>
                <w:rFonts w:ascii="Arial" w:eastAsia="Times New Roman" w:hAnsi="Arial" w:cs="Arial"/>
                <w:sz w:val="20"/>
                <w:szCs w:val="20"/>
                <w:lang w:eastAsia="en-GB"/>
              </w:rPr>
            </w:pPr>
          </w:p>
        </w:tc>
        <w:tc>
          <w:tcPr>
            <w:tcW w:w="1347" w:type="pct"/>
            <w:shd w:val="clear" w:color="auto" w:fill="auto"/>
            <w:vAlign w:val="center"/>
            <w:hideMark/>
          </w:tcPr>
          <w:p w14:paraId="29D3C06D" w14:textId="77777777" w:rsidR="003B2819" w:rsidRPr="003B2819" w:rsidRDefault="003B2819" w:rsidP="003B2819">
            <w:pPr>
              <w:spacing w:after="0" w:line="240" w:lineRule="auto"/>
              <w:jc w:val="right"/>
              <w:rPr>
                <w:rFonts w:ascii="Arial" w:eastAsia="Times New Roman" w:hAnsi="Arial" w:cs="Arial"/>
                <w:sz w:val="20"/>
                <w:szCs w:val="20"/>
                <w:lang w:eastAsia="en-GB"/>
              </w:rPr>
            </w:pPr>
          </w:p>
        </w:tc>
      </w:tr>
      <w:tr w:rsidR="003B2819" w:rsidRPr="003B2819" w14:paraId="32702A27" w14:textId="77777777" w:rsidTr="00BD154D">
        <w:trPr>
          <w:trHeight w:val="136"/>
        </w:trPr>
        <w:tc>
          <w:tcPr>
            <w:tcW w:w="2298" w:type="pct"/>
            <w:shd w:val="clear" w:color="auto" w:fill="auto"/>
            <w:vAlign w:val="center"/>
            <w:hideMark/>
          </w:tcPr>
          <w:p w14:paraId="34F895C4" w14:textId="77777777" w:rsidR="003B2819" w:rsidRPr="003B2819" w:rsidRDefault="003B2819" w:rsidP="003B2819">
            <w:pPr>
              <w:spacing w:after="0" w:line="240" w:lineRule="auto"/>
              <w:rPr>
                <w:rFonts w:ascii="Arial" w:eastAsia="Times New Roman" w:hAnsi="Arial" w:cs="Arial"/>
                <w:b/>
                <w:bCs/>
                <w:color w:val="000000"/>
                <w:sz w:val="20"/>
                <w:szCs w:val="20"/>
                <w:lang w:eastAsia="en-GB"/>
              </w:rPr>
            </w:pPr>
            <w:r w:rsidRPr="003B2819">
              <w:rPr>
                <w:rFonts w:ascii="Arial" w:eastAsia="Times New Roman" w:hAnsi="Arial" w:cs="Arial"/>
                <w:b/>
                <w:bCs/>
                <w:color w:val="000000"/>
                <w:sz w:val="20"/>
                <w:szCs w:val="20"/>
                <w:lang w:eastAsia="en-GB"/>
              </w:rPr>
              <w:t>CURRENT LIABILITIES</w:t>
            </w:r>
          </w:p>
        </w:tc>
        <w:tc>
          <w:tcPr>
            <w:tcW w:w="1355" w:type="pct"/>
            <w:shd w:val="clear" w:color="auto" w:fill="auto"/>
            <w:vAlign w:val="center"/>
            <w:hideMark/>
          </w:tcPr>
          <w:p w14:paraId="3F9658EB" w14:textId="77777777" w:rsidR="003B2819" w:rsidRPr="003B2819" w:rsidRDefault="003B2819" w:rsidP="003B2819">
            <w:pPr>
              <w:spacing w:after="0" w:line="240" w:lineRule="auto"/>
              <w:rPr>
                <w:rFonts w:ascii="Arial" w:eastAsia="Times New Roman" w:hAnsi="Arial" w:cs="Arial"/>
                <w:b/>
                <w:bCs/>
                <w:color w:val="000000"/>
                <w:sz w:val="20"/>
                <w:szCs w:val="20"/>
                <w:lang w:eastAsia="en-GB"/>
              </w:rPr>
            </w:pPr>
          </w:p>
        </w:tc>
        <w:tc>
          <w:tcPr>
            <w:tcW w:w="1347" w:type="pct"/>
            <w:shd w:val="clear" w:color="auto" w:fill="auto"/>
            <w:vAlign w:val="center"/>
            <w:hideMark/>
          </w:tcPr>
          <w:p w14:paraId="05DE0B9D" w14:textId="77777777" w:rsidR="003B2819" w:rsidRPr="003B2819" w:rsidRDefault="003B2819" w:rsidP="003B2819">
            <w:pPr>
              <w:spacing w:after="0" w:line="240" w:lineRule="auto"/>
              <w:jc w:val="right"/>
              <w:rPr>
                <w:rFonts w:ascii="Arial" w:eastAsia="Times New Roman" w:hAnsi="Arial" w:cs="Arial"/>
                <w:sz w:val="20"/>
                <w:szCs w:val="20"/>
                <w:lang w:eastAsia="en-GB"/>
              </w:rPr>
            </w:pPr>
          </w:p>
        </w:tc>
      </w:tr>
      <w:tr w:rsidR="003B2819" w:rsidRPr="003B2819" w14:paraId="602A8114" w14:textId="77777777" w:rsidTr="00BD154D">
        <w:trPr>
          <w:trHeight w:val="182"/>
        </w:trPr>
        <w:tc>
          <w:tcPr>
            <w:tcW w:w="2298" w:type="pct"/>
            <w:shd w:val="clear" w:color="auto" w:fill="auto"/>
            <w:vAlign w:val="center"/>
            <w:hideMark/>
          </w:tcPr>
          <w:p w14:paraId="140DE2C7" w14:textId="77777777" w:rsidR="003B2819" w:rsidRPr="003B2819" w:rsidRDefault="003B2819" w:rsidP="003B2819">
            <w:pPr>
              <w:spacing w:after="0" w:line="240" w:lineRule="auto"/>
              <w:rPr>
                <w:rFonts w:ascii="Arial" w:eastAsia="Times New Roman" w:hAnsi="Arial" w:cs="Arial"/>
                <w:i/>
                <w:iCs/>
                <w:color w:val="000000"/>
                <w:sz w:val="20"/>
                <w:szCs w:val="20"/>
                <w:lang w:eastAsia="en-GB"/>
              </w:rPr>
            </w:pPr>
            <w:r w:rsidRPr="003B2819">
              <w:rPr>
                <w:rFonts w:ascii="Arial" w:eastAsia="Times New Roman" w:hAnsi="Arial" w:cs="Arial"/>
                <w:i/>
                <w:iCs/>
                <w:color w:val="000000"/>
                <w:sz w:val="20"/>
                <w:szCs w:val="20"/>
                <w:lang w:eastAsia="en-GB"/>
              </w:rPr>
              <w:t>Payables and other liabilities</w:t>
            </w:r>
          </w:p>
        </w:tc>
        <w:tc>
          <w:tcPr>
            <w:tcW w:w="1355" w:type="pct"/>
            <w:shd w:val="clear" w:color="auto" w:fill="auto"/>
            <w:vAlign w:val="center"/>
            <w:hideMark/>
          </w:tcPr>
          <w:p w14:paraId="73C1A024" w14:textId="77777777" w:rsidR="003B2819" w:rsidRPr="003B2819" w:rsidRDefault="003B2819" w:rsidP="003B2819">
            <w:pPr>
              <w:spacing w:after="0" w:line="240" w:lineRule="auto"/>
              <w:jc w:val="right"/>
              <w:rPr>
                <w:rFonts w:ascii="Arial" w:eastAsia="Times New Roman" w:hAnsi="Arial" w:cs="Arial"/>
                <w:i/>
                <w:iCs/>
                <w:color w:val="000000"/>
                <w:sz w:val="20"/>
                <w:szCs w:val="20"/>
                <w:lang w:eastAsia="en-GB"/>
              </w:rPr>
            </w:pPr>
            <w:r w:rsidRPr="003B2819">
              <w:rPr>
                <w:rFonts w:ascii="Arial" w:eastAsia="Times New Roman" w:hAnsi="Arial" w:cs="Arial"/>
                <w:i/>
                <w:iCs/>
                <w:color w:val="000000"/>
                <w:sz w:val="20"/>
                <w:szCs w:val="20"/>
                <w:lang w:eastAsia="en-GB"/>
              </w:rPr>
              <w:t xml:space="preserve">                                   (55,888)</w:t>
            </w:r>
          </w:p>
        </w:tc>
        <w:tc>
          <w:tcPr>
            <w:tcW w:w="1347" w:type="pct"/>
            <w:shd w:val="clear" w:color="auto" w:fill="auto"/>
            <w:vAlign w:val="center"/>
            <w:hideMark/>
          </w:tcPr>
          <w:p w14:paraId="66297997" w14:textId="77777777" w:rsidR="003B2819" w:rsidRPr="003B2819" w:rsidRDefault="003B2819" w:rsidP="003B2819">
            <w:pPr>
              <w:spacing w:after="0" w:line="240" w:lineRule="auto"/>
              <w:jc w:val="right"/>
              <w:rPr>
                <w:rFonts w:ascii="Arial" w:eastAsia="Times New Roman" w:hAnsi="Arial" w:cs="Arial"/>
                <w:i/>
                <w:iCs/>
                <w:color w:val="000000"/>
                <w:sz w:val="20"/>
                <w:szCs w:val="20"/>
                <w:lang w:eastAsia="en-GB"/>
              </w:rPr>
            </w:pPr>
            <w:r w:rsidRPr="003B2819">
              <w:rPr>
                <w:rFonts w:ascii="Arial" w:eastAsia="Times New Roman" w:hAnsi="Arial" w:cs="Arial"/>
                <w:i/>
                <w:iCs/>
                <w:color w:val="000000"/>
                <w:sz w:val="20"/>
                <w:szCs w:val="20"/>
                <w:lang w:eastAsia="en-GB"/>
              </w:rPr>
              <w:t xml:space="preserve">                                   (59,139)</w:t>
            </w:r>
          </w:p>
        </w:tc>
      </w:tr>
      <w:tr w:rsidR="003B2819" w:rsidRPr="003B2819" w14:paraId="36ED4AA0" w14:textId="77777777" w:rsidTr="00BD154D">
        <w:trPr>
          <w:trHeight w:val="228"/>
        </w:trPr>
        <w:tc>
          <w:tcPr>
            <w:tcW w:w="2298" w:type="pct"/>
            <w:shd w:val="clear" w:color="auto" w:fill="auto"/>
            <w:vAlign w:val="center"/>
            <w:hideMark/>
          </w:tcPr>
          <w:p w14:paraId="59A6B355" w14:textId="77777777" w:rsidR="003B2819" w:rsidRPr="003B2819" w:rsidRDefault="003B2819" w:rsidP="003B2819">
            <w:pPr>
              <w:spacing w:after="0" w:line="240" w:lineRule="auto"/>
              <w:rPr>
                <w:rFonts w:ascii="Arial" w:eastAsia="Times New Roman" w:hAnsi="Arial" w:cs="Arial"/>
                <w:i/>
                <w:iCs/>
                <w:color w:val="000000"/>
                <w:sz w:val="20"/>
                <w:szCs w:val="20"/>
                <w:lang w:eastAsia="en-GB"/>
              </w:rPr>
            </w:pPr>
            <w:r w:rsidRPr="003B2819">
              <w:rPr>
                <w:rFonts w:ascii="Arial" w:eastAsia="Times New Roman" w:hAnsi="Arial" w:cs="Arial"/>
                <w:i/>
                <w:iCs/>
                <w:color w:val="000000"/>
                <w:sz w:val="20"/>
                <w:szCs w:val="20"/>
                <w:lang w:eastAsia="en-GB"/>
              </w:rPr>
              <w:t>Accrued charges</w:t>
            </w:r>
          </w:p>
        </w:tc>
        <w:tc>
          <w:tcPr>
            <w:tcW w:w="1355" w:type="pct"/>
            <w:shd w:val="clear" w:color="auto" w:fill="auto"/>
            <w:vAlign w:val="center"/>
            <w:hideMark/>
          </w:tcPr>
          <w:p w14:paraId="6B3AA043" w14:textId="77777777" w:rsidR="003B2819" w:rsidRPr="003B2819" w:rsidRDefault="003B2819" w:rsidP="003B2819">
            <w:pPr>
              <w:spacing w:after="0" w:line="240" w:lineRule="auto"/>
              <w:jc w:val="right"/>
              <w:rPr>
                <w:rFonts w:ascii="Arial" w:eastAsia="Times New Roman" w:hAnsi="Arial" w:cs="Arial"/>
                <w:i/>
                <w:iCs/>
                <w:color w:val="000000"/>
                <w:sz w:val="20"/>
                <w:szCs w:val="20"/>
                <w:lang w:eastAsia="en-GB"/>
              </w:rPr>
            </w:pPr>
            <w:r w:rsidRPr="003B2819">
              <w:rPr>
                <w:rFonts w:ascii="Arial" w:eastAsia="Times New Roman" w:hAnsi="Arial" w:cs="Arial"/>
                <w:i/>
                <w:iCs/>
                <w:color w:val="000000"/>
                <w:sz w:val="20"/>
                <w:szCs w:val="20"/>
                <w:lang w:eastAsia="en-GB"/>
              </w:rPr>
              <w:t xml:space="preserve">                                   (50,553)</w:t>
            </w:r>
          </w:p>
        </w:tc>
        <w:tc>
          <w:tcPr>
            <w:tcW w:w="1347" w:type="pct"/>
            <w:shd w:val="clear" w:color="auto" w:fill="auto"/>
            <w:vAlign w:val="center"/>
            <w:hideMark/>
          </w:tcPr>
          <w:p w14:paraId="4323291E" w14:textId="77777777" w:rsidR="003B2819" w:rsidRPr="003B2819" w:rsidRDefault="003B2819" w:rsidP="003B2819">
            <w:pPr>
              <w:spacing w:after="0" w:line="240" w:lineRule="auto"/>
              <w:jc w:val="right"/>
              <w:rPr>
                <w:rFonts w:ascii="Arial" w:eastAsia="Times New Roman" w:hAnsi="Arial" w:cs="Arial"/>
                <w:i/>
                <w:iCs/>
                <w:color w:val="000000"/>
                <w:sz w:val="20"/>
                <w:szCs w:val="20"/>
                <w:lang w:eastAsia="en-GB"/>
              </w:rPr>
            </w:pPr>
            <w:r w:rsidRPr="003B2819">
              <w:rPr>
                <w:rFonts w:ascii="Arial" w:eastAsia="Times New Roman" w:hAnsi="Arial" w:cs="Arial"/>
                <w:i/>
                <w:iCs/>
                <w:color w:val="000000"/>
                <w:sz w:val="20"/>
                <w:szCs w:val="20"/>
                <w:lang w:eastAsia="en-GB"/>
              </w:rPr>
              <w:t xml:space="preserve">                                   (39,164)</w:t>
            </w:r>
          </w:p>
        </w:tc>
      </w:tr>
      <w:tr w:rsidR="003B2819" w:rsidRPr="003B2819" w14:paraId="2E0B7478" w14:textId="77777777" w:rsidTr="00BD154D">
        <w:trPr>
          <w:trHeight w:val="119"/>
        </w:trPr>
        <w:tc>
          <w:tcPr>
            <w:tcW w:w="2298" w:type="pct"/>
            <w:shd w:val="clear" w:color="auto" w:fill="auto"/>
            <w:vAlign w:val="center"/>
            <w:hideMark/>
          </w:tcPr>
          <w:p w14:paraId="4854B716" w14:textId="77777777" w:rsidR="003B2819" w:rsidRPr="003B2819" w:rsidRDefault="003B2819" w:rsidP="003B2819">
            <w:pPr>
              <w:spacing w:after="0" w:line="240" w:lineRule="auto"/>
              <w:rPr>
                <w:rFonts w:ascii="Arial" w:eastAsia="Times New Roman" w:hAnsi="Arial" w:cs="Arial"/>
                <w:b/>
                <w:bCs/>
                <w:color w:val="000000"/>
                <w:sz w:val="20"/>
                <w:szCs w:val="20"/>
                <w:lang w:eastAsia="en-GB"/>
              </w:rPr>
            </w:pPr>
            <w:r w:rsidRPr="003B2819">
              <w:rPr>
                <w:rFonts w:ascii="Arial" w:eastAsia="Times New Roman" w:hAnsi="Arial" w:cs="Arial"/>
                <w:b/>
                <w:bCs/>
                <w:color w:val="000000"/>
                <w:sz w:val="20"/>
                <w:szCs w:val="20"/>
                <w:lang w:eastAsia="en-GB"/>
              </w:rPr>
              <w:t> </w:t>
            </w:r>
          </w:p>
        </w:tc>
        <w:tc>
          <w:tcPr>
            <w:tcW w:w="1355" w:type="pct"/>
            <w:shd w:val="clear" w:color="auto" w:fill="auto"/>
            <w:vAlign w:val="center"/>
            <w:hideMark/>
          </w:tcPr>
          <w:p w14:paraId="7500B476" w14:textId="77777777" w:rsidR="003B2819" w:rsidRPr="003B2819" w:rsidRDefault="003B2819" w:rsidP="003B2819">
            <w:pPr>
              <w:spacing w:after="0" w:line="240" w:lineRule="auto"/>
              <w:jc w:val="right"/>
              <w:rPr>
                <w:rFonts w:ascii="Arial" w:eastAsia="Times New Roman" w:hAnsi="Arial" w:cs="Arial"/>
                <w:b/>
                <w:bCs/>
                <w:color w:val="000000"/>
                <w:sz w:val="20"/>
                <w:szCs w:val="20"/>
                <w:lang w:eastAsia="en-GB"/>
              </w:rPr>
            </w:pPr>
            <w:r w:rsidRPr="003B2819">
              <w:rPr>
                <w:rFonts w:ascii="Arial" w:eastAsia="Times New Roman" w:hAnsi="Arial" w:cs="Arial"/>
                <w:b/>
                <w:bCs/>
                <w:color w:val="000000"/>
                <w:sz w:val="20"/>
                <w:szCs w:val="20"/>
                <w:lang w:eastAsia="en-GB"/>
              </w:rPr>
              <w:t xml:space="preserve">                                 (106,440)</w:t>
            </w:r>
          </w:p>
        </w:tc>
        <w:tc>
          <w:tcPr>
            <w:tcW w:w="1347" w:type="pct"/>
            <w:shd w:val="clear" w:color="auto" w:fill="auto"/>
            <w:vAlign w:val="center"/>
            <w:hideMark/>
          </w:tcPr>
          <w:p w14:paraId="3717FB2B" w14:textId="77777777" w:rsidR="003B2819" w:rsidRPr="003B2819" w:rsidRDefault="003B2819" w:rsidP="003B2819">
            <w:pPr>
              <w:spacing w:after="0" w:line="240" w:lineRule="auto"/>
              <w:jc w:val="right"/>
              <w:rPr>
                <w:rFonts w:ascii="Arial" w:eastAsia="Times New Roman" w:hAnsi="Arial" w:cs="Arial"/>
                <w:b/>
                <w:bCs/>
                <w:color w:val="000000"/>
                <w:sz w:val="20"/>
                <w:szCs w:val="20"/>
                <w:lang w:eastAsia="en-GB"/>
              </w:rPr>
            </w:pPr>
            <w:r w:rsidRPr="003B2819">
              <w:rPr>
                <w:rFonts w:ascii="Arial" w:eastAsia="Times New Roman" w:hAnsi="Arial" w:cs="Arial"/>
                <w:b/>
                <w:bCs/>
                <w:color w:val="000000"/>
                <w:sz w:val="20"/>
                <w:szCs w:val="20"/>
                <w:lang w:eastAsia="en-GB"/>
              </w:rPr>
              <w:t xml:space="preserve">                                   (98,303)</w:t>
            </w:r>
          </w:p>
        </w:tc>
      </w:tr>
      <w:tr w:rsidR="003B2819" w:rsidRPr="003B2819" w14:paraId="529768AE" w14:textId="77777777" w:rsidTr="00BD154D">
        <w:trPr>
          <w:trHeight w:val="375"/>
        </w:trPr>
        <w:tc>
          <w:tcPr>
            <w:tcW w:w="2298" w:type="pct"/>
            <w:shd w:val="clear" w:color="000000" w:fill="CCE1EA"/>
            <w:vAlign w:val="center"/>
            <w:hideMark/>
          </w:tcPr>
          <w:p w14:paraId="7E2A13BA" w14:textId="77777777" w:rsidR="003B2819" w:rsidRPr="003B2819" w:rsidRDefault="003B2819" w:rsidP="003B2819">
            <w:pPr>
              <w:spacing w:after="0" w:line="240" w:lineRule="auto"/>
              <w:rPr>
                <w:rFonts w:ascii="Arial" w:eastAsia="Times New Roman" w:hAnsi="Arial" w:cs="Arial"/>
                <w:b/>
                <w:bCs/>
                <w:color w:val="000000"/>
                <w:sz w:val="20"/>
                <w:szCs w:val="20"/>
                <w:lang w:eastAsia="en-GB"/>
              </w:rPr>
            </w:pPr>
            <w:r w:rsidRPr="003B2819">
              <w:rPr>
                <w:rFonts w:ascii="Arial" w:eastAsia="Times New Roman" w:hAnsi="Arial" w:cs="Arial"/>
                <w:b/>
                <w:bCs/>
                <w:color w:val="000000"/>
                <w:sz w:val="20"/>
                <w:szCs w:val="20"/>
                <w:lang w:eastAsia="en-GB"/>
              </w:rPr>
              <w:t>TOTAL LIABILITIES</w:t>
            </w:r>
          </w:p>
        </w:tc>
        <w:tc>
          <w:tcPr>
            <w:tcW w:w="1355" w:type="pct"/>
            <w:shd w:val="clear" w:color="000000" w:fill="CCE1EA"/>
            <w:vAlign w:val="center"/>
            <w:hideMark/>
          </w:tcPr>
          <w:p w14:paraId="2F43D16A" w14:textId="77777777" w:rsidR="003B2819" w:rsidRPr="003B2819" w:rsidRDefault="003B2819" w:rsidP="003B2819">
            <w:pPr>
              <w:spacing w:after="0" w:line="240" w:lineRule="auto"/>
              <w:jc w:val="right"/>
              <w:rPr>
                <w:rFonts w:ascii="Arial" w:eastAsia="Times New Roman" w:hAnsi="Arial" w:cs="Arial"/>
                <w:b/>
                <w:bCs/>
                <w:color w:val="000000"/>
                <w:sz w:val="20"/>
                <w:szCs w:val="20"/>
                <w:lang w:eastAsia="en-GB"/>
              </w:rPr>
            </w:pPr>
            <w:r w:rsidRPr="003B2819">
              <w:rPr>
                <w:rFonts w:ascii="Arial" w:eastAsia="Times New Roman" w:hAnsi="Arial" w:cs="Arial"/>
                <w:b/>
                <w:bCs/>
                <w:color w:val="000000"/>
                <w:sz w:val="20"/>
                <w:szCs w:val="20"/>
                <w:lang w:eastAsia="en-GB"/>
              </w:rPr>
              <w:t xml:space="preserve">                                 (106,440)</w:t>
            </w:r>
          </w:p>
        </w:tc>
        <w:tc>
          <w:tcPr>
            <w:tcW w:w="1347" w:type="pct"/>
            <w:shd w:val="clear" w:color="000000" w:fill="CCE1EA"/>
            <w:vAlign w:val="center"/>
            <w:hideMark/>
          </w:tcPr>
          <w:p w14:paraId="57C59950" w14:textId="77777777" w:rsidR="003B2819" w:rsidRPr="003B2819" w:rsidRDefault="003B2819" w:rsidP="003B2819">
            <w:pPr>
              <w:spacing w:after="0" w:line="240" w:lineRule="auto"/>
              <w:jc w:val="right"/>
              <w:rPr>
                <w:rFonts w:ascii="Arial" w:eastAsia="Times New Roman" w:hAnsi="Arial" w:cs="Arial"/>
                <w:b/>
                <w:bCs/>
                <w:color w:val="000000"/>
                <w:sz w:val="20"/>
                <w:szCs w:val="20"/>
                <w:lang w:eastAsia="en-GB"/>
              </w:rPr>
            </w:pPr>
            <w:r w:rsidRPr="003B2819">
              <w:rPr>
                <w:rFonts w:ascii="Arial" w:eastAsia="Times New Roman" w:hAnsi="Arial" w:cs="Arial"/>
                <w:b/>
                <w:bCs/>
                <w:color w:val="000000"/>
                <w:sz w:val="20"/>
                <w:szCs w:val="20"/>
                <w:lang w:eastAsia="en-GB"/>
              </w:rPr>
              <w:t xml:space="preserve">                                   (98,303)</w:t>
            </w:r>
          </w:p>
        </w:tc>
      </w:tr>
      <w:tr w:rsidR="003B2819" w:rsidRPr="003B2819" w14:paraId="75B92A7E" w14:textId="77777777" w:rsidTr="00BD154D">
        <w:trPr>
          <w:trHeight w:val="77"/>
        </w:trPr>
        <w:tc>
          <w:tcPr>
            <w:tcW w:w="2298" w:type="pct"/>
            <w:shd w:val="clear" w:color="auto" w:fill="auto"/>
            <w:vAlign w:val="center"/>
            <w:hideMark/>
          </w:tcPr>
          <w:p w14:paraId="1597B427" w14:textId="77777777" w:rsidR="003B2819" w:rsidRPr="003B2819" w:rsidRDefault="003B2819" w:rsidP="003B2819">
            <w:pPr>
              <w:spacing w:after="0" w:line="240" w:lineRule="auto"/>
              <w:jc w:val="right"/>
              <w:rPr>
                <w:rFonts w:ascii="Arial" w:eastAsia="Times New Roman" w:hAnsi="Arial" w:cs="Arial"/>
                <w:b/>
                <w:bCs/>
                <w:color w:val="000000"/>
                <w:sz w:val="20"/>
                <w:szCs w:val="20"/>
                <w:lang w:eastAsia="en-GB"/>
              </w:rPr>
            </w:pPr>
          </w:p>
        </w:tc>
        <w:tc>
          <w:tcPr>
            <w:tcW w:w="1355" w:type="pct"/>
            <w:shd w:val="clear" w:color="auto" w:fill="auto"/>
            <w:vAlign w:val="center"/>
            <w:hideMark/>
          </w:tcPr>
          <w:p w14:paraId="77E706F1" w14:textId="77777777" w:rsidR="003B2819" w:rsidRPr="003B2819" w:rsidRDefault="003B2819" w:rsidP="003B2819">
            <w:pPr>
              <w:spacing w:after="0" w:line="240" w:lineRule="auto"/>
              <w:rPr>
                <w:rFonts w:ascii="Arial" w:eastAsia="Times New Roman" w:hAnsi="Arial" w:cs="Arial"/>
                <w:sz w:val="20"/>
                <w:szCs w:val="20"/>
                <w:lang w:eastAsia="en-GB"/>
              </w:rPr>
            </w:pPr>
          </w:p>
        </w:tc>
        <w:tc>
          <w:tcPr>
            <w:tcW w:w="1347" w:type="pct"/>
            <w:shd w:val="clear" w:color="auto" w:fill="auto"/>
            <w:vAlign w:val="center"/>
            <w:hideMark/>
          </w:tcPr>
          <w:p w14:paraId="75025664" w14:textId="77777777" w:rsidR="003B2819" w:rsidRPr="003B2819" w:rsidRDefault="003B2819" w:rsidP="003B2819">
            <w:pPr>
              <w:spacing w:after="0" w:line="240" w:lineRule="auto"/>
              <w:jc w:val="right"/>
              <w:rPr>
                <w:rFonts w:ascii="Arial" w:eastAsia="Times New Roman" w:hAnsi="Arial" w:cs="Arial"/>
                <w:sz w:val="20"/>
                <w:szCs w:val="20"/>
                <w:lang w:eastAsia="en-GB"/>
              </w:rPr>
            </w:pPr>
          </w:p>
        </w:tc>
      </w:tr>
      <w:tr w:rsidR="003B2819" w:rsidRPr="003B2819" w14:paraId="7F3880DB" w14:textId="77777777" w:rsidTr="00BD154D">
        <w:trPr>
          <w:trHeight w:val="375"/>
        </w:trPr>
        <w:tc>
          <w:tcPr>
            <w:tcW w:w="2298" w:type="pct"/>
            <w:shd w:val="clear" w:color="000000" w:fill="CCE1EA"/>
            <w:vAlign w:val="center"/>
            <w:hideMark/>
          </w:tcPr>
          <w:p w14:paraId="5BA020D4" w14:textId="77777777" w:rsidR="003B2819" w:rsidRPr="003B2819" w:rsidRDefault="003B2819" w:rsidP="003B2819">
            <w:pPr>
              <w:spacing w:after="0" w:line="240" w:lineRule="auto"/>
              <w:rPr>
                <w:rFonts w:ascii="Arial" w:eastAsia="Times New Roman" w:hAnsi="Arial" w:cs="Arial"/>
                <w:b/>
                <w:bCs/>
                <w:color w:val="000000"/>
                <w:sz w:val="20"/>
                <w:szCs w:val="20"/>
                <w:lang w:eastAsia="en-GB"/>
              </w:rPr>
            </w:pPr>
            <w:r w:rsidRPr="003B2819">
              <w:rPr>
                <w:rFonts w:ascii="Arial" w:eastAsia="Times New Roman" w:hAnsi="Arial" w:cs="Arial"/>
                <w:b/>
                <w:bCs/>
                <w:color w:val="000000"/>
                <w:sz w:val="20"/>
                <w:szCs w:val="20"/>
                <w:lang w:eastAsia="en-GB"/>
              </w:rPr>
              <w:t>NET ASSETS</w:t>
            </w:r>
          </w:p>
        </w:tc>
        <w:tc>
          <w:tcPr>
            <w:tcW w:w="1355" w:type="pct"/>
            <w:shd w:val="clear" w:color="000000" w:fill="CCE1EA"/>
            <w:vAlign w:val="center"/>
            <w:hideMark/>
          </w:tcPr>
          <w:p w14:paraId="29184500" w14:textId="77777777" w:rsidR="003B2819" w:rsidRPr="003B2819" w:rsidRDefault="003B2819" w:rsidP="003B2819">
            <w:pPr>
              <w:spacing w:after="0" w:line="240" w:lineRule="auto"/>
              <w:jc w:val="right"/>
              <w:rPr>
                <w:rFonts w:ascii="Arial" w:eastAsia="Times New Roman" w:hAnsi="Arial" w:cs="Arial"/>
                <w:b/>
                <w:bCs/>
                <w:color w:val="000000"/>
                <w:sz w:val="20"/>
                <w:szCs w:val="20"/>
                <w:lang w:eastAsia="en-GB"/>
              </w:rPr>
            </w:pPr>
            <w:r w:rsidRPr="003B2819">
              <w:rPr>
                <w:rFonts w:ascii="Arial" w:eastAsia="Times New Roman" w:hAnsi="Arial" w:cs="Arial"/>
                <w:b/>
                <w:bCs/>
                <w:color w:val="000000"/>
                <w:sz w:val="20"/>
                <w:szCs w:val="20"/>
                <w:lang w:eastAsia="en-GB"/>
              </w:rPr>
              <w:t xml:space="preserve">                                      31,163 </w:t>
            </w:r>
          </w:p>
        </w:tc>
        <w:tc>
          <w:tcPr>
            <w:tcW w:w="1347" w:type="pct"/>
            <w:shd w:val="clear" w:color="000000" w:fill="CCE1EA"/>
            <w:vAlign w:val="center"/>
            <w:hideMark/>
          </w:tcPr>
          <w:p w14:paraId="231BDEA1" w14:textId="77777777" w:rsidR="003B2819" w:rsidRPr="003B2819" w:rsidRDefault="003B2819" w:rsidP="003B2819">
            <w:pPr>
              <w:spacing w:after="0" w:line="240" w:lineRule="auto"/>
              <w:jc w:val="right"/>
              <w:rPr>
                <w:rFonts w:ascii="Arial" w:eastAsia="Times New Roman" w:hAnsi="Arial" w:cs="Arial"/>
                <w:b/>
                <w:bCs/>
                <w:color w:val="000000"/>
                <w:sz w:val="20"/>
                <w:szCs w:val="20"/>
                <w:lang w:eastAsia="en-GB"/>
              </w:rPr>
            </w:pPr>
            <w:r w:rsidRPr="003B2819">
              <w:rPr>
                <w:rFonts w:ascii="Arial" w:eastAsia="Times New Roman" w:hAnsi="Arial" w:cs="Arial"/>
                <w:b/>
                <w:bCs/>
                <w:color w:val="000000"/>
                <w:sz w:val="20"/>
                <w:szCs w:val="20"/>
                <w:lang w:eastAsia="en-GB"/>
              </w:rPr>
              <w:t xml:space="preserve">                                     71,628 </w:t>
            </w:r>
          </w:p>
        </w:tc>
      </w:tr>
      <w:tr w:rsidR="003B2819" w:rsidRPr="003B2819" w14:paraId="1EE2F6A0" w14:textId="77777777" w:rsidTr="00BD154D">
        <w:trPr>
          <w:trHeight w:val="375"/>
        </w:trPr>
        <w:tc>
          <w:tcPr>
            <w:tcW w:w="2298" w:type="pct"/>
            <w:shd w:val="clear" w:color="auto" w:fill="auto"/>
            <w:vAlign w:val="center"/>
            <w:hideMark/>
          </w:tcPr>
          <w:p w14:paraId="4670EE78" w14:textId="77777777" w:rsidR="003B2819" w:rsidRPr="003B2819" w:rsidRDefault="003B2819" w:rsidP="003B2819">
            <w:pPr>
              <w:spacing w:after="0" w:line="240" w:lineRule="auto"/>
              <w:rPr>
                <w:rFonts w:ascii="Arial" w:eastAsia="Times New Roman" w:hAnsi="Arial" w:cs="Arial"/>
                <w:i/>
                <w:iCs/>
                <w:color w:val="000000"/>
                <w:sz w:val="20"/>
                <w:szCs w:val="20"/>
                <w:lang w:eastAsia="en-GB"/>
              </w:rPr>
            </w:pPr>
            <w:r w:rsidRPr="003B2819">
              <w:rPr>
                <w:rFonts w:ascii="Arial" w:eastAsia="Times New Roman" w:hAnsi="Arial" w:cs="Arial"/>
                <w:i/>
                <w:iCs/>
                <w:color w:val="000000"/>
                <w:sz w:val="20"/>
                <w:szCs w:val="20"/>
                <w:lang w:eastAsia="en-GB"/>
              </w:rPr>
              <w:t>Contribution from Members</w:t>
            </w:r>
          </w:p>
        </w:tc>
        <w:tc>
          <w:tcPr>
            <w:tcW w:w="1355" w:type="pct"/>
            <w:shd w:val="clear" w:color="auto" w:fill="auto"/>
            <w:vAlign w:val="center"/>
            <w:hideMark/>
          </w:tcPr>
          <w:p w14:paraId="75795E50" w14:textId="77777777" w:rsidR="003B2819" w:rsidRPr="003B2819" w:rsidRDefault="003B2819" w:rsidP="003B2819">
            <w:pPr>
              <w:spacing w:after="0" w:line="240" w:lineRule="auto"/>
              <w:jc w:val="right"/>
              <w:rPr>
                <w:rFonts w:ascii="Arial" w:eastAsia="Times New Roman" w:hAnsi="Arial" w:cs="Arial"/>
                <w:i/>
                <w:iCs/>
                <w:color w:val="000000"/>
                <w:sz w:val="20"/>
                <w:szCs w:val="20"/>
                <w:lang w:eastAsia="en-GB"/>
              </w:rPr>
            </w:pPr>
            <w:r w:rsidRPr="003B2819">
              <w:rPr>
                <w:rFonts w:ascii="Arial" w:eastAsia="Times New Roman" w:hAnsi="Arial" w:cs="Arial"/>
                <w:i/>
                <w:iCs/>
                <w:color w:val="000000"/>
                <w:sz w:val="20"/>
                <w:szCs w:val="20"/>
                <w:lang w:eastAsia="en-GB"/>
              </w:rPr>
              <w:t xml:space="preserve">                             (1,483,783)</w:t>
            </w:r>
          </w:p>
        </w:tc>
        <w:tc>
          <w:tcPr>
            <w:tcW w:w="1347" w:type="pct"/>
            <w:shd w:val="clear" w:color="auto" w:fill="auto"/>
            <w:vAlign w:val="center"/>
            <w:hideMark/>
          </w:tcPr>
          <w:p w14:paraId="4C241268" w14:textId="77777777" w:rsidR="003B2819" w:rsidRPr="003B2819" w:rsidRDefault="003B2819" w:rsidP="003B2819">
            <w:pPr>
              <w:spacing w:after="0" w:line="240" w:lineRule="auto"/>
              <w:jc w:val="right"/>
              <w:rPr>
                <w:rFonts w:ascii="Arial" w:eastAsia="Times New Roman" w:hAnsi="Arial" w:cs="Arial"/>
                <w:i/>
                <w:iCs/>
                <w:color w:val="000000"/>
                <w:sz w:val="20"/>
                <w:szCs w:val="20"/>
                <w:lang w:eastAsia="en-GB"/>
              </w:rPr>
            </w:pPr>
            <w:r w:rsidRPr="003B2819">
              <w:rPr>
                <w:rFonts w:ascii="Arial" w:eastAsia="Times New Roman" w:hAnsi="Arial" w:cs="Arial"/>
                <w:i/>
                <w:iCs/>
                <w:color w:val="000000"/>
                <w:sz w:val="20"/>
                <w:szCs w:val="20"/>
                <w:lang w:eastAsia="en-GB"/>
              </w:rPr>
              <w:t xml:space="preserve">                            (1,403,608)</w:t>
            </w:r>
          </w:p>
        </w:tc>
      </w:tr>
      <w:tr w:rsidR="003B2819" w:rsidRPr="003B2819" w14:paraId="0C4F6BC0" w14:textId="77777777" w:rsidTr="00BD154D">
        <w:trPr>
          <w:trHeight w:val="375"/>
        </w:trPr>
        <w:tc>
          <w:tcPr>
            <w:tcW w:w="2298" w:type="pct"/>
            <w:shd w:val="clear" w:color="auto" w:fill="auto"/>
            <w:vAlign w:val="center"/>
            <w:hideMark/>
          </w:tcPr>
          <w:p w14:paraId="041C1F9C" w14:textId="77777777" w:rsidR="003B2819" w:rsidRPr="003B2819" w:rsidRDefault="003B2819" w:rsidP="003B2819">
            <w:pPr>
              <w:spacing w:after="0" w:line="240" w:lineRule="auto"/>
              <w:rPr>
                <w:rFonts w:ascii="Arial" w:eastAsia="Times New Roman" w:hAnsi="Arial" w:cs="Arial"/>
                <w:i/>
                <w:iCs/>
                <w:color w:val="000000"/>
                <w:sz w:val="20"/>
                <w:szCs w:val="20"/>
                <w:lang w:eastAsia="en-GB"/>
              </w:rPr>
            </w:pPr>
            <w:r w:rsidRPr="003B2819">
              <w:rPr>
                <w:rFonts w:ascii="Arial" w:eastAsia="Times New Roman" w:hAnsi="Arial" w:cs="Arial"/>
                <w:i/>
                <w:iCs/>
                <w:color w:val="000000"/>
                <w:sz w:val="20"/>
                <w:szCs w:val="20"/>
                <w:lang w:eastAsia="en-GB"/>
              </w:rPr>
              <w:t>Accumulated deficit</w:t>
            </w:r>
          </w:p>
        </w:tc>
        <w:tc>
          <w:tcPr>
            <w:tcW w:w="1355" w:type="pct"/>
            <w:shd w:val="clear" w:color="auto" w:fill="auto"/>
            <w:vAlign w:val="center"/>
            <w:hideMark/>
          </w:tcPr>
          <w:p w14:paraId="45F56216" w14:textId="77777777" w:rsidR="003B2819" w:rsidRPr="003B2819" w:rsidRDefault="003B2819" w:rsidP="003B2819">
            <w:pPr>
              <w:spacing w:after="0" w:line="240" w:lineRule="auto"/>
              <w:jc w:val="right"/>
              <w:rPr>
                <w:rFonts w:ascii="Arial" w:eastAsia="Times New Roman" w:hAnsi="Arial" w:cs="Arial"/>
                <w:i/>
                <w:iCs/>
                <w:color w:val="000000"/>
                <w:sz w:val="20"/>
                <w:szCs w:val="20"/>
                <w:lang w:eastAsia="en-GB"/>
              </w:rPr>
            </w:pPr>
            <w:r w:rsidRPr="003B2819">
              <w:rPr>
                <w:rFonts w:ascii="Arial" w:eastAsia="Times New Roman" w:hAnsi="Arial" w:cs="Arial"/>
                <w:i/>
                <w:iCs/>
                <w:color w:val="000000"/>
                <w:sz w:val="20"/>
                <w:szCs w:val="20"/>
                <w:lang w:eastAsia="en-GB"/>
              </w:rPr>
              <w:t xml:space="preserve">                               1,331,981 </w:t>
            </w:r>
          </w:p>
        </w:tc>
        <w:tc>
          <w:tcPr>
            <w:tcW w:w="1347" w:type="pct"/>
            <w:shd w:val="clear" w:color="auto" w:fill="auto"/>
            <w:vAlign w:val="center"/>
            <w:hideMark/>
          </w:tcPr>
          <w:p w14:paraId="71C0CB98" w14:textId="77777777" w:rsidR="003B2819" w:rsidRPr="003B2819" w:rsidRDefault="003B2819" w:rsidP="003B2819">
            <w:pPr>
              <w:spacing w:after="0" w:line="240" w:lineRule="auto"/>
              <w:jc w:val="right"/>
              <w:rPr>
                <w:rFonts w:ascii="Arial" w:eastAsia="Times New Roman" w:hAnsi="Arial" w:cs="Arial"/>
                <w:i/>
                <w:iCs/>
                <w:color w:val="000000"/>
                <w:sz w:val="20"/>
                <w:szCs w:val="20"/>
                <w:lang w:eastAsia="en-GB"/>
              </w:rPr>
            </w:pPr>
            <w:r w:rsidRPr="003B2819">
              <w:rPr>
                <w:rFonts w:ascii="Arial" w:eastAsia="Times New Roman" w:hAnsi="Arial" w:cs="Arial"/>
                <w:i/>
                <w:iCs/>
                <w:color w:val="000000"/>
                <w:sz w:val="20"/>
                <w:szCs w:val="20"/>
                <w:lang w:eastAsia="en-GB"/>
              </w:rPr>
              <w:t xml:space="preserve">                              1,238,612 </w:t>
            </w:r>
          </w:p>
        </w:tc>
      </w:tr>
      <w:tr w:rsidR="003B2819" w:rsidRPr="003B2819" w14:paraId="1B7751B6" w14:textId="77777777" w:rsidTr="00BD154D">
        <w:trPr>
          <w:trHeight w:val="390"/>
        </w:trPr>
        <w:tc>
          <w:tcPr>
            <w:tcW w:w="2298" w:type="pct"/>
            <w:shd w:val="clear" w:color="auto" w:fill="auto"/>
            <w:vAlign w:val="center"/>
            <w:hideMark/>
          </w:tcPr>
          <w:p w14:paraId="5DE55D05" w14:textId="77777777" w:rsidR="003B2819" w:rsidRPr="003B2819" w:rsidRDefault="003B2819" w:rsidP="003B2819">
            <w:pPr>
              <w:spacing w:after="0" w:line="240" w:lineRule="auto"/>
              <w:rPr>
                <w:rFonts w:ascii="Arial" w:eastAsia="Times New Roman" w:hAnsi="Arial" w:cs="Arial"/>
                <w:i/>
                <w:iCs/>
                <w:color w:val="000000"/>
                <w:sz w:val="20"/>
                <w:szCs w:val="20"/>
                <w:lang w:eastAsia="en-GB"/>
              </w:rPr>
            </w:pPr>
            <w:r w:rsidRPr="003B2819">
              <w:rPr>
                <w:rFonts w:ascii="Arial" w:eastAsia="Times New Roman" w:hAnsi="Arial" w:cs="Arial"/>
                <w:i/>
                <w:iCs/>
                <w:color w:val="000000"/>
                <w:sz w:val="20"/>
                <w:szCs w:val="20"/>
                <w:lang w:eastAsia="en-GB"/>
              </w:rPr>
              <w:t>Economic result of the year</w:t>
            </w:r>
          </w:p>
        </w:tc>
        <w:tc>
          <w:tcPr>
            <w:tcW w:w="1355" w:type="pct"/>
            <w:shd w:val="clear" w:color="auto" w:fill="auto"/>
            <w:vAlign w:val="center"/>
            <w:hideMark/>
          </w:tcPr>
          <w:p w14:paraId="432E7277" w14:textId="77777777" w:rsidR="003B2819" w:rsidRPr="003B2819" w:rsidRDefault="003B2819" w:rsidP="003B2819">
            <w:pPr>
              <w:spacing w:after="0" w:line="240" w:lineRule="auto"/>
              <w:jc w:val="right"/>
              <w:rPr>
                <w:rFonts w:ascii="Arial" w:eastAsia="Times New Roman" w:hAnsi="Arial" w:cs="Arial"/>
                <w:i/>
                <w:iCs/>
                <w:color w:val="000000"/>
                <w:sz w:val="20"/>
                <w:szCs w:val="20"/>
                <w:lang w:eastAsia="en-GB"/>
              </w:rPr>
            </w:pPr>
            <w:r w:rsidRPr="003B2819">
              <w:rPr>
                <w:rFonts w:ascii="Arial" w:eastAsia="Times New Roman" w:hAnsi="Arial" w:cs="Arial"/>
                <w:i/>
                <w:iCs/>
                <w:color w:val="000000"/>
                <w:sz w:val="20"/>
                <w:szCs w:val="20"/>
                <w:lang w:eastAsia="en-GB"/>
              </w:rPr>
              <w:t xml:space="preserve">                                  120,639 </w:t>
            </w:r>
          </w:p>
        </w:tc>
        <w:tc>
          <w:tcPr>
            <w:tcW w:w="1347" w:type="pct"/>
            <w:shd w:val="clear" w:color="auto" w:fill="auto"/>
            <w:vAlign w:val="center"/>
            <w:hideMark/>
          </w:tcPr>
          <w:p w14:paraId="67EA1D6A" w14:textId="77777777" w:rsidR="003B2819" w:rsidRPr="003B2819" w:rsidRDefault="003B2819" w:rsidP="003B2819">
            <w:pPr>
              <w:spacing w:after="0" w:line="240" w:lineRule="auto"/>
              <w:jc w:val="right"/>
              <w:rPr>
                <w:rFonts w:ascii="Arial" w:eastAsia="Times New Roman" w:hAnsi="Arial" w:cs="Arial"/>
                <w:i/>
                <w:iCs/>
                <w:color w:val="000000"/>
                <w:sz w:val="20"/>
                <w:szCs w:val="20"/>
                <w:lang w:eastAsia="en-GB"/>
              </w:rPr>
            </w:pPr>
            <w:r w:rsidRPr="003B2819">
              <w:rPr>
                <w:rFonts w:ascii="Arial" w:eastAsia="Times New Roman" w:hAnsi="Arial" w:cs="Arial"/>
                <w:i/>
                <w:iCs/>
                <w:color w:val="000000"/>
                <w:sz w:val="20"/>
                <w:szCs w:val="20"/>
                <w:lang w:eastAsia="en-GB"/>
              </w:rPr>
              <w:t xml:space="preserve">                                     93,368 </w:t>
            </w:r>
          </w:p>
        </w:tc>
      </w:tr>
      <w:tr w:rsidR="003B2819" w:rsidRPr="003B2819" w14:paraId="41909F34" w14:textId="77777777" w:rsidTr="00BD154D">
        <w:trPr>
          <w:trHeight w:val="375"/>
        </w:trPr>
        <w:tc>
          <w:tcPr>
            <w:tcW w:w="2298" w:type="pct"/>
            <w:shd w:val="clear" w:color="000000" w:fill="CCE1EA"/>
            <w:vAlign w:val="center"/>
            <w:hideMark/>
          </w:tcPr>
          <w:p w14:paraId="471BBAF6" w14:textId="77777777" w:rsidR="003B2819" w:rsidRPr="003B2819" w:rsidRDefault="003B2819" w:rsidP="003B2819">
            <w:pPr>
              <w:spacing w:after="0" w:line="240" w:lineRule="auto"/>
              <w:rPr>
                <w:rFonts w:ascii="Arial" w:eastAsia="Times New Roman" w:hAnsi="Arial" w:cs="Arial"/>
                <w:b/>
                <w:bCs/>
                <w:color w:val="000000"/>
                <w:sz w:val="20"/>
                <w:szCs w:val="20"/>
                <w:lang w:eastAsia="en-GB"/>
              </w:rPr>
            </w:pPr>
            <w:r w:rsidRPr="003B2819">
              <w:rPr>
                <w:rFonts w:ascii="Arial" w:eastAsia="Times New Roman" w:hAnsi="Arial" w:cs="Arial"/>
                <w:b/>
                <w:bCs/>
                <w:color w:val="000000"/>
                <w:sz w:val="20"/>
                <w:szCs w:val="20"/>
                <w:lang w:eastAsia="en-GB"/>
              </w:rPr>
              <w:t>NET ASSETS</w:t>
            </w:r>
          </w:p>
        </w:tc>
        <w:tc>
          <w:tcPr>
            <w:tcW w:w="1355" w:type="pct"/>
            <w:shd w:val="clear" w:color="000000" w:fill="CCE1EA"/>
            <w:vAlign w:val="center"/>
            <w:hideMark/>
          </w:tcPr>
          <w:p w14:paraId="0DE041DE" w14:textId="77777777" w:rsidR="003B2819" w:rsidRPr="003B2819" w:rsidRDefault="003B2819" w:rsidP="003B2819">
            <w:pPr>
              <w:spacing w:after="0" w:line="240" w:lineRule="auto"/>
              <w:jc w:val="right"/>
              <w:rPr>
                <w:rFonts w:ascii="Arial" w:eastAsia="Times New Roman" w:hAnsi="Arial" w:cs="Arial"/>
                <w:b/>
                <w:bCs/>
                <w:color w:val="000000"/>
                <w:sz w:val="20"/>
                <w:szCs w:val="20"/>
                <w:lang w:eastAsia="en-GB"/>
              </w:rPr>
            </w:pPr>
            <w:r w:rsidRPr="003B2819">
              <w:rPr>
                <w:rFonts w:ascii="Arial" w:eastAsia="Times New Roman" w:hAnsi="Arial" w:cs="Arial"/>
                <w:b/>
                <w:bCs/>
                <w:color w:val="000000"/>
                <w:sz w:val="20"/>
                <w:szCs w:val="20"/>
                <w:lang w:eastAsia="en-GB"/>
              </w:rPr>
              <w:t xml:space="preserve">                                    (31,163)</w:t>
            </w:r>
          </w:p>
        </w:tc>
        <w:tc>
          <w:tcPr>
            <w:tcW w:w="1347" w:type="pct"/>
            <w:shd w:val="clear" w:color="000000" w:fill="CCE1EA"/>
            <w:vAlign w:val="center"/>
            <w:hideMark/>
          </w:tcPr>
          <w:p w14:paraId="6F4B9499" w14:textId="77777777" w:rsidR="003B2819" w:rsidRPr="003B2819" w:rsidRDefault="003B2819" w:rsidP="003B2819">
            <w:pPr>
              <w:spacing w:after="0" w:line="240" w:lineRule="auto"/>
              <w:jc w:val="right"/>
              <w:rPr>
                <w:rFonts w:ascii="Arial" w:eastAsia="Times New Roman" w:hAnsi="Arial" w:cs="Arial"/>
                <w:b/>
                <w:bCs/>
                <w:color w:val="000000"/>
                <w:sz w:val="20"/>
                <w:szCs w:val="20"/>
                <w:lang w:eastAsia="en-GB"/>
              </w:rPr>
            </w:pPr>
            <w:r w:rsidRPr="003B2819">
              <w:rPr>
                <w:rFonts w:ascii="Arial" w:eastAsia="Times New Roman" w:hAnsi="Arial" w:cs="Arial"/>
                <w:b/>
                <w:bCs/>
                <w:color w:val="000000"/>
                <w:sz w:val="20"/>
                <w:szCs w:val="20"/>
                <w:lang w:eastAsia="en-GB"/>
              </w:rPr>
              <w:t xml:space="preserve">                                   (71,628)</w:t>
            </w:r>
          </w:p>
        </w:tc>
      </w:tr>
    </w:tbl>
    <w:p w14:paraId="449619BA" w14:textId="469394F9" w:rsidR="003B2819" w:rsidRDefault="003B2819" w:rsidP="003B2819">
      <w:pPr>
        <w:spacing w:after="100" w:afterAutospacing="1"/>
        <w:jc w:val="center"/>
        <w:rPr>
          <w:rFonts w:asciiTheme="minorHAnsi" w:hAnsiTheme="minorHAnsi"/>
        </w:rPr>
      </w:pPr>
    </w:p>
    <w:p w14:paraId="26C6F4AB" w14:textId="320058CE" w:rsidR="003B2819" w:rsidRDefault="003B2819" w:rsidP="003B2819">
      <w:pPr>
        <w:spacing w:after="100" w:afterAutospacing="1"/>
        <w:jc w:val="center"/>
        <w:rPr>
          <w:rFonts w:asciiTheme="minorHAnsi" w:hAnsiTheme="minorHAnsi"/>
        </w:rPr>
      </w:pPr>
    </w:p>
    <w:p w14:paraId="525BABE1" w14:textId="21DDB6CC" w:rsidR="00BD154D" w:rsidRDefault="00BD154D" w:rsidP="003B2819">
      <w:pPr>
        <w:spacing w:after="100" w:afterAutospacing="1"/>
        <w:jc w:val="center"/>
        <w:rPr>
          <w:rFonts w:asciiTheme="minorHAnsi" w:hAnsiTheme="minorHAnsi"/>
        </w:rPr>
      </w:pPr>
    </w:p>
    <w:p w14:paraId="51BA84B4" w14:textId="77777777" w:rsidR="00BD154D" w:rsidRDefault="00BD154D" w:rsidP="003B2819">
      <w:pPr>
        <w:spacing w:after="100" w:afterAutospacing="1"/>
        <w:jc w:val="center"/>
        <w:rPr>
          <w:rFonts w:asciiTheme="minorHAnsi" w:hAnsiTheme="minorHAnsi"/>
        </w:rPr>
      </w:pPr>
    </w:p>
    <w:p w14:paraId="0A08EB41" w14:textId="77777777" w:rsidR="003B2819" w:rsidRDefault="003B2819" w:rsidP="003B2819">
      <w:pPr>
        <w:spacing w:after="100" w:afterAutospacing="1"/>
        <w:jc w:val="center"/>
        <w:rPr>
          <w:rFonts w:asciiTheme="minorHAnsi" w:hAnsiTheme="minorHAnsi"/>
        </w:rPr>
      </w:pPr>
    </w:p>
    <w:tbl>
      <w:tblPr>
        <w:tblW w:w="9560" w:type="dxa"/>
        <w:jc w:val="center"/>
        <w:tblLook w:val="04A0" w:firstRow="1" w:lastRow="0" w:firstColumn="1" w:lastColumn="0" w:noHBand="0" w:noVBand="1"/>
      </w:tblPr>
      <w:tblGrid>
        <w:gridCol w:w="5200"/>
        <w:gridCol w:w="2260"/>
        <w:gridCol w:w="2100"/>
      </w:tblGrid>
      <w:tr w:rsidR="003B2819" w:rsidRPr="003B2819" w14:paraId="3161E5D3" w14:textId="77777777" w:rsidTr="003B2819">
        <w:trPr>
          <w:trHeight w:val="375"/>
          <w:jc w:val="center"/>
        </w:trPr>
        <w:tc>
          <w:tcPr>
            <w:tcW w:w="956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E8B4EFC" w14:textId="77777777" w:rsidR="003B2819" w:rsidRPr="003B2819" w:rsidRDefault="003B2819" w:rsidP="003B2819">
            <w:pPr>
              <w:spacing w:after="0" w:line="240" w:lineRule="auto"/>
              <w:jc w:val="center"/>
              <w:rPr>
                <w:rFonts w:ascii="Arial" w:eastAsia="Times New Roman" w:hAnsi="Arial" w:cs="Arial"/>
                <w:color w:val="000000"/>
                <w:lang w:eastAsia="en-GB"/>
              </w:rPr>
            </w:pPr>
            <w:r w:rsidRPr="003B2819">
              <w:rPr>
                <w:rFonts w:ascii="Arial" w:eastAsia="Times New Roman" w:hAnsi="Arial" w:cs="Arial"/>
                <w:color w:val="000000"/>
                <w:lang w:eastAsia="en-GB"/>
              </w:rPr>
              <w:t>Statement of financial performance</w:t>
            </w:r>
          </w:p>
        </w:tc>
      </w:tr>
      <w:tr w:rsidR="003B2819" w:rsidRPr="003B2819" w14:paraId="106091D0" w14:textId="77777777" w:rsidTr="003B2819">
        <w:trPr>
          <w:trHeight w:val="375"/>
          <w:jc w:val="center"/>
        </w:trPr>
        <w:tc>
          <w:tcPr>
            <w:tcW w:w="5200" w:type="dxa"/>
            <w:tcBorders>
              <w:top w:val="single" w:sz="4" w:space="0" w:color="auto"/>
              <w:left w:val="single" w:sz="4" w:space="0" w:color="auto"/>
              <w:bottom w:val="single" w:sz="4" w:space="0" w:color="auto"/>
              <w:right w:val="nil"/>
            </w:tcBorders>
            <w:shd w:val="clear" w:color="auto" w:fill="auto"/>
            <w:vAlign w:val="center"/>
            <w:hideMark/>
          </w:tcPr>
          <w:p w14:paraId="13BAA60C" w14:textId="77777777" w:rsidR="003B2819" w:rsidRPr="003B2819" w:rsidRDefault="003B2819" w:rsidP="003B2819">
            <w:pPr>
              <w:spacing w:after="0" w:line="240" w:lineRule="auto"/>
              <w:jc w:val="center"/>
              <w:rPr>
                <w:rFonts w:ascii="Arial" w:eastAsia="Times New Roman" w:hAnsi="Arial" w:cs="Arial"/>
                <w:color w:val="000000"/>
                <w:lang w:eastAsia="en-GB"/>
              </w:rPr>
            </w:pPr>
          </w:p>
        </w:tc>
        <w:tc>
          <w:tcPr>
            <w:tcW w:w="2260" w:type="dxa"/>
            <w:tcBorders>
              <w:top w:val="single" w:sz="4" w:space="0" w:color="auto"/>
              <w:left w:val="nil"/>
              <w:bottom w:val="single" w:sz="4" w:space="0" w:color="auto"/>
              <w:right w:val="nil"/>
            </w:tcBorders>
            <w:shd w:val="clear" w:color="auto" w:fill="auto"/>
            <w:vAlign w:val="center"/>
            <w:hideMark/>
          </w:tcPr>
          <w:p w14:paraId="7A80DE64" w14:textId="77777777" w:rsidR="003B2819" w:rsidRPr="003B2819" w:rsidRDefault="003B2819" w:rsidP="003B2819">
            <w:pPr>
              <w:spacing w:after="0" w:line="240" w:lineRule="auto"/>
              <w:jc w:val="center"/>
              <w:rPr>
                <w:rFonts w:ascii="Arial" w:eastAsia="Times New Roman" w:hAnsi="Arial" w:cs="Arial"/>
                <w:lang w:eastAsia="en-GB"/>
              </w:rPr>
            </w:pPr>
          </w:p>
        </w:tc>
        <w:tc>
          <w:tcPr>
            <w:tcW w:w="2100" w:type="dxa"/>
            <w:tcBorders>
              <w:top w:val="single" w:sz="4" w:space="0" w:color="auto"/>
              <w:left w:val="nil"/>
              <w:bottom w:val="single" w:sz="4" w:space="0" w:color="auto"/>
              <w:right w:val="single" w:sz="4" w:space="0" w:color="auto"/>
            </w:tcBorders>
            <w:shd w:val="clear" w:color="auto" w:fill="auto"/>
            <w:vAlign w:val="center"/>
            <w:hideMark/>
          </w:tcPr>
          <w:p w14:paraId="3CE09FD5" w14:textId="77777777" w:rsidR="003B2819" w:rsidRPr="003B2819" w:rsidRDefault="003B2819" w:rsidP="003B2819">
            <w:pPr>
              <w:spacing w:after="0" w:line="240" w:lineRule="auto"/>
              <w:jc w:val="center"/>
              <w:rPr>
                <w:rFonts w:ascii="Arial" w:eastAsia="Times New Roman" w:hAnsi="Arial" w:cs="Arial"/>
                <w:color w:val="000000"/>
                <w:lang w:eastAsia="en-GB"/>
              </w:rPr>
            </w:pPr>
            <w:r w:rsidRPr="003B2819">
              <w:rPr>
                <w:rFonts w:ascii="Arial" w:eastAsia="Times New Roman" w:hAnsi="Arial" w:cs="Arial"/>
                <w:color w:val="000000"/>
                <w:lang w:eastAsia="en-GB"/>
              </w:rPr>
              <w:t>EUR '000</w:t>
            </w:r>
          </w:p>
        </w:tc>
      </w:tr>
      <w:tr w:rsidR="003B2819" w:rsidRPr="003B2819" w14:paraId="095DBBA7" w14:textId="77777777" w:rsidTr="003B2819">
        <w:trPr>
          <w:trHeight w:val="375"/>
          <w:jc w:val="center"/>
        </w:trPr>
        <w:tc>
          <w:tcPr>
            <w:tcW w:w="5200" w:type="dxa"/>
            <w:tcBorders>
              <w:top w:val="single" w:sz="4" w:space="0" w:color="auto"/>
              <w:left w:val="single" w:sz="4" w:space="0" w:color="auto"/>
              <w:bottom w:val="single" w:sz="4" w:space="0" w:color="auto"/>
              <w:right w:val="single" w:sz="4" w:space="0" w:color="auto"/>
            </w:tcBorders>
            <w:shd w:val="clear" w:color="000000" w:fill="016794"/>
            <w:vAlign w:val="center"/>
            <w:hideMark/>
          </w:tcPr>
          <w:p w14:paraId="63C68D76" w14:textId="77777777" w:rsidR="003B2819" w:rsidRPr="003B2819" w:rsidRDefault="003B2819" w:rsidP="003B2819">
            <w:pPr>
              <w:spacing w:after="0" w:line="240" w:lineRule="auto"/>
              <w:rPr>
                <w:rFonts w:ascii="Arial" w:eastAsia="Times New Roman" w:hAnsi="Arial" w:cs="Arial"/>
                <w:color w:val="FFFFFF"/>
                <w:lang w:eastAsia="en-GB"/>
              </w:rPr>
            </w:pPr>
            <w:r w:rsidRPr="003B2819">
              <w:rPr>
                <w:rFonts w:ascii="Arial" w:eastAsia="Times New Roman" w:hAnsi="Arial" w:cs="Arial"/>
                <w:color w:val="FFFFFF"/>
                <w:lang w:eastAsia="en-GB"/>
              </w:rPr>
              <w:t> </w:t>
            </w:r>
          </w:p>
        </w:tc>
        <w:tc>
          <w:tcPr>
            <w:tcW w:w="2260" w:type="dxa"/>
            <w:tcBorders>
              <w:top w:val="single" w:sz="4" w:space="0" w:color="auto"/>
              <w:left w:val="single" w:sz="4" w:space="0" w:color="auto"/>
              <w:bottom w:val="single" w:sz="4" w:space="0" w:color="auto"/>
              <w:right w:val="single" w:sz="4" w:space="0" w:color="auto"/>
            </w:tcBorders>
            <w:shd w:val="clear" w:color="000000" w:fill="016794"/>
            <w:vAlign w:val="center"/>
            <w:hideMark/>
          </w:tcPr>
          <w:p w14:paraId="532DCAD9" w14:textId="77777777" w:rsidR="003B2819" w:rsidRPr="003B2819" w:rsidRDefault="003B2819" w:rsidP="003B2819">
            <w:pPr>
              <w:spacing w:after="0" w:line="240" w:lineRule="auto"/>
              <w:jc w:val="center"/>
              <w:rPr>
                <w:rFonts w:ascii="Arial" w:eastAsia="Times New Roman" w:hAnsi="Arial" w:cs="Arial"/>
                <w:color w:val="FFFFFF"/>
                <w:lang w:eastAsia="en-GB"/>
              </w:rPr>
            </w:pPr>
            <w:r w:rsidRPr="003B2819">
              <w:rPr>
                <w:rFonts w:ascii="Arial" w:eastAsia="Times New Roman" w:hAnsi="Arial" w:cs="Arial"/>
                <w:color w:val="FFFFFF"/>
                <w:lang w:eastAsia="en-GB"/>
              </w:rPr>
              <w:t xml:space="preserve"> 31.12.2021 </w:t>
            </w:r>
          </w:p>
        </w:tc>
        <w:tc>
          <w:tcPr>
            <w:tcW w:w="2100" w:type="dxa"/>
            <w:tcBorders>
              <w:top w:val="single" w:sz="4" w:space="0" w:color="auto"/>
              <w:left w:val="single" w:sz="4" w:space="0" w:color="auto"/>
              <w:bottom w:val="single" w:sz="4" w:space="0" w:color="auto"/>
              <w:right w:val="single" w:sz="4" w:space="0" w:color="auto"/>
            </w:tcBorders>
            <w:shd w:val="clear" w:color="000000" w:fill="016794"/>
            <w:vAlign w:val="center"/>
            <w:hideMark/>
          </w:tcPr>
          <w:p w14:paraId="1ECBBEA6" w14:textId="77777777" w:rsidR="003B2819" w:rsidRPr="003B2819" w:rsidRDefault="003B2819" w:rsidP="003B2819">
            <w:pPr>
              <w:spacing w:after="0" w:line="240" w:lineRule="auto"/>
              <w:jc w:val="center"/>
              <w:rPr>
                <w:rFonts w:ascii="Arial" w:eastAsia="Times New Roman" w:hAnsi="Arial" w:cs="Arial"/>
                <w:color w:val="FFFFFF"/>
                <w:lang w:eastAsia="en-GB"/>
              </w:rPr>
            </w:pPr>
            <w:r w:rsidRPr="003B2819">
              <w:rPr>
                <w:rFonts w:ascii="Arial" w:eastAsia="Times New Roman" w:hAnsi="Arial" w:cs="Arial"/>
                <w:color w:val="FFFFFF"/>
                <w:lang w:eastAsia="en-GB"/>
              </w:rPr>
              <w:t xml:space="preserve"> 31.12.2020 </w:t>
            </w:r>
          </w:p>
        </w:tc>
      </w:tr>
      <w:tr w:rsidR="003B2819" w:rsidRPr="003B2819" w14:paraId="7F9D75A2" w14:textId="77777777" w:rsidTr="003B2819">
        <w:trPr>
          <w:trHeight w:val="375"/>
          <w:jc w:val="center"/>
        </w:trPr>
        <w:tc>
          <w:tcPr>
            <w:tcW w:w="5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F4A4DF" w14:textId="77777777" w:rsidR="003B2819" w:rsidRPr="003B2819" w:rsidRDefault="003B2819" w:rsidP="003B2819">
            <w:pPr>
              <w:spacing w:after="0" w:line="240" w:lineRule="auto"/>
              <w:rPr>
                <w:rFonts w:ascii="Arial" w:eastAsia="Times New Roman" w:hAnsi="Arial" w:cs="Arial"/>
                <w:b/>
                <w:bCs/>
                <w:color w:val="000000"/>
                <w:lang w:eastAsia="en-GB"/>
              </w:rPr>
            </w:pPr>
            <w:r w:rsidRPr="003B2819">
              <w:rPr>
                <w:rFonts w:ascii="Arial" w:eastAsia="Times New Roman" w:hAnsi="Arial" w:cs="Arial"/>
                <w:b/>
                <w:bCs/>
                <w:color w:val="000000"/>
                <w:lang w:eastAsia="en-GB"/>
              </w:rPr>
              <w:t>REVENUE</w:t>
            </w:r>
          </w:p>
        </w:tc>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65E97D" w14:textId="77777777" w:rsidR="003B2819" w:rsidRPr="003B2819" w:rsidRDefault="003B2819" w:rsidP="003B2819">
            <w:pPr>
              <w:spacing w:after="0" w:line="240" w:lineRule="auto"/>
              <w:rPr>
                <w:rFonts w:ascii="Arial" w:eastAsia="Times New Roman" w:hAnsi="Arial" w:cs="Arial"/>
                <w:b/>
                <w:bCs/>
                <w:color w:val="000000"/>
                <w:lang w:eastAsia="en-GB"/>
              </w:rPr>
            </w:pPr>
          </w:p>
        </w:tc>
        <w:tc>
          <w:tcPr>
            <w:tcW w:w="21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BB183C" w14:textId="77777777" w:rsidR="003B2819" w:rsidRPr="003B2819" w:rsidRDefault="003B2819" w:rsidP="003B2819">
            <w:pPr>
              <w:spacing w:after="0" w:line="240" w:lineRule="auto"/>
              <w:rPr>
                <w:rFonts w:ascii="Arial" w:eastAsia="Times New Roman" w:hAnsi="Arial" w:cs="Arial"/>
                <w:lang w:eastAsia="en-GB"/>
              </w:rPr>
            </w:pPr>
          </w:p>
        </w:tc>
      </w:tr>
      <w:tr w:rsidR="003B2819" w:rsidRPr="003B2819" w14:paraId="34E3A49F" w14:textId="77777777" w:rsidTr="003B2819">
        <w:trPr>
          <w:trHeight w:val="375"/>
          <w:jc w:val="center"/>
        </w:trPr>
        <w:tc>
          <w:tcPr>
            <w:tcW w:w="5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B6BEC3" w14:textId="77777777" w:rsidR="003B2819" w:rsidRPr="003B2819" w:rsidRDefault="003B2819" w:rsidP="003B2819">
            <w:pPr>
              <w:spacing w:after="0" w:line="240" w:lineRule="auto"/>
              <w:rPr>
                <w:rFonts w:ascii="Arial" w:eastAsia="Times New Roman" w:hAnsi="Arial" w:cs="Arial"/>
                <w:b/>
                <w:bCs/>
                <w:color w:val="000000"/>
                <w:lang w:eastAsia="en-GB"/>
              </w:rPr>
            </w:pPr>
            <w:r w:rsidRPr="003B2819">
              <w:rPr>
                <w:rFonts w:ascii="Arial" w:eastAsia="Times New Roman" w:hAnsi="Arial" w:cs="Arial"/>
                <w:b/>
                <w:bCs/>
                <w:color w:val="000000"/>
                <w:lang w:eastAsia="en-GB"/>
              </w:rPr>
              <w:t>Revenue from non-exchange transactions</w:t>
            </w:r>
          </w:p>
        </w:tc>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C122DF" w14:textId="77777777" w:rsidR="003B2819" w:rsidRPr="003B2819" w:rsidRDefault="003B2819" w:rsidP="003B2819">
            <w:pPr>
              <w:spacing w:after="0" w:line="240" w:lineRule="auto"/>
              <w:rPr>
                <w:rFonts w:ascii="Arial" w:eastAsia="Times New Roman" w:hAnsi="Arial" w:cs="Arial"/>
                <w:b/>
                <w:bCs/>
                <w:color w:val="000000"/>
                <w:lang w:eastAsia="en-GB"/>
              </w:rPr>
            </w:pPr>
          </w:p>
        </w:tc>
        <w:tc>
          <w:tcPr>
            <w:tcW w:w="21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638B4B" w14:textId="77777777" w:rsidR="003B2819" w:rsidRPr="003B2819" w:rsidRDefault="003B2819" w:rsidP="003B2819">
            <w:pPr>
              <w:spacing w:after="0" w:line="240" w:lineRule="auto"/>
              <w:rPr>
                <w:rFonts w:ascii="Arial" w:eastAsia="Times New Roman" w:hAnsi="Arial" w:cs="Arial"/>
                <w:lang w:eastAsia="en-GB"/>
              </w:rPr>
            </w:pPr>
          </w:p>
        </w:tc>
      </w:tr>
      <w:tr w:rsidR="003B2819" w:rsidRPr="003B2819" w14:paraId="46743672" w14:textId="77777777" w:rsidTr="003B2819">
        <w:trPr>
          <w:trHeight w:val="210"/>
          <w:jc w:val="center"/>
        </w:trPr>
        <w:tc>
          <w:tcPr>
            <w:tcW w:w="5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2F42A7" w14:textId="77777777" w:rsidR="003B2819" w:rsidRPr="003B2819" w:rsidRDefault="003B2819" w:rsidP="003B2819">
            <w:pPr>
              <w:spacing w:after="0" w:line="240" w:lineRule="auto"/>
              <w:rPr>
                <w:rFonts w:ascii="Arial" w:eastAsia="Times New Roman" w:hAnsi="Arial" w:cs="Arial"/>
                <w:i/>
                <w:iCs/>
                <w:color w:val="000000"/>
                <w:lang w:eastAsia="en-GB"/>
              </w:rPr>
            </w:pPr>
            <w:r w:rsidRPr="003B2819">
              <w:rPr>
                <w:rFonts w:ascii="Arial" w:eastAsia="Times New Roman" w:hAnsi="Arial" w:cs="Arial"/>
                <w:i/>
                <w:iCs/>
                <w:color w:val="000000"/>
                <w:lang w:eastAsia="en-GB"/>
              </w:rPr>
              <w:t>Recovery of expenses</w:t>
            </w:r>
          </w:p>
        </w:tc>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1CC0CE" w14:textId="0DEC6D40" w:rsidR="003B2819" w:rsidRPr="003B2819" w:rsidRDefault="003B2819" w:rsidP="003B2819">
            <w:pPr>
              <w:spacing w:after="0" w:line="240" w:lineRule="auto"/>
              <w:rPr>
                <w:rFonts w:ascii="Arial" w:eastAsia="Times New Roman" w:hAnsi="Arial" w:cs="Arial"/>
                <w:i/>
                <w:iCs/>
                <w:color w:val="000000"/>
                <w:lang w:eastAsia="en-GB"/>
              </w:rPr>
            </w:pPr>
            <w:r w:rsidRPr="003B2819">
              <w:rPr>
                <w:rFonts w:ascii="Arial" w:eastAsia="Times New Roman" w:hAnsi="Arial" w:cs="Arial"/>
                <w:i/>
                <w:iCs/>
                <w:color w:val="000000"/>
                <w:lang w:eastAsia="en-GB"/>
              </w:rPr>
              <w:t xml:space="preserve">                   (4,994)</w:t>
            </w:r>
          </w:p>
        </w:tc>
        <w:tc>
          <w:tcPr>
            <w:tcW w:w="21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1D8B42" w14:textId="08892C77" w:rsidR="003B2819" w:rsidRPr="003B2819" w:rsidRDefault="003B2819" w:rsidP="003B2819">
            <w:pPr>
              <w:spacing w:after="0" w:line="240" w:lineRule="auto"/>
              <w:jc w:val="right"/>
              <w:rPr>
                <w:rFonts w:ascii="Arial" w:eastAsia="Times New Roman" w:hAnsi="Arial" w:cs="Arial"/>
                <w:i/>
                <w:iCs/>
                <w:color w:val="000000"/>
                <w:lang w:eastAsia="en-GB"/>
              </w:rPr>
            </w:pPr>
            <w:r w:rsidRPr="003B2819">
              <w:rPr>
                <w:rFonts w:ascii="Arial" w:eastAsia="Times New Roman" w:hAnsi="Arial" w:cs="Arial"/>
                <w:i/>
                <w:iCs/>
                <w:color w:val="000000"/>
                <w:lang w:eastAsia="en-GB"/>
              </w:rPr>
              <w:t xml:space="preserve">                 (3,444)</w:t>
            </w:r>
          </w:p>
        </w:tc>
      </w:tr>
      <w:tr w:rsidR="003B2819" w:rsidRPr="003B2819" w14:paraId="50EA89F6" w14:textId="77777777" w:rsidTr="003B2819">
        <w:trPr>
          <w:trHeight w:val="348"/>
          <w:jc w:val="center"/>
        </w:trPr>
        <w:tc>
          <w:tcPr>
            <w:tcW w:w="5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599A96" w14:textId="77777777" w:rsidR="003B2819" w:rsidRPr="003B2819" w:rsidRDefault="003B2819" w:rsidP="003B2819">
            <w:pPr>
              <w:spacing w:after="0" w:line="240" w:lineRule="auto"/>
              <w:rPr>
                <w:rFonts w:ascii="Arial" w:eastAsia="Times New Roman" w:hAnsi="Arial" w:cs="Arial"/>
                <w:b/>
                <w:bCs/>
                <w:color w:val="000000"/>
                <w:lang w:eastAsia="en-GB"/>
              </w:rPr>
            </w:pPr>
            <w:r w:rsidRPr="003B2819">
              <w:rPr>
                <w:rFonts w:ascii="Arial" w:eastAsia="Times New Roman" w:hAnsi="Arial" w:cs="Arial"/>
                <w:b/>
                <w:bCs/>
                <w:color w:val="000000"/>
                <w:lang w:eastAsia="en-GB"/>
              </w:rPr>
              <w:t> </w:t>
            </w:r>
          </w:p>
        </w:tc>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8C7144" w14:textId="77777777" w:rsidR="003B2819" w:rsidRPr="003B2819" w:rsidRDefault="003B2819" w:rsidP="003B2819">
            <w:pPr>
              <w:spacing w:after="0" w:line="240" w:lineRule="auto"/>
              <w:jc w:val="right"/>
              <w:rPr>
                <w:rFonts w:ascii="Arial" w:eastAsia="Times New Roman" w:hAnsi="Arial" w:cs="Arial"/>
                <w:b/>
                <w:bCs/>
                <w:color w:val="000000"/>
                <w:lang w:eastAsia="en-GB"/>
              </w:rPr>
            </w:pPr>
            <w:r w:rsidRPr="003B2819">
              <w:rPr>
                <w:rFonts w:ascii="Arial" w:eastAsia="Times New Roman" w:hAnsi="Arial" w:cs="Arial"/>
                <w:b/>
                <w:bCs/>
                <w:color w:val="000000"/>
                <w:lang w:eastAsia="en-GB"/>
              </w:rPr>
              <w:t xml:space="preserve">                     (4,994)</w:t>
            </w:r>
          </w:p>
        </w:tc>
        <w:tc>
          <w:tcPr>
            <w:tcW w:w="21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E21272" w14:textId="77777777" w:rsidR="003B2819" w:rsidRPr="003B2819" w:rsidRDefault="003B2819" w:rsidP="003B2819">
            <w:pPr>
              <w:spacing w:after="0" w:line="240" w:lineRule="auto"/>
              <w:jc w:val="right"/>
              <w:rPr>
                <w:rFonts w:ascii="Arial" w:eastAsia="Times New Roman" w:hAnsi="Arial" w:cs="Arial"/>
                <w:b/>
                <w:bCs/>
                <w:color w:val="000000"/>
                <w:lang w:eastAsia="en-GB"/>
              </w:rPr>
            </w:pPr>
            <w:r w:rsidRPr="003B2819">
              <w:rPr>
                <w:rFonts w:ascii="Arial" w:eastAsia="Times New Roman" w:hAnsi="Arial" w:cs="Arial"/>
                <w:b/>
                <w:bCs/>
                <w:color w:val="000000"/>
                <w:lang w:eastAsia="en-GB"/>
              </w:rPr>
              <w:t xml:space="preserve">                   (3,444)</w:t>
            </w:r>
          </w:p>
        </w:tc>
      </w:tr>
      <w:tr w:rsidR="003B2819" w:rsidRPr="003B2819" w14:paraId="2D460F0D" w14:textId="77777777" w:rsidTr="003B2819">
        <w:trPr>
          <w:trHeight w:val="230"/>
          <w:jc w:val="center"/>
        </w:trPr>
        <w:tc>
          <w:tcPr>
            <w:tcW w:w="5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BB8772" w14:textId="77777777" w:rsidR="003B2819" w:rsidRPr="003B2819" w:rsidRDefault="003B2819" w:rsidP="003B2819">
            <w:pPr>
              <w:spacing w:after="0" w:line="240" w:lineRule="auto"/>
              <w:jc w:val="right"/>
              <w:rPr>
                <w:rFonts w:ascii="Arial" w:eastAsia="Times New Roman" w:hAnsi="Arial" w:cs="Arial"/>
                <w:b/>
                <w:bCs/>
                <w:color w:val="000000"/>
                <w:lang w:eastAsia="en-GB"/>
              </w:rPr>
            </w:pPr>
          </w:p>
        </w:tc>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47FB87" w14:textId="77777777" w:rsidR="003B2819" w:rsidRPr="003B2819" w:rsidRDefault="003B2819" w:rsidP="003B2819">
            <w:pPr>
              <w:spacing w:after="0" w:line="240" w:lineRule="auto"/>
              <w:rPr>
                <w:rFonts w:ascii="Arial" w:eastAsia="Times New Roman" w:hAnsi="Arial" w:cs="Arial"/>
                <w:lang w:eastAsia="en-GB"/>
              </w:rPr>
            </w:pPr>
          </w:p>
        </w:tc>
        <w:tc>
          <w:tcPr>
            <w:tcW w:w="21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893F15" w14:textId="77777777" w:rsidR="003B2819" w:rsidRPr="003B2819" w:rsidRDefault="003B2819" w:rsidP="003B2819">
            <w:pPr>
              <w:spacing w:after="0" w:line="240" w:lineRule="auto"/>
              <w:jc w:val="right"/>
              <w:rPr>
                <w:rFonts w:ascii="Arial" w:eastAsia="Times New Roman" w:hAnsi="Arial" w:cs="Arial"/>
                <w:lang w:eastAsia="en-GB"/>
              </w:rPr>
            </w:pPr>
          </w:p>
        </w:tc>
      </w:tr>
      <w:tr w:rsidR="003B2819" w:rsidRPr="003B2819" w14:paraId="6DF36B5D" w14:textId="77777777" w:rsidTr="003B2819">
        <w:trPr>
          <w:trHeight w:val="375"/>
          <w:jc w:val="center"/>
        </w:trPr>
        <w:tc>
          <w:tcPr>
            <w:tcW w:w="5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BC3A77" w14:textId="77777777" w:rsidR="003B2819" w:rsidRPr="003B2819" w:rsidRDefault="003B2819" w:rsidP="003B2819">
            <w:pPr>
              <w:spacing w:after="0" w:line="240" w:lineRule="auto"/>
              <w:rPr>
                <w:rFonts w:ascii="Arial" w:eastAsia="Times New Roman" w:hAnsi="Arial" w:cs="Arial"/>
                <w:b/>
                <w:bCs/>
                <w:color w:val="000000"/>
                <w:lang w:eastAsia="en-GB"/>
              </w:rPr>
            </w:pPr>
            <w:r w:rsidRPr="003B2819">
              <w:rPr>
                <w:rFonts w:ascii="Arial" w:eastAsia="Times New Roman" w:hAnsi="Arial" w:cs="Arial"/>
                <w:b/>
                <w:bCs/>
                <w:color w:val="000000"/>
                <w:lang w:eastAsia="en-GB"/>
              </w:rPr>
              <w:t>Revenue from exchange transactions</w:t>
            </w:r>
          </w:p>
        </w:tc>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1BD1C8" w14:textId="77777777" w:rsidR="003B2819" w:rsidRPr="003B2819" w:rsidRDefault="003B2819" w:rsidP="003B2819">
            <w:pPr>
              <w:spacing w:after="0" w:line="240" w:lineRule="auto"/>
              <w:rPr>
                <w:rFonts w:ascii="Arial" w:eastAsia="Times New Roman" w:hAnsi="Arial" w:cs="Arial"/>
                <w:b/>
                <w:bCs/>
                <w:color w:val="000000"/>
                <w:lang w:eastAsia="en-GB"/>
              </w:rPr>
            </w:pPr>
          </w:p>
        </w:tc>
        <w:tc>
          <w:tcPr>
            <w:tcW w:w="21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4BA486" w14:textId="77777777" w:rsidR="003B2819" w:rsidRPr="003B2819" w:rsidRDefault="003B2819" w:rsidP="003B2819">
            <w:pPr>
              <w:spacing w:after="0" w:line="240" w:lineRule="auto"/>
              <w:rPr>
                <w:rFonts w:ascii="Arial" w:eastAsia="Times New Roman" w:hAnsi="Arial" w:cs="Arial"/>
                <w:lang w:eastAsia="en-GB"/>
              </w:rPr>
            </w:pPr>
          </w:p>
        </w:tc>
      </w:tr>
      <w:tr w:rsidR="003B2819" w:rsidRPr="003B2819" w14:paraId="56E7D526" w14:textId="77777777" w:rsidTr="003B2819">
        <w:trPr>
          <w:trHeight w:val="324"/>
          <w:jc w:val="center"/>
        </w:trPr>
        <w:tc>
          <w:tcPr>
            <w:tcW w:w="5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6AC1F4" w14:textId="77777777" w:rsidR="003B2819" w:rsidRPr="003B2819" w:rsidRDefault="003B2819" w:rsidP="003B2819">
            <w:pPr>
              <w:spacing w:after="0" w:line="240" w:lineRule="auto"/>
              <w:rPr>
                <w:rFonts w:ascii="Arial" w:eastAsia="Times New Roman" w:hAnsi="Arial" w:cs="Arial"/>
                <w:i/>
                <w:iCs/>
                <w:color w:val="000000"/>
                <w:lang w:eastAsia="en-GB"/>
              </w:rPr>
            </w:pPr>
            <w:r w:rsidRPr="003B2819">
              <w:rPr>
                <w:rFonts w:ascii="Arial" w:eastAsia="Times New Roman" w:hAnsi="Arial" w:cs="Arial"/>
                <w:i/>
                <w:iCs/>
                <w:color w:val="000000"/>
                <w:lang w:eastAsia="en-GB"/>
              </w:rPr>
              <w:t>Financial revenue</w:t>
            </w:r>
          </w:p>
        </w:tc>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9F6829" w14:textId="02EC0DE6" w:rsidR="003B2819" w:rsidRPr="003B2819" w:rsidRDefault="003B2819" w:rsidP="003B2819">
            <w:pPr>
              <w:spacing w:after="0" w:line="240" w:lineRule="auto"/>
              <w:rPr>
                <w:rFonts w:ascii="Arial" w:eastAsia="Times New Roman" w:hAnsi="Arial" w:cs="Arial"/>
                <w:i/>
                <w:iCs/>
                <w:color w:val="000000"/>
                <w:lang w:eastAsia="en-GB"/>
              </w:rPr>
            </w:pPr>
            <w:r w:rsidRPr="003B2819">
              <w:rPr>
                <w:rFonts w:ascii="Arial" w:eastAsia="Times New Roman" w:hAnsi="Arial" w:cs="Arial"/>
                <w:i/>
                <w:iCs/>
                <w:color w:val="000000"/>
                <w:lang w:eastAsia="en-GB"/>
              </w:rPr>
              <w:t xml:space="preserve">                          (0)</w:t>
            </w:r>
          </w:p>
        </w:tc>
        <w:tc>
          <w:tcPr>
            <w:tcW w:w="21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6BC16B" w14:textId="09FB6F60" w:rsidR="003B2819" w:rsidRPr="003B2819" w:rsidRDefault="003B2819" w:rsidP="003B2819">
            <w:pPr>
              <w:spacing w:after="0" w:line="240" w:lineRule="auto"/>
              <w:jc w:val="right"/>
              <w:rPr>
                <w:rFonts w:ascii="Arial" w:eastAsia="Times New Roman" w:hAnsi="Arial" w:cs="Arial"/>
                <w:i/>
                <w:iCs/>
                <w:color w:val="000000"/>
                <w:lang w:eastAsia="en-GB"/>
              </w:rPr>
            </w:pPr>
            <w:r w:rsidRPr="003B2819">
              <w:rPr>
                <w:rFonts w:ascii="Arial" w:eastAsia="Times New Roman" w:hAnsi="Arial" w:cs="Arial"/>
                <w:i/>
                <w:iCs/>
                <w:color w:val="000000"/>
                <w:lang w:eastAsia="en-GB"/>
              </w:rPr>
              <w:t xml:space="preserve">                       (6)</w:t>
            </w:r>
          </w:p>
        </w:tc>
      </w:tr>
      <w:tr w:rsidR="003B2819" w:rsidRPr="003B2819" w14:paraId="188072B2" w14:textId="77777777" w:rsidTr="003B2819">
        <w:trPr>
          <w:trHeight w:val="390"/>
          <w:jc w:val="center"/>
        </w:trPr>
        <w:tc>
          <w:tcPr>
            <w:tcW w:w="5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E90440" w14:textId="77777777" w:rsidR="003B2819" w:rsidRPr="003B2819" w:rsidRDefault="003B2819" w:rsidP="003B2819">
            <w:pPr>
              <w:spacing w:after="0" w:line="240" w:lineRule="auto"/>
              <w:rPr>
                <w:rFonts w:ascii="Arial" w:eastAsia="Times New Roman" w:hAnsi="Arial" w:cs="Arial"/>
                <w:i/>
                <w:iCs/>
                <w:color w:val="000000"/>
                <w:lang w:eastAsia="en-GB"/>
              </w:rPr>
            </w:pPr>
            <w:r w:rsidRPr="003B2819">
              <w:rPr>
                <w:rFonts w:ascii="Arial" w:eastAsia="Times New Roman" w:hAnsi="Arial" w:cs="Arial"/>
                <w:i/>
                <w:iCs/>
                <w:color w:val="000000"/>
                <w:lang w:eastAsia="en-GB"/>
              </w:rPr>
              <w:t>Other exchange revenue</w:t>
            </w:r>
          </w:p>
        </w:tc>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54BEE1" w14:textId="4906B7CA" w:rsidR="003B2819" w:rsidRPr="003B2819" w:rsidRDefault="003B2819" w:rsidP="003B2819">
            <w:pPr>
              <w:spacing w:after="0" w:line="240" w:lineRule="auto"/>
              <w:rPr>
                <w:rFonts w:ascii="Arial" w:eastAsia="Times New Roman" w:hAnsi="Arial" w:cs="Arial"/>
                <w:i/>
                <w:iCs/>
                <w:color w:val="000000"/>
                <w:lang w:eastAsia="en-GB"/>
              </w:rPr>
            </w:pPr>
            <w:r w:rsidRPr="003B2819">
              <w:rPr>
                <w:rFonts w:ascii="Arial" w:eastAsia="Times New Roman" w:hAnsi="Arial" w:cs="Arial"/>
                <w:i/>
                <w:iCs/>
                <w:color w:val="000000"/>
                <w:lang w:eastAsia="en-GB"/>
              </w:rPr>
              <w:t xml:space="preserve">                           (3)</w:t>
            </w:r>
          </w:p>
        </w:tc>
        <w:tc>
          <w:tcPr>
            <w:tcW w:w="21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2B76FC" w14:textId="361EBE58" w:rsidR="003B2819" w:rsidRPr="003B2819" w:rsidRDefault="003B2819" w:rsidP="003B2819">
            <w:pPr>
              <w:spacing w:after="0" w:line="240" w:lineRule="auto"/>
              <w:jc w:val="right"/>
              <w:rPr>
                <w:rFonts w:ascii="Arial" w:eastAsia="Times New Roman" w:hAnsi="Arial" w:cs="Arial"/>
                <w:i/>
                <w:iCs/>
                <w:color w:val="000000"/>
                <w:lang w:eastAsia="en-GB"/>
              </w:rPr>
            </w:pPr>
            <w:r w:rsidRPr="003B2819">
              <w:rPr>
                <w:rFonts w:ascii="Arial" w:eastAsia="Times New Roman" w:hAnsi="Arial" w:cs="Arial"/>
                <w:i/>
                <w:iCs/>
                <w:color w:val="000000"/>
                <w:lang w:eastAsia="en-GB"/>
              </w:rPr>
              <w:t xml:space="preserve">                      (44)</w:t>
            </w:r>
          </w:p>
        </w:tc>
      </w:tr>
      <w:tr w:rsidR="003B2819" w:rsidRPr="000E0183" w14:paraId="37DC48B8" w14:textId="77777777" w:rsidTr="003B2819">
        <w:trPr>
          <w:trHeight w:val="390"/>
          <w:jc w:val="center"/>
        </w:trPr>
        <w:tc>
          <w:tcPr>
            <w:tcW w:w="5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BCE5A4" w14:textId="77777777" w:rsidR="003B2819" w:rsidRPr="003B2819" w:rsidRDefault="003B2819" w:rsidP="003B2819">
            <w:pPr>
              <w:spacing w:after="0" w:line="240" w:lineRule="auto"/>
              <w:rPr>
                <w:rFonts w:ascii="Arial" w:eastAsia="Times New Roman" w:hAnsi="Arial" w:cs="Arial"/>
                <w:i/>
                <w:iCs/>
                <w:color w:val="000000"/>
                <w:lang w:eastAsia="en-GB"/>
              </w:rPr>
            </w:pPr>
            <w:r w:rsidRPr="003B2819">
              <w:rPr>
                <w:rFonts w:ascii="Arial" w:eastAsia="Times New Roman" w:hAnsi="Arial" w:cs="Arial"/>
                <w:i/>
                <w:iCs/>
                <w:color w:val="000000"/>
                <w:lang w:eastAsia="en-GB"/>
              </w:rPr>
              <w:t> </w:t>
            </w:r>
          </w:p>
        </w:tc>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C28949" w14:textId="253C77FE" w:rsidR="003B2819" w:rsidRPr="003B2819" w:rsidRDefault="003B2819" w:rsidP="003B2819">
            <w:pPr>
              <w:spacing w:after="0" w:line="240" w:lineRule="auto"/>
              <w:jc w:val="right"/>
              <w:rPr>
                <w:rFonts w:ascii="Arial" w:eastAsia="Times New Roman" w:hAnsi="Arial" w:cs="Arial"/>
                <w:b/>
                <w:bCs/>
                <w:color w:val="000000"/>
                <w:lang w:eastAsia="en-GB"/>
              </w:rPr>
            </w:pPr>
            <w:r w:rsidRPr="003B2819">
              <w:rPr>
                <w:rFonts w:ascii="Arial" w:eastAsia="Times New Roman" w:hAnsi="Arial" w:cs="Arial"/>
                <w:b/>
                <w:bCs/>
                <w:color w:val="000000"/>
                <w:lang w:eastAsia="en-GB"/>
              </w:rPr>
              <w:t xml:space="preserve">                           (3)</w:t>
            </w:r>
          </w:p>
        </w:tc>
        <w:tc>
          <w:tcPr>
            <w:tcW w:w="21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19A504" w14:textId="32D52D8C" w:rsidR="003B2819" w:rsidRPr="003B2819" w:rsidRDefault="003B2819" w:rsidP="003B2819">
            <w:pPr>
              <w:spacing w:after="0" w:line="240" w:lineRule="auto"/>
              <w:jc w:val="right"/>
              <w:rPr>
                <w:rFonts w:ascii="Arial" w:eastAsia="Times New Roman" w:hAnsi="Arial" w:cs="Arial"/>
                <w:b/>
                <w:bCs/>
                <w:color w:val="000000"/>
                <w:lang w:eastAsia="en-GB"/>
              </w:rPr>
            </w:pPr>
            <w:r w:rsidRPr="003B2819">
              <w:rPr>
                <w:rFonts w:ascii="Arial" w:eastAsia="Times New Roman" w:hAnsi="Arial" w:cs="Arial"/>
                <w:b/>
                <w:bCs/>
                <w:color w:val="000000"/>
                <w:lang w:eastAsia="en-GB"/>
              </w:rPr>
              <w:t xml:space="preserve">                      (50)</w:t>
            </w:r>
          </w:p>
        </w:tc>
      </w:tr>
      <w:tr w:rsidR="003B2819" w:rsidRPr="003B2819" w14:paraId="1746C524" w14:textId="77777777" w:rsidTr="003B2819">
        <w:trPr>
          <w:trHeight w:val="222"/>
          <w:jc w:val="center"/>
        </w:trPr>
        <w:tc>
          <w:tcPr>
            <w:tcW w:w="5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DE9283" w14:textId="77777777" w:rsidR="003B2819" w:rsidRPr="003B2819" w:rsidRDefault="003B2819" w:rsidP="003B2819">
            <w:pPr>
              <w:spacing w:after="0" w:line="240" w:lineRule="auto"/>
              <w:rPr>
                <w:rFonts w:ascii="Arial" w:eastAsia="Times New Roman" w:hAnsi="Arial" w:cs="Arial"/>
                <w:i/>
                <w:iCs/>
                <w:color w:val="000000"/>
                <w:lang w:eastAsia="en-GB"/>
              </w:rPr>
            </w:pPr>
            <w:r w:rsidRPr="003B2819">
              <w:rPr>
                <w:rFonts w:ascii="Arial" w:eastAsia="Times New Roman" w:hAnsi="Arial" w:cs="Arial"/>
                <w:i/>
                <w:iCs/>
                <w:color w:val="000000"/>
                <w:lang w:eastAsia="en-GB"/>
              </w:rPr>
              <w:t> </w:t>
            </w:r>
          </w:p>
        </w:tc>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A772FF" w14:textId="77777777" w:rsidR="003B2819" w:rsidRPr="003B2819" w:rsidRDefault="003B2819" w:rsidP="003B2819">
            <w:pPr>
              <w:spacing w:after="0" w:line="240" w:lineRule="auto"/>
              <w:jc w:val="right"/>
              <w:rPr>
                <w:rFonts w:ascii="Arial" w:eastAsia="Times New Roman" w:hAnsi="Arial" w:cs="Arial"/>
                <w:b/>
                <w:bCs/>
                <w:color w:val="000000"/>
                <w:lang w:eastAsia="en-GB"/>
              </w:rPr>
            </w:pPr>
            <w:r w:rsidRPr="003B2819">
              <w:rPr>
                <w:rFonts w:ascii="Arial" w:eastAsia="Times New Roman" w:hAnsi="Arial" w:cs="Arial"/>
                <w:b/>
                <w:bCs/>
                <w:color w:val="000000"/>
                <w:lang w:eastAsia="en-GB"/>
              </w:rPr>
              <w:t> </w:t>
            </w:r>
          </w:p>
        </w:tc>
        <w:tc>
          <w:tcPr>
            <w:tcW w:w="21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F37E73" w14:textId="77777777" w:rsidR="003B2819" w:rsidRPr="003B2819" w:rsidRDefault="003B2819" w:rsidP="003B2819">
            <w:pPr>
              <w:spacing w:after="0" w:line="240" w:lineRule="auto"/>
              <w:jc w:val="right"/>
              <w:rPr>
                <w:rFonts w:ascii="Arial" w:eastAsia="Times New Roman" w:hAnsi="Arial" w:cs="Arial"/>
                <w:b/>
                <w:bCs/>
                <w:color w:val="000000"/>
                <w:lang w:eastAsia="en-GB"/>
              </w:rPr>
            </w:pPr>
            <w:r w:rsidRPr="003B2819">
              <w:rPr>
                <w:rFonts w:ascii="Arial" w:eastAsia="Times New Roman" w:hAnsi="Arial" w:cs="Arial"/>
                <w:b/>
                <w:bCs/>
                <w:color w:val="000000"/>
                <w:lang w:eastAsia="en-GB"/>
              </w:rPr>
              <w:t> </w:t>
            </w:r>
          </w:p>
        </w:tc>
      </w:tr>
      <w:tr w:rsidR="003B2819" w:rsidRPr="00C05876" w14:paraId="71CDC9FD" w14:textId="77777777" w:rsidTr="003B2819">
        <w:trPr>
          <w:trHeight w:val="390"/>
          <w:jc w:val="center"/>
        </w:trPr>
        <w:tc>
          <w:tcPr>
            <w:tcW w:w="5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05B4DF" w14:textId="77777777" w:rsidR="003B2819" w:rsidRPr="003B2819" w:rsidRDefault="003B2819" w:rsidP="003B2819">
            <w:pPr>
              <w:spacing w:after="0" w:line="240" w:lineRule="auto"/>
              <w:rPr>
                <w:rFonts w:ascii="Arial" w:eastAsia="Times New Roman" w:hAnsi="Arial" w:cs="Arial"/>
                <w:b/>
                <w:bCs/>
                <w:color w:val="000000"/>
                <w:lang w:eastAsia="en-GB"/>
              </w:rPr>
            </w:pPr>
            <w:r w:rsidRPr="003B2819">
              <w:rPr>
                <w:rFonts w:ascii="Arial" w:eastAsia="Times New Roman" w:hAnsi="Arial" w:cs="Arial"/>
                <w:b/>
                <w:bCs/>
                <w:color w:val="000000"/>
                <w:lang w:eastAsia="en-GB"/>
              </w:rPr>
              <w:t>Total revenue</w:t>
            </w:r>
          </w:p>
        </w:tc>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F88ABB" w14:textId="4F4B6617" w:rsidR="003B2819" w:rsidRPr="003B2819" w:rsidRDefault="003B2819" w:rsidP="003B2819">
            <w:pPr>
              <w:spacing w:after="0" w:line="240" w:lineRule="auto"/>
              <w:jc w:val="right"/>
              <w:rPr>
                <w:rFonts w:ascii="Arial" w:eastAsia="Times New Roman" w:hAnsi="Arial" w:cs="Arial"/>
                <w:b/>
                <w:bCs/>
                <w:color w:val="000000"/>
                <w:lang w:eastAsia="en-GB"/>
              </w:rPr>
            </w:pPr>
            <w:r w:rsidRPr="003B2819">
              <w:rPr>
                <w:rFonts w:ascii="Arial" w:eastAsia="Times New Roman" w:hAnsi="Arial" w:cs="Arial"/>
                <w:b/>
                <w:bCs/>
                <w:color w:val="000000"/>
                <w:lang w:eastAsia="en-GB"/>
              </w:rPr>
              <w:t xml:space="preserve">                  (4,997)</w:t>
            </w:r>
          </w:p>
        </w:tc>
        <w:tc>
          <w:tcPr>
            <w:tcW w:w="21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EEF8DB" w14:textId="28D65F71" w:rsidR="003B2819" w:rsidRPr="003B2819" w:rsidRDefault="003B2819" w:rsidP="003B2819">
            <w:pPr>
              <w:spacing w:after="0" w:line="240" w:lineRule="auto"/>
              <w:jc w:val="right"/>
              <w:rPr>
                <w:rFonts w:ascii="Arial" w:eastAsia="Times New Roman" w:hAnsi="Arial" w:cs="Arial"/>
                <w:b/>
                <w:bCs/>
                <w:color w:val="000000"/>
                <w:lang w:eastAsia="en-GB"/>
              </w:rPr>
            </w:pPr>
            <w:r w:rsidRPr="003B2819">
              <w:rPr>
                <w:rFonts w:ascii="Arial" w:eastAsia="Times New Roman" w:hAnsi="Arial" w:cs="Arial"/>
                <w:b/>
                <w:bCs/>
                <w:color w:val="000000"/>
                <w:lang w:eastAsia="en-GB"/>
              </w:rPr>
              <w:t xml:space="preserve">                (3,494)</w:t>
            </w:r>
          </w:p>
        </w:tc>
      </w:tr>
      <w:tr w:rsidR="003B2819" w:rsidRPr="003B2819" w14:paraId="26889B19" w14:textId="77777777" w:rsidTr="003B2819">
        <w:trPr>
          <w:trHeight w:val="163"/>
          <w:jc w:val="center"/>
        </w:trPr>
        <w:tc>
          <w:tcPr>
            <w:tcW w:w="5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CAE658" w14:textId="77777777" w:rsidR="003B2819" w:rsidRPr="003B2819" w:rsidRDefault="003B2819" w:rsidP="003B2819">
            <w:pPr>
              <w:spacing w:after="0" w:line="240" w:lineRule="auto"/>
              <w:jc w:val="right"/>
              <w:rPr>
                <w:rFonts w:ascii="Arial" w:eastAsia="Times New Roman" w:hAnsi="Arial" w:cs="Arial"/>
                <w:b/>
                <w:bCs/>
                <w:color w:val="000000"/>
                <w:lang w:eastAsia="en-GB"/>
              </w:rPr>
            </w:pPr>
          </w:p>
        </w:tc>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F3AC7D" w14:textId="77777777" w:rsidR="003B2819" w:rsidRPr="003B2819" w:rsidRDefault="003B2819" w:rsidP="003B2819">
            <w:pPr>
              <w:spacing w:after="0" w:line="240" w:lineRule="auto"/>
              <w:rPr>
                <w:rFonts w:ascii="Arial" w:eastAsia="Times New Roman" w:hAnsi="Arial" w:cs="Arial"/>
                <w:lang w:eastAsia="en-GB"/>
              </w:rPr>
            </w:pPr>
          </w:p>
        </w:tc>
        <w:tc>
          <w:tcPr>
            <w:tcW w:w="21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2D0E40" w14:textId="77777777" w:rsidR="003B2819" w:rsidRPr="003B2819" w:rsidRDefault="003B2819" w:rsidP="003B2819">
            <w:pPr>
              <w:spacing w:after="0" w:line="240" w:lineRule="auto"/>
              <w:jc w:val="right"/>
              <w:rPr>
                <w:rFonts w:ascii="Arial" w:eastAsia="Times New Roman" w:hAnsi="Arial" w:cs="Arial"/>
                <w:lang w:eastAsia="en-GB"/>
              </w:rPr>
            </w:pPr>
          </w:p>
        </w:tc>
      </w:tr>
      <w:tr w:rsidR="003B2819" w:rsidRPr="003B2819" w14:paraId="04457900" w14:textId="77777777" w:rsidTr="003B2819">
        <w:trPr>
          <w:trHeight w:val="375"/>
          <w:jc w:val="center"/>
        </w:trPr>
        <w:tc>
          <w:tcPr>
            <w:tcW w:w="5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B2CC7F" w14:textId="77777777" w:rsidR="003B2819" w:rsidRPr="003B2819" w:rsidRDefault="003B2819" w:rsidP="003B2819">
            <w:pPr>
              <w:spacing w:after="0" w:line="240" w:lineRule="auto"/>
              <w:rPr>
                <w:rFonts w:ascii="Arial" w:eastAsia="Times New Roman" w:hAnsi="Arial" w:cs="Arial"/>
                <w:b/>
                <w:bCs/>
                <w:color w:val="000000"/>
                <w:lang w:eastAsia="en-GB"/>
              </w:rPr>
            </w:pPr>
            <w:r w:rsidRPr="003B2819">
              <w:rPr>
                <w:rFonts w:ascii="Arial" w:eastAsia="Times New Roman" w:hAnsi="Arial" w:cs="Arial"/>
                <w:b/>
                <w:bCs/>
                <w:color w:val="000000"/>
                <w:lang w:eastAsia="en-GB"/>
              </w:rPr>
              <w:t>EXPENSES</w:t>
            </w:r>
          </w:p>
        </w:tc>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5C09BE" w14:textId="77777777" w:rsidR="003B2819" w:rsidRPr="003B2819" w:rsidRDefault="003B2819" w:rsidP="003B2819">
            <w:pPr>
              <w:spacing w:after="0" w:line="240" w:lineRule="auto"/>
              <w:rPr>
                <w:rFonts w:ascii="Arial" w:eastAsia="Times New Roman" w:hAnsi="Arial" w:cs="Arial"/>
                <w:b/>
                <w:bCs/>
                <w:color w:val="000000"/>
                <w:lang w:eastAsia="en-GB"/>
              </w:rPr>
            </w:pPr>
          </w:p>
        </w:tc>
        <w:tc>
          <w:tcPr>
            <w:tcW w:w="21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EE7D31" w14:textId="77777777" w:rsidR="003B2819" w:rsidRPr="003B2819" w:rsidRDefault="003B2819" w:rsidP="003B2819">
            <w:pPr>
              <w:spacing w:after="0" w:line="240" w:lineRule="auto"/>
              <w:rPr>
                <w:rFonts w:ascii="Arial" w:eastAsia="Times New Roman" w:hAnsi="Arial" w:cs="Arial"/>
                <w:lang w:eastAsia="en-GB"/>
              </w:rPr>
            </w:pPr>
          </w:p>
        </w:tc>
      </w:tr>
      <w:tr w:rsidR="003B2819" w:rsidRPr="003B2819" w14:paraId="04C5CDEA" w14:textId="77777777" w:rsidTr="003B2819">
        <w:trPr>
          <w:trHeight w:val="375"/>
          <w:jc w:val="center"/>
        </w:trPr>
        <w:tc>
          <w:tcPr>
            <w:tcW w:w="5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3FB150" w14:textId="77777777" w:rsidR="003B2819" w:rsidRPr="003B2819" w:rsidRDefault="003B2819" w:rsidP="003B2819">
            <w:pPr>
              <w:spacing w:after="0" w:line="240" w:lineRule="auto"/>
              <w:rPr>
                <w:rFonts w:ascii="Arial" w:eastAsia="Times New Roman" w:hAnsi="Arial" w:cs="Arial"/>
                <w:i/>
                <w:iCs/>
                <w:color w:val="000000"/>
                <w:lang w:eastAsia="en-GB"/>
              </w:rPr>
            </w:pPr>
            <w:r w:rsidRPr="003B2819">
              <w:rPr>
                <w:rFonts w:ascii="Arial" w:eastAsia="Times New Roman" w:hAnsi="Arial" w:cs="Arial"/>
                <w:i/>
                <w:iCs/>
                <w:color w:val="000000"/>
                <w:lang w:eastAsia="en-GB"/>
              </w:rPr>
              <w:t>Operational costs</w:t>
            </w:r>
          </w:p>
        </w:tc>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8252BB" w14:textId="77777777" w:rsidR="003B2819" w:rsidRPr="003B2819" w:rsidRDefault="003B2819" w:rsidP="003B2819">
            <w:pPr>
              <w:spacing w:after="0" w:line="240" w:lineRule="auto"/>
              <w:rPr>
                <w:rFonts w:ascii="Arial" w:eastAsia="Times New Roman" w:hAnsi="Arial" w:cs="Arial"/>
                <w:i/>
                <w:iCs/>
                <w:color w:val="000000"/>
                <w:lang w:eastAsia="en-GB"/>
              </w:rPr>
            </w:pPr>
            <w:r w:rsidRPr="003B2819">
              <w:rPr>
                <w:rFonts w:ascii="Arial" w:eastAsia="Times New Roman" w:hAnsi="Arial" w:cs="Arial"/>
                <w:i/>
                <w:iCs/>
                <w:color w:val="000000"/>
                <w:lang w:eastAsia="en-GB"/>
              </w:rPr>
              <w:t xml:space="preserve">                 120,395 </w:t>
            </w:r>
          </w:p>
        </w:tc>
        <w:tc>
          <w:tcPr>
            <w:tcW w:w="21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ACB5C3" w14:textId="77777777" w:rsidR="003B2819" w:rsidRPr="003B2819" w:rsidRDefault="003B2819" w:rsidP="003B2819">
            <w:pPr>
              <w:spacing w:after="0" w:line="240" w:lineRule="auto"/>
              <w:jc w:val="right"/>
              <w:rPr>
                <w:rFonts w:ascii="Arial" w:eastAsia="Times New Roman" w:hAnsi="Arial" w:cs="Arial"/>
                <w:i/>
                <w:iCs/>
                <w:color w:val="000000"/>
                <w:lang w:eastAsia="en-GB"/>
              </w:rPr>
            </w:pPr>
            <w:r w:rsidRPr="003B2819">
              <w:rPr>
                <w:rFonts w:ascii="Arial" w:eastAsia="Times New Roman" w:hAnsi="Arial" w:cs="Arial"/>
                <w:i/>
                <w:iCs/>
                <w:color w:val="000000"/>
                <w:lang w:eastAsia="en-GB"/>
              </w:rPr>
              <w:t xml:space="preserve">                 91,913 </w:t>
            </w:r>
          </w:p>
        </w:tc>
      </w:tr>
      <w:tr w:rsidR="003B2819" w:rsidRPr="003B2819" w14:paraId="3C605A57" w14:textId="77777777" w:rsidTr="003B2819">
        <w:trPr>
          <w:trHeight w:val="360"/>
          <w:jc w:val="center"/>
        </w:trPr>
        <w:tc>
          <w:tcPr>
            <w:tcW w:w="5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7935D8" w14:textId="77777777" w:rsidR="003B2819" w:rsidRPr="003B2819" w:rsidRDefault="003B2819" w:rsidP="003B2819">
            <w:pPr>
              <w:spacing w:after="0" w:line="240" w:lineRule="auto"/>
              <w:rPr>
                <w:rFonts w:ascii="Arial" w:eastAsia="Times New Roman" w:hAnsi="Arial" w:cs="Arial"/>
                <w:i/>
                <w:iCs/>
                <w:color w:val="000000"/>
                <w:lang w:eastAsia="en-GB"/>
              </w:rPr>
            </w:pPr>
            <w:r w:rsidRPr="003B2819">
              <w:rPr>
                <w:rFonts w:ascii="Arial" w:eastAsia="Times New Roman" w:hAnsi="Arial" w:cs="Arial"/>
                <w:i/>
                <w:iCs/>
                <w:color w:val="000000"/>
                <w:lang w:eastAsia="en-GB"/>
              </w:rPr>
              <w:t>Staff costs</w:t>
            </w:r>
          </w:p>
        </w:tc>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135CE9" w14:textId="77777777" w:rsidR="003B2819" w:rsidRPr="003B2819" w:rsidRDefault="003B2819" w:rsidP="003B2819">
            <w:pPr>
              <w:spacing w:after="0" w:line="240" w:lineRule="auto"/>
              <w:rPr>
                <w:rFonts w:ascii="Arial" w:eastAsia="Times New Roman" w:hAnsi="Arial" w:cs="Arial"/>
                <w:i/>
                <w:iCs/>
                <w:color w:val="000000"/>
                <w:lang w:eastAsia="en-GB"/>
              </w:rPr>
            </w:pPr>
            <w:r w:rsidRPr="003B2819">
              <w:rPr>
                <w:rFonts w:ascii="Arial" w:eastAsia="Times New Roman" w:hAnsi="Arial" w:cs="Arial"/>
                <w:i/>
                <w:iCs/>
                <w:color w:val="000000"/>
                <w:lang w:eastAsia="en-GB"/>
              </w:rPr>
              <w:t xml:space="preserve">                      3,188 </w:t>
            </w:r>
          </w:p>
        </w:tc>
        <w:tc>
          <w:tcPr>
            <w:tcW w:w="21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E02E63" w14:textId="162B5306" w:rsidR="003B2819" w:rsidRPr="003B2819" w:rsidRDefault="003B2819" w:rsidP="003B2819">
            <w:pPr>
              <w:spacing w:after="0" w:line="240" w:lineRule="auto"/>
              <w:jc w:val="right"/>
              <w:rPr>
                <w:rFonts w:ascii="Arial" w:eastAsia="Times New Roman" w:hAnsi="Arial" w:cs="Arial"/>
                <w:i/>
                <w:iCs/>
                <w:color w:val="000000"/>
                <w:lang w:eastAsia="en-GB"/>
              </w:rPr>
            </w:pPr>
            <w:r w:rsidRPr="003B2819">
              <w:rPr>
                <w:rFonts w:ascii="Arial" w:eastAsia="Times New Roman" w:hAnsi="Arial" w:cs="Arial"/>
                <w:i/>
                <w:iCs/>
                <w:color w:val="000000"/>
                <w:lang w:eastAsia="en-GB"/>
              </w:rPr>
              <w:t xml:space="preserve">                   3,086 </w:t>
            </w:r>
          </w:p>
        </w:tc>
      </w:tr>
      <w:tr w:rsidR="003B2819" w:rsidRPr="003B2819" w14:paraId="2E9C967F" w14:textId="77777777" w:rsidTr="003B2819">
        <w:trPr>
          <w:trHeight w:val="390"/>
          <w:jc w:val="center"/>
        </w:trPr>
        <w:tc>
          <w:tcPr>
            <w:tcW w:w="5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76954B" w14:textId="77777777" w:rsidR="003B2819" w:rsidRPr="003B2819" w:rsidRDefault="003B2819" w:rsidP="003B2819">
            <w:pPr>
              <w:spacing w:after="0" w:line="240" w:lineRule="auto"/>
              <w:rPr>
                <w:rFonts w:ascii="Arial" w:eastAsia="Times New Roman" w:hAnsi="Arial" w:cs="Arial"/>
                <w:i/>
                <w:iCs/>
                <w:color w:val="000000"/>
                <w:lang w:eastAsia="en-GB"/>
              </w:rPr>
            </w:pPr>
            <w:r w:rsidRPr="003B2819">
              <w:rPr>
                <w:rFonts w:ascii="Arial" w:eastAsia="Times New Roman" w:hAnsi="Arial" w:cs="Arial"/>
                <w:i/>
                <w:iCs/>
                <w:color w:val="000000"/>
                <w:lang w:eastAsia="en-GB"/>
              </w:rPr>
              <w:t>Other expenses</w:t>
            </w:r>
          </w:p>
        </w:tc>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4A4857" w14:textId="77777777" w:rsidR="003B2819" w:rsidRPr="003B2819" w:rsidRDefault="003B2819" w:rsidP="003B2819">
            <w:pPr>
              <w:spacing w:after="0" w:line="240" w:lineRule="auto"/>
              <w:rPr>
                <w:rFonts w:ascii="Arial" w:eastAsia="Times New Roman" w:hAnsi="Arial" w:cs="Arial"/>
                <w:i/>
                <w:iCs/>
                <w:color w:val="000000"/>
                <w:lang w:eastAsia="en-GB"/>
              </w:rPr>
            </w:pPr>
            <w:r w:rsidRPr="003B2819">
              <w:rPr>
                <w:rFonts w:ascii="Arial" w:eastAsia="Times New Roman" w:hAnsi="Arial" w:cs="Arial"/>
                <w:i/>
                <w:iCs/>
                <w:color w:val="000000"/>
                <w:lang w:eastAsia="en-GB"/>
              </w:rPr>
              <w:t xml:space="preserve">                      2,053 </w:t>
            </w:r>
          </w:p>
        </w:tc>
        <w:tc>
          <w:tcPr>
            <w:tcW w:w="21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C63999" w14:textId="171CD856" w:rsidR="003B2819" w:rsidRPr="003B2819" w:rsidRDefault="003B2819" w:rsidP="003B2819">
            <w:pPr>
              <w:spacing w:after="0" w:line="240" w:lineRule="auto"/>
              <w:jc w:val="right"/>
              <w:rPr>
                <w:rFonts w:ascii="Arial" w:eastAsia="Times New Roman" w:hAnsi="Arial" w:cs="Arial"/>
                <w:i/>
                <w:iCs/>
                <w:color w:val="000000"/>
                <w:lang w:eastAsia="en-GB"/>
              </w:rPr>
            </w:pPr>
            <w:r w:rsidRPr="003B2819">
              <w:rPr>
                <w:rFonts w:ascii="Arial" w:eastAsia="Times New Roman" w:hAnsi="Arial" w:cs="Arial"/>
                <w:i/>
                <w:iCs/>
                <w:color w:val="000000"/>
                <w:lang w:eastAsia="en-GB"/>
              </w:rPr>
              <w:t xml:space="preserve">                   1,863 </w:t>
            </w:r>
          </w:p>
        </w:tc>
      </w:tr>
      <w:tr w:rsidR="003B2819" w:rsidRPr="003B2819" w14:paraId="0D966B7D" w14:textId="77777777" w:rsidTr="003B2819">
        <w:trPr>
          <w:trHeight w:val="390"/>
          <w:jc w:val="center"/>
        </w:trPr>
        <w:tc>
          <w:tcPr>
            <w:tcW w:w="5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465FFA" w14:textId="77777777" w:rsidR="003B2819" w:rsidRPr="003B2819" w:rsidRDefault="003B2819" w:rsidP="003B2819">
            <w:pPr>
              <w:spacing w:after="0" w:line="240" w:lineRule="auto"/>
              <w:rPr>
                <w:rFonts w:ascii="Arial" w:eastAsia="Times New Roman" w:hAnsi="Arial" w:cs="Arial"/>
                <w:b/>
                <w:bCs/>
                <w:color w:val="000000"/>
                <w:lang w:eastAsia="en-GB"/>
              </w:rPr>
            </w:pPr>
            <w:r w:rsidRPr="003B2819">
              <w:rPr>
                <w:rFonts w:ascii="Arial" w:eastAsia="Times New Roman" w:hAnsi="Arial" w:cs="Arial"/>
                <w:b/>
                <w:bCs/>
                <w:color w:val="000000"/>
                <w:lang w:eastAsia="en-GB"/>
              </w:rPr>
              <w:t>Total expenses</w:t>
            </w:r>
          </w:p>
        </w:tc>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CCB7E" w14:textId="48A415D6" w:rsidR="003B2819" w:rsidRPr="003B2819" w:rsidRDefault="003B2819" w:rsidP="003B2819">
            <w:pPr>
              <w:spacing w:after="0" w:line="240" w:lineRule="auto"/>
              <w:jc w:val="right"/>
              <w:rPr>
                <w:rFonts w:ascii="Arial" w:eastAsia="Times New Roman" w:hAnsi="Arial" w:cs="Arial"/>
                <w:b/>
                <w:bCs/>
                <w:color w:val="000000"/>
                <w:lang w:eastAsia="en-GB"/>
              </w:rPr>
            </w:pPr>
            <w:r w:rsidRPr="003B2819">
              <w:rPr>
                <w:rFonts w:ascii="Arial" w:eastAsia="Times New Roman" w:hAnsi="Arial" w:cs="Arial"/>
                <w:b/>
                <w:bCs/>
                <w:color w:val="000000"/>
                <w:lang w:eastAsia="en-GB"/>
              </w:rPr>
              <w:t xml:space="preserve">                 125,636 </w:t>
            </w:r>
          </w:p>
        </w:tc>
        <w:tc>
          <w:tcPr>
            <w:tcW w:w="21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777A2B" w14:textId="59E68E3A" w:rsidR="003B2819" w:rsidRPr="003B2819" w:rsidRDefault="003B2819" w:rsidP="003B2819">
            <w:pPr>
              <w:spacing w:after="0" w:line="240" w:lineRule="auto"/>
              <w:jc w:val="right"/>
              <w:rPr>
                <w:rFonts w:ascii="Arial" w:eastAsia="Times New Roman" w:hAnsi="Arial" w:cs="Arial"/>
                <w:b/>
                <w:bCs/>
                <w:color w:val="000000"/>
                <w:lang w:eastAsia="en-GB"/>
              </w:rPr>
            </w:pPr>
            <w:r w:rsidRPr="003B2819">
              <w:rPr>
                <w:rFonts w:ascii="Arial" w:eastAsia="Times New Roman" w:hAnsi="Arial" w:cs="Arial"/>
                <w:b/>
                <w:bCs/>
                <w:color w:val="000000"/>
                <w:lang w:eastAsia="en-GB"/>
              </w:rPr>
              <w:t xml:space="preserve">                 96,862 </w:t>
            </w:r>
          </w:p>
        </w:tc>
      </w:tr>
      <w:tr w:rsidR="003B2819" w:rsidRPr="003B2819" w14:paraId="065432EB" w14:textId="77777777" w:rsidTr="003B2819">
        <w:trPr>
          <w:trHeight w:val="70"/>
          <w:jc w:val="center"/>
        </w:trPr>
        <w:tc>
          <w:tcPr>
            <w:tcW w:w="5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A63FCC" w14:textId="77777777" w:rsidR="003B2819" w:rsidRPr="003B2819" w:rsidRDefault="003B2819" w:rsidP="003B2819">
            <w:pPr>
              <w:spacing w:after="0" w:line="240" w:lineRule="auto"/>
              <w:jc w:val="right"/>
              <w:rPr>
                <w:rFonts w:ascii="Arial" w:eastAsia="Times New Roman" w:hAnsi="Arial" w:cs="Arial"/>
                <w:b/>
                <w:bCs/>
                <w:color w:val="000000"/>
                <w:lang w:eastAsia="en-GB"/>
              </w:rPr>
            </w:pPr>
          </w:p>
        </w:tc>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EA6774" w14:textId="77777777" w:rsidR="003B2819" w:rsidRPr="003B2819" w:rsidRDefault="003B2819" w:rsidP="003B2819">
            <w:pPr>
              <w:spacing w:after="0" w:line="240" w:lineRule="auto"/>
              <w:rPr>
                <w:rFonts w:ascii="Arial" w:eastAsia="Times New Roman" w:hAnsi="Arial" w:cs="Arial"/>
                <w:lang w:eastAsia="en-GB"/>
              </w:rPr>
            </w:pPr>
          </w:p>
        </w:tc>
        <w:tc>
          <w:tcPr>
            <w:tcW w:w="21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8F87A8" w14:textId="77777777" w:rsidR="003B2819" w:rsidRPr="003B2819" w:rsidRDefault="003B2819" w:rsidP="003B2819">
            <w:pPr>
              <w:spacing w:after="0" w:line="240" w:lineRule="auto"/>
              <w:jc w:val="right"/>
              <w:rPr>
                <w:rFonts w:ascii="Arial" w:eastAsia="Times New Roman" w:hAnsi="Arial" w:cs="Arial"/>
                <w:lang w:eastAsia="en-GB"/>
              </w:rPr>
            </w:pPr>
          </w:p>
        </w:tc>
      </w:tr>
      <w:tr w:rsidR="003B2819" w:rsidRPr="003B2819" w14:paraId="1C9AA07C" w14:textId="77777777" w:rsidTr="003B2819">
        <w:trPr>
          <w:trHeight w:val="375"/>
          <w:jc w:val="center"/>
        </w:trPr>
        <w:tc>
          <w:tcPr>
            <w:tcW w:w="5200" w:type="dxa"/>
            <w:tcBorders>
              <w:top w:val="single" w:sz="4" w:space="0" w:color="auto"/>
              <w:left w:val="single" w:sz="4" w:space="0" w:color="auto"/>
              <w:bottom w:val="single" w:sz="4" w:space="0" w:color="auto"/>
              <w:right w:val="single" w:sz="4" w:space="0" w:color="auto"/>
            </w:tcBorders>
            <w:shd w:val="clear" w:color="000000" w:fill="CCE1EA"/>
            <w:vAlign w:val="center"/>
            <w:hideMark/>
          </w:tcPr>
          <w:p w14:paraId="673210A6" w14:textId="77777777" w:rsidR="003B2819" w:rsidRPr="003B2819" w:rsidRDefault="003B2819" w:rsidP="003B2819">
            <w:pPr>
              <w:spacing w:after="0" w:line="240" w:lineRule="auto"/>
              <w:rPr>
                <w:rFonts w:ascii="Arial" w:eastAsia="Times New Roman" w:hAnsi="Arial" w:cs="Arial"/>
                <w:b/>
                <w:bCs/>
                <w:color w:val="000000"/>
                <w:lang w:eastAsia="en-GB"/>
              </w:rPr>
            </w:pPr>
            <w:r w:rsidRPr="003B2819">
              <w:rPr>
                <w:rFonts w:ascii="Arial" w:eastAsia="Times New Roman" w:hAnsi="Arial" w:cs="Arial"/>
                <w:b/>
                <w:bCs/>
                <w:color w:val="000000"/>
                <w:lang w:eastAsia="en-GB"/>
              </w:rPr>
              <w:t>ECONOMIC RESULT OF THE YEAR</w:t>
            </w:r>
          </w:p>
        </w:tc>
        <w:tc>
          <w:tcPr>
            <w:tcW w:w="2260" w:type="dxa"/>
            <w:tcBorders>
              <w:top w:val="single" w:sz="4" w:space="0" w:color="auto"/>
              <w:left w:val="single" w:sz="4" w:space="0" w:color="auto"/>
              <w:bottom w:val="single" w:sz="4" w:space="0" w:color="auto"/>
              <w:right w:val="single" w:sz="4" w:space="0" w:color="auto"/>
            </w:tcBorders>
            <w:shd w:val="clear" w:color="000000" w:fill="CCE1EA"/>
            <w:vAlign w:val="center"/>
            <w:hideMark/>
          </w:tcPr>
          <w:p w14:paraId="06B5A1C0" w14:textId="77777777" w:rsidR="003B2819" w:rsidRPr="003B2819" w:rsidRDefault="003B2819" w:rsidP="003B2819">
            <w:pPr>
              <w:spacing w:after="0" w:line="240" w:lineRule="auto"/>
              <w:jc w:val="right"/>
              <w:rPr>
                <w:rFonts w:ascii="Arial" w:eastAsia="Times New Roman" w:hAnsi="Arial" w:cs="Arial"/>
                <w:b/>
                <w:bCs/>
                <w:color w:val="000000"/>
                <w:lang w:eastAsia="en-GB"/>
              </w:rPr>
            </w:pPr>
            <w:r w:rsidRPr="003B2819">
              <w:rPr>
                <w:rFonts w:ascii="Arial" w:eastAsia="Times New Roman" w:hAnsi="Arial" w:cs="Arial"/>
                <w:b/>
                <w:bCs/>
                <w:color w:val="000000"/>
                <w:lang w:eastAsia="en-GB"/>
              </w:rPr>
              <w:t xml:space="preserve">                  120,639 </w:t>
            </w:r>
          </w:p>
        </w:tc>
        <w:tc>
          <w:tcPr>
            <w:tcW w:w="2100" w:type="dxa"/>
            <w:tcBorders>
              <w:top w:val="single" w:sz="4" w:space="0" w:color="auto"/>
              <w:left w:val="single" w:sz="4" w:space="0" w:color="auto"/>
              <w:bottom w:val="single" w:sz="4" w:space="0" w:color="auto"/>
              <w:right w:val="single" w:sz="4" w:space="0" w:color="auto"/>
            </w:tcBorders>
            <w:shd w:val="clear" w:color="000000" w:fill="CCE1EA"/>
            <w:vAlign w:val="center"/>
            <w:hideMark/>
          </w:tcPr>
          <w:p w14:paraId="010AF661" w14:textId="77777777" w:rsidR="003B2819" w:rsidRPr="003B2819" w:rsidRDefault="003B2819" w:rsidP="003B2819">
            <w:pPr>
              <w:spacing w:after="0" w:line="240" w:lineRule="auto"/>
              <w:jc w:val="right"/>
              <w:rPr>
                <w:rFonts w:ascii="Arial" w:eastAsia="Times New Roman" w:hAnsi="Arial" w:cs="Arial"/>
                <w:b/>
                <w:bCs/>
                <w:color w:val="000000"/>
                <w:lang w:eastAsia="en-GB"/>
              </w:rPr>
            </w:pPr>
            <w:r w:rsidRPr="003B2819">
              <w:rPr>
                <w:rFonts w:ascii="Arial" w:eastAsia="Times New Roman" w:hAnsi="Arial" w:cs="Arial"/>
                <w:b/>
                <w:bCs/>
                <w:color w:val="000000"/>
                <w:lang w:eastAsia="en-GB"/>
              </w:rPr>
              <w:t xml:space="preserve">                  93,368 </w:t>
            </w:r>
          </w:p>
        </w:tc>
      </w:tr>
    </w:tbl>
    <w:p w14:paraId="66EBFFF0" w14:textId="032B8E8C" w:rsidR="003B2819" w:rsidRDefault="003B2819" w:rsidP="003B2819">
      <w:pPr>
        <w:spacing w:after="100" w:afterAutospacing="1"/>
        <w:jc w:val="center"/>
        <w:rPr>
          <w:rFonts w:asciiTheme="minorHAnsi" w:hAnsiTheme="minorHAnsi"/>
        </w:rPr>
      </w:pPr>
    </w:p>
    <w:p w14:paraId="390852CC" w14:textId="665287AA" w:rsidR="00F453AD" w:rsidRDefault="00F453AD" w:rsidP="003B2819">
      <w:pPr>
        <w:spacing w:after="100" w:afterAutospacing="1"/>
        <w:jc w:val="center"/>
        <w:rPr>
          <w:rFonts w:asciiTheme="minorHAnsi" w:hAnsiTheme="minorHAnsi"/>
        </w:rPr>
      </w:pPr>
    </w:p>
    <w:p w14:paraId="072B65D0" w14:textId="26ED90CA" w:rsidR="00F453AD" w:rsidRDefault="00F453AD" w:rsidP="003B2819">
      <w:pPr>
        <w:spacing w:after="100" w:afterAutospacing="1"/>
        <w:jc w:val="center"/>
        <w:rPr>
          <w:rFonts w:asciiTheme="minorHAnsi" w:hAnsiTheme="minorHAnsi"/>
        </w:rPr>
      </w:pPr>
    </w:p>
    <w:p w14:paraId="02D86004" w14:textId="41E829A2" w:rsidR="00F453AD" w:rsidRDefault="00F453AD" w:rsidP="003B2819">
      <w:pPr>
        <w:spacing w:after="100" w:afterAutospacing="1"/>
        <w:jc w:val="center"/>
        <w:rPr>
          <w:rFonts w:asciiTheme="minorHAnsi" w:hAnsiTheme="minorHAnsi"/>
        </w:rPr>
      </w:pPr>
    </w:p>
    <w:p w14:paraId="0291FDD4" w14:textId="35C36D8E" w:rsidR="00F453AD" w:rsidRDefault="00F453AD" w:rsidP="003B2819">
      <w:pPr>
        <w:spacing w:after="100" w:afterAutospacing="1"/>
        <w:jc w:val="center"/>
        <w:rPr>
          <w:rFonts w:asciiTheme="minorHAnsi" w:hAnsiTheme="minorHAnsi"/>
        </w:rPr>
      </w:pPr>
    </w:p>
    <w:p w14:paraId="254EBBA1" w14:textId="5880CE34" w:rsidR="00F453AD" w:rsidRDefault="00F453AD" w:rsidP="003B2819">
      <w:pPr>
        <w:spacing w:after="100" w:afterAutospacing="1"/>
        <w:jc w:val="center"/>
        <w:rPr>
          <w:rFonts w:asciiTheme="minorHAnsi" w:hAnsiTheme="minorHAnsi"/>
        </w:rPr>
      </w:pPr>
    </w:p>
    <w:p w14:paraId="60737C00" w14:textId="49690768" w:rsidR="00F453AD" w:rsidRDefault="00F453AD" w:rsidP="003B2819">
      <w:pPr>
        <w:spacing w:after="100" w:afterAutospacing="1"/>
        <w:jc w:val="center"/>
        <w:rPr>
          <w:rFonts w:asciiTheme="minorHAnsi" w:hAnsiTheme="minorHAnsi"/>
        </w:rPr>
      </w:pPr>
    </w:p>
    <w:p w14:paraId="5D4E00D6" w14:textId="14830CB4" w:rsidR="00F453AD" w:rsidRDefault="00F453AD" w:rsidP="003B2819">
      <w:pPr>
        <w:spacing w:after="100" w:afterAutospacing="1"/>
        <w:jc w:val="center"/>
        <w:rPr>
          <w:rFonts w:asciiTheme="minorHAnsi" w:hAnsiTheme="minorHAnsi"/>
        </w:rPr>
      </w:pPr>
    </w:p>
    <w:p w14:paraId="028B0BA5" w14:textId="2B4A5989" w:rsidR="00F453AD" w:rsidRDefault="00F453AD" w:rsidP="003B2819">
      <w:pPr>
        <w:spacing w:after="100" w:afterAutospacing="1"/>
        <w:jc w:val="center"/>
        <w:rPr>
          <w:rFonts w:asciiTheme="minorHAnsi" w:hAnsiTheme="minorHAnsi"/>
        </w:rPr>
      </w:pPr>
    </w:p>
    <w:p w14:paraId="5E59B722" w14:textId="7AE884DD" w:rsidR="00F453AD" w:rsidRDefault="00F453AD" w:rsidP="003B2819">
      <w:pPr>
        <w:spacing w:after="100" w:afterAutospacing="1"/>
        <w:jc w:val="center"/>
        <w:rPr>
          <w:rFonts w:asciiTheme="minorHAnsi" w:hAnsiTheme="minorHAnsi"/>
          <w:lang w:val="el-GR"/>
        </w:rPr>
      </w:pPr>
    </w:p>
    <w:p w14:paraId="453DFD0F" w14:textId="77777777" w:rsidR="00F77365" w:rsidRPr="00F453AD" w:rsidRDefault="00F77365" w:rsidP="003B2819">
      <w:pPr>
        <w:spacing w:after="100" w:afterAutospacing="1"/>
        <w:jc w:val="center"/>
        <w:rPr>
          <w:rFonts w:asciiTheme="minorHAnsi" w:hAnsiTheme="minorHAnsi"/>
          <w:lang w:val="el-GR"/>
        </w:rPr>
      </w:pPr>
    </w:p>
    <w:p w14:paraId="04A5364D" w14:textId="550C60E5" w:rsidR="000E0183" w:rsidRPr="000E0183" w:rsidRDefault="000E0183" w:rsidP="000E0183">
      <w:pPr>
        <w:pStyle w:val="Heading2"/>
        <w:jc w:val="center"/>
        <w:rPr>
          <w:i w:val="0"/>
          <w:iCs w:val="0"/>
          <w:lang w:val="en-US"/>
        </w:rPr>
      </w:pPr>
      <w:bookmarkStart w:id="268" w:name="_Toc101516111"/>
      <w:r w:rsidRPr="00F453AD">
        <w:lastRenderedPageBreak/>
        <w:t xml:space="preserve">Annex </w:t>
      </w:r>
      <w:r>
        <w:rPr>
          <w:lang w:val="el-GR"/>
        </w:rPr>
        <w:t>9</w:t>
      </w:r>
      <w:r w:rsidRPr="00F453AD">
        <w:t xml:space="preserve"> </w:t>
      </w:r>
      <w:r>
        <w:t>–</w:t>
      </w:r>
      <w:r w:rsidRPr="00F453AD">
        <w:t xml:space="preserve"> </w:t>
      </w:r>
      <w:r>
        <w:rPr>
          <w:lang w:val="en-US"/>
        </w:rPr>
        <w:t>Materiality criteria</w:t>
      </w:r>
      <w:bookmarkEnd w:id="268"/>
    </w:p>
    <w:p w14:paraId="1244C4D4" w14:textId="77777777" w:rsidR="000E0183" w:rsidRDefault="000E0183" w:rsidP="00F453AD">
      <w:pPr>
        <w:pStyle w:val="Heading2"/>
        <w:jc w:val="center"/>
      </w:pPr>
    </w:p>
    <w:p w14:paraId="1D05B6E0" w14:textId="77777777" w:rsidR="000E0183" w:rsidRDefault="000E0183" w:rsidP="000E0183">
      <w:pPr>
        <w:ind w:left="10" w:right="18"/>
      </w:pPr>
      <w:r>
        <w:t>The</w:t>
      </w:r>
      <w:r>
        <w:rPr>
          <w:b/>
        </w:rPr>
        <w:t xml:space="preserve"> ‘materiality’ </w:t>
      </w:r>
      <w:r>
        <w:t xml:space="preserve">concept provides the executive director with a basis for assessing the importance of the weaknesses/risks identified and thus whether those weaknesses should be subject to a formal reservation to his/her declaration. The same materiality criteria are applicable to the FP7 and H2020 programmes. </w:t>
      </w:r>
    </w:p>
    <w:p w14:paraId="7F457282" w14:textId="77777777" w:rsidR="000E0183" w:rsidRDefault="000E0183" w:rsidP="000E0183">
      <w:pPr>
        <w:ind w:left="10" w:right="18"/>
      </w:pPr>
      <w:r>
        <w:t xml:space="preserve">When deciding </w:t>
      </w:r>
      <w:proofErr w:type="gramStart"/>
      <w:r>
        <w:t>whether or not</w:t>
      </w:r>
      <w:proofErr w:type="gramEnd"/>
      <w:r>
        <w:t xml:space="preserve"> something is material,</w:t>
      </w:r>
      <w:r>
        <w:rPr>
          <w:b/>
        </w:rPr>
        <w:t xml:space="preserve"> qualitative and quantitative </w:t>
      </w:r>
      <w:r>
        <w:t xml:space="preserve">terms have to be considered. </w:t>
      </w:r>
    </w:p>
    <w:p w14:paraId="2646DBD7" w14:textId="77777777" w:rsidR="000E0183" w:rsidRDefault="000E0183" w:rsidP="000E0183">
      <w:pPr>
        <w:ind w:left="10" w:right="18"/>
      </w:pPr>
      <w:r>
        <w:t xml:space="preserve">In </w:t>
      </w:r>
      <w:r>
        <w:rPr>
          <w:b/>
        </w:rPr>
        <w:t>qualitative</w:t>
      </w:r>
      <w:r>
        <w:t xml:space="preserve"> terms, when assessing the significance of any weakness, the following factors are </w:t>
      </w:r>
      <w:proofErr w:type="gramStart"/>
      <w:r>
        <w:t>taken into account</w:t>
      </w:r>
      <w:proofErr w:type="gramEnd"/>
      <w:r>
        <w:t>:</w:t>
      </w:r>
    </w:p>
    <w:p w14:paraId="076C8F44" w14:textId="77777777" w:rsidR="000E0183" w:rsidRDefault="000E0183" w:rsidP="000E0183">
      <w:pPr>
        <w:numPr>
          <w:ilvl w:val="0"/>
          <w:numId w:val="50"/>
        </w:numPr>
        <w:spacing w:after="231" w:line="247" w:lineRule="auto"/>
        <w:ind w:right="18" w:hanging="360"/>
        <w:jc w:val="both"/>
      </w:pPr>
      <w:r>
        <w:t xml:space="preserve">The nature and scope of the </w:t>
      </w:r>
      <w:proofErr w:type="gramStart"/>
      <w:r>
        <w:t>weakness;</w:t>
      </w:r>
      <w:proofErr w:type="gramEnd"/>
    </w:p>
    <w:p w14:paraId="6AC0D41B" w14:textId="77777777" w:rsidR="000E0183" w:rsidRDefault="000E0183" w:rsidP="000E0183">
      <w:pPr>
        <w:numPr>
          <w:ilvl w:val="0"/>
          <w:numId w:val="50"/>
        </w:numPr>
        <w:spacing w:after="231" w:line="247" w:lineRule="auto"/>
        <w:ind w:right="18" w:hanging="360"/>
        <w:jc w:val="both"/>
      </w:pPr>
      <w:r>
        <w:t xml:space="preserve">The duration of the </w:t>
      </w:r>
      <w:proofErr w:type="gramStart"/>
      <w:r>
        <w:t>weakness;</w:t>
      </w:r>
      <w:proofErr w:type="gramEnd"/>
    </w:p>
    <w:p w14:paraId="0295F6B0" w14:textId="77777777" w:rsidR="000E0183" w:rsidRDefault="000E0183" w:rsidP="000E0183">
      <w:pPr>
        <w:numPr>
          <w:ilvl w:val="0"/>
          <w:numId w:val="50"/>
        </w:numPr>
        <w:spacing w:after="231" w:line="247" w:lineRule="auto"/>
        <w:ind w:right="18" w:hanging="360"/>
        <w:jc w:val="both"/>
      </w:pPr>
      <w:r>
        <w:t>The existence of compensatory measures (mitigating controls which reduce the impact of the weakness</w:t>
      </w:r>
      <w:proofErr w:type="gramStart"/>
      <w:r>
        <w:t>);</w:t>
      </w:r>
      <w:proofErr w:type="gramEnd"/>
    </w:p>
    <w:p w14:paraId="4E258079" w14:textId="77777777" w:rsidR="000E0183" w:rsidRDefault="000E0183" w:rsidP="000E0183">
      <w:pPr>
        <w:numPr>
          <w:ilvl w:val="0"/>
          <w:numId w:val="50"/>
        </w:numPr>
        <w:spacing w:after="231" w:line="247" w:lineRule="auto"/>
        <w:ind w:right="18" w:hanging="360"/>
        <w:jc w:val="both"/>
      </w:pPr>
      <w:r>
        <w:t>The existence of effective corrective actions to correct the weaknesses (action plans and financial corrections) which have had a measurable impact.</w:t>
      </w:r>
    </w:p>
    <w:p w14:paraId="0FBE8731" w14:textId="77777777" w:rsidR="000E0183" w:rsidRDefault="000E0183" w:rsidP="000E0183">
      <w:pPr>
        <w:ind w:left="10" w:right="18"/>
      </w:pPr>
      <w:r>
        <w:t xml:space="preserve">In </w:t>
      </w:r>
      <w:r>
        <w:rPr>
          <w:b/>
        </w:rPr>
        <w:t xml:space="preserve">quantitative </w:t>
      </w:r>
      <w:r>
        <w:t xml:space="preserve">terms, </w:t>
      </w:r>
      <w:proofErr w:type="gramStart"/>
      <w:r>
        <w:t>in order to</w:t>
      </w:r>
      <w:proofErr w:type="gramEnd"/>
      <w:r>
        <w:t xml:space="preserve"> make a judgement on the significance of a weakness, the potential maximum (financial) impact is quantified.</w:t>
      </w:r>
    </w:p>
    <w:p w14:paraId="1B551621" w14:textId="18383281" w:rsidR="000E0183" w:rsidRDefault="000E0183" w:rsidP="000E0183">
      <w:pPr>
        <w:ind w:left="10" w:right="18"/>
      </w:pPr>
      <w:r>
        <w:t>Whereas the JU control strategy is of a multi-annual nature (</w:t>
      </w:r>
      <w:proofErr w:type="gramStart"/>
      <w:r>
        <w:t>i.e.</w:t>
      </w:r>
      <w:proofErr w:type="gramEnd"/>
      <w:r>
        <w:t xml:space="preserve"> the effectiveness of the JU’s control strategy can only be assessed at the end of the programme, when the strategy has been fully implemented and the errors detected have been corrected), the executive director is required to sign a declaration of assurance for each financial year. </w:t>
      </w:r>
      <w:proofErr w:type="gramStart"/>
      <w:r>
        <w:t>In order to</w:t>
      </w:r>
      <w:proofErr w:type="gramEnd"/>
      <w:r>
        <w:t xml:space="preserve"> determine whether to qualify his declaration of assurance with a reservation, the effectiveness of the JU’s control system has to be assessed, not only for the year of reference, but more importantly, with a multi-annual outlook.</w:t>
      </w:r>
    </w:p>
    <w:p w14:paraId="2A3EB3BA" w14:textId="3EF636E9" w:rsidR="000E0183" w:rsidRDefault="000E0183" w:rsidP="000E0183">
      <w:pPr>
        <w:ind w:left="10" w:right="18"/>
      </w:pPr>
      <w:r>
        <w:t xml:space="preserve">The </w:t>
      </w:r>
      <w:r>
        <w:rPr>
          <w:b/>
        </w:rPr>
        <w:t xml:space="preserve">control objective </w:t>
      </w:r>
      <w:r>
        <w:t>for JU is to ensure that the ‘</w:t>
      </w:r>
      <w:r>
        <w:rPr>
          <w:b/>
        </w:rPr>
        <w:t>residual error rate</w:t>
      </w:r>
      <w:r>
        <w:t xml:space="preserve">’, </w:t>
      </w:r>
      <w:proofErr w:type="gramStart"/>
      <w:r>
        <w:t>i.e.</w:t>
      </w:r>
      <w:proofErr w:type="gramEnd"/>
      <w:r>
        <w:t xml:space="preserve"> the level of errors which remain undetected and uncorrected, does not exceed 2 % by the end of the JU’s programme. Progress towards this objective is to be (re)assessed annually, in view of the results of the implementation of the </w:t>
      </w:r>
      <w:proofErr w:type="gramStart"/>
      <w:r w:rsidRPr="00A56B78">
        <w:rPr>
          <w:i/>
        </w:rPr>
        <w:t>ex post</w:t>
      </w:r>
      <w:proofErr w:type="gramEnd"/>
      <w:r>
        <w:t xml:space="preserve"> audit strategy. </w:t>
      </w:r>
      <w:proofErr w:type="gramStart"/>
      <w:r>
        <w:t>As long as</w:t>
      </w:r>
      <w:proofErr w:type="gramEnd"/>
      <w:r>
        <w:t xml:space="preserve"> the residual error rate is not (yet) below 2 % at the end of a reporting year within the programme's life cycle, a reservation would (still) be made. Nevertheless, apart from the residual error rate, the executive director may also </w:t>
      </w:r>
      <w:proofErr w:type="gramStart"/>
      <w:r>
        <w:t>take into account</w:t>
      </w:r>
      <w:proofErr w:type="gramEnd"/>
      <w:r>
        <w:t xml:space="preserve"> other management information at his/her disposal to identify the overall impact of a weakness and determine whether or not it leads to a reservation.</w:t>
      </w:r>
    </w:p>
    <w:p w14:paraId="4281A1D7" w14:textId="77777777" w:rsidR="000E0183" w:rsidRDefault="000E0183" w:rsidP="000E0183">
      <w:pPr>
        <w:ind w:left="10" w:right="18"/>
      </w:pPr>
      <w:r>
        <w:t xml:space="preserve">If an adequate calculation of the residual error rate is not possible, for reasons not involving control deficiencies, the consequences are to be assessed quantitatively by estimating the likely exposure for the reporting year. The relative impact on the declaration of assurance would then be considered by analysing the available information on qualitative grounds and considering evidence from other </w:t>
      </w:r>
      <w:r>
        <w:lastRenderedPageBreak/>
        <w:t>sources and areas (</w:t>
      </w:r>
      <w:proofErr w:type="gramStart"/>
      <w:r>
        <w:t>e.g.</w:t>
      </w:r>
      <w:proofErr w:type="gramEnd"/>
      <w:r>
        <w:t xml:space="preserve"> information available on error rates in more experienced organisations with similar risk profiles).</w:t>
      </w:r>
    </w:p>
    <w:p w14:paraId="022A8296" w14:textId="77777777" w:rsidR="000E0183" w:rsidRDefault="000E0183" w:rsidP="000E0183">
      <w:pPr>
        <w:ind w:left="10" w:right="18"/>
      </w:pPr>
      <w:r>
        <w:t xml:space="preserve">Considering the crucial role of </w:t>
      </w:r>
      <w:r w:rsidRPr="00A56B78">
        <w:rPr>
          <w:i/>
        </w:rPr>
        <w:t>ex post</w:t>
      </w:r>
      <w:r>
        <w:t xml:space="preserve"> audits in the JU’s control system, its effectiveness needs to check whether the scope and results of these audits are sufficient and adequate to meet the control objectives.</w:t>
      </w:r>
    </w:p>
    <w:p w14:paraId="33E060ED" w14:textId="77777777" w:rsidR="000E0183" w:rsidRDefault="000E0183" w:rsidP="000E0183">
      <w:r>
        <w:t>EFFECTIVENESS OF CONTROLS</w:t>
      </w:r>
    </w:p>
    <w:p w14:paraId="41F332ED" w14:textId="06A55D64" w:rsidR="000E0183" w:rsidRDefault="000E0183" w:rsidP="000E0183">
      <w:pPr>
        <w:ind w:left="10" w:right="18"/>
      </w:pPr>
      <w:r>
        <w:t xml:space="preserve">The </w:t>
      </w:r>
      <w:r>
        <w:rPr>
          <w:b/>
        </w:rPr>
        <w:t>starting point</w:t>
      </w:r>
      <w:r>
        <w:t xml:space="preserve"> to determine the effectiveness of the controls in place is the ‘representative error rate’ expressed as a percentage of errors in favour of the JU detected by </w:t>
      </w:r>
      <w:r w:rsidRPr="00A56B78">
        <w:rPr>
          <w:i/>
        </w:rPr>
        <w:t>ex post</w:t>
      </w:r>
      <w:r>
        <w:t xml:space="preserve"> audits measured with respect to the amounts accepted after </w:t>
      </w:r>
      <w:r w:rsidRPr="00A56B78">
        <w:rPr>
          <w:i/>
        </w:rPr>
        <w:t>ex ante</w:t>
      </w:r>
      <w:r>
        <w:t xml:space="preserve"> controls.</w:t>
      </w:r>
    </w:p>
    <w:p w14:paraId="29F57BE0" w14:textId="10FC8984" w:rsidR="000E0183" w:rsidRDefault="000E0183" w:rsidP="000E0183">
      <w:pPr>
        <w:ind w:left="10" w:right="18"/>
      </w:pPr>
      <w:r>
        <w:t xml:space="preserve">According to the JU </w:t>
      </w:r>
      <w:r w:rsidRPr="00A56B78">
        <w:rPr>
          <w:i/>
        </w:rPr>
        <w:t>ex post</w:t>
      </w:r>
      <w:r>
        <w:t xml:space="preserve"> audit strategy approved by the governing board, the representative error rate will be based on the simple average error rate (AER) for a stratified population, from which a representative sample has been drawn according to the following formula:</w:t>
      </w:r>
    </w:p>
    <w:p w14:paraId="499E08AE" w14:textId="77777777" w:rsidR="000E0183" w:rsidRDefault="000E0183" w:rsidP="000E0183">
      <w:pPr>
        <w:ind w:left="10" w:right="18"/>
      </w:pPr>
      <w:r>
        <w:rPr>
          <w:noProof/>
          <w:lang w:eastAsia="en-GB"/>
        </w:rPr>
        <w:drawing>
          <wp:inline distT="0" distB="0" distL="0" distR="0" wp14:anchorId="2E7C7A7D" wp14:editId="7873CBE6">
            <wp:extent cx="2743200" cy="7239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743200" cy="723900"/>
                    </a:xfrm>
                    <a:prstGeom prst="rect">
                      <a:avLst/>
                    </a:prstGeom>
                    <a:noFill/>
                    <a:ln>
                      <a:noFill/>
                    </a:ln>
                  </pic:spPr>
                </pic:pic>
              </a:graphicData>
            </a:graphic>
          </wp:inline>
        </w:drawing>
      </w:r>
    </w:p>
    <w:p w14:paraId="4EBFDFEA" w14:textId="77777777" w:rsidR="000E0183" w:rsidRDefault="000E0183" w:rsidP="000E0183">
      <w:pPr>
        <w:ind w:left="10" w:right="18"/>
      </w:pPr>
    </w:p>
    <w:p w14:paraId="31FDF2A5" w14:textId="77777777" w:rsidR="000E0183" w:rsidRDefault="000E0183" w:rsidP="000E0183">
      <w:pPr>
        <w:spacing w:after="98" w:line="259" w:lineRule="auto"/>
        <w:ind w:left="3210"/>
      </w:pPr>
    </w:p>
    <w:p w14:paraId="76526739" w14:textId="77777777" w:rsidR="000E0183" w:rsidRDefault="000E0183" w:rsidP="000E0183">
      <w:pPr>
        <w:ind w:left="10" w:right="18"/>
      </w:pPr>
      <w:r>
        <w:t>Where:</w:t>
      </w:r>
    </w:p>
    <w:p w14:paraId="524EFA41" w14:textId="77777777" w:rsidR="000E0183" w:rsidRDefault="000E0183" w:rsidP="000E0183">
      <w:pPr>
        <w:ind w:left="10" w:right="18"/>
      </w:pPr>
      <w:r>
        <w:rPr>
          <w:rFonts w:ascii="Tahoma" w:eastAsia="Tahoma" w:hAnsi="Tahoma" w:cs="Tahoma"/>
        </w:rPr>
        <w:t>Σ</w:t>
      </w:r>
      <w:r>
        <w:rPr>
          <w:b/>
        </w:rPr>
        <w:t xml:space="preserve"> (err)</w:t>
      </w:r>
      <w:r>
        <w:t xml:space="preserve"> = sum of all individual error rates of the sample (in %). Only those errors in favour of the JU will be taken into consideration.</w:t>
      </w:r>
    </w:p>
    <w:p w14:paraId="3AE375E4" w14:textId="77777777" w:rsidR="000E0183" w:rsidRDefault="000E0183" w:rsidP="000E0183">
      <w:pPr>
        <w:spacing w:after="263"/>
        <w:ind w:left="10" w:right="18"/>
      </w:pPr>
      <w:r>
        <w:rPr>
          <w:b/>
        </w:rPr>
        <w:t>n</w:t>
      </w:r>
      <w:r>
        <w:t xml:space="preserve"> = sample size</w:t>
      </w:r>
    </w:p>
    <w:p w14:paraId="432E8358" w14:textId="77777777" w:rsidR="000E0183" w:rsidRDefault="000E0183" w:rsidP="000E0183">
      <w:pPr>
        <w:spacing w:after="214" w:line="265" w:lineRule="auto"/>
        <w:ind w:left="2" w:hanging="10"/>
      </w:pPr>
      <w:r>
        <w:rPr>
          <w:b/>
        </w:rPr>
        <w:t>Second step</w:t>
      </w:r>
      <w:r>
        <w:t xml:space="preserve">: calculation of </w:t>
      </w:r>
      <w:r>
        <w:rPr>
          <w:b/>
        </w:rPr>
        <w:t>residual error rate</w:t>
      </w:r>
      <w:r>
        <w:t>:</w:t>
      </w:r>
    </w:p>
    <w:p w14:paraId="6A71A6CD" w14:textId="77777777" w:rsidR="000E0183" w:rsidRDefault="000E0183" w:rsidP="000E0183">
      <w:pPr>
        <w:ind w:left="10" w:right="18"/>
      </w:pPr>
      <w:r>
        <w:t xml:space="preserve">To take into account the impact of the </w:t>
      </w:r>
      <w:proofErr w:type="gramStart"/>
      <w:r w:rsidRPr="00A56B78">
        <w:rPr>
          <w:i/>
        </w:rPr>
        <w:t>ex post</w:t>
      </w:r>
      <w:proofErr w:type="gramEnd"/>
      <w:r>
        <w:t xml:space="preserve"> controls, this error level is to be adjusted by subtracting:</w:t>
      </w:r>
    </w:p>
    <w:p w14:paraId="2518EC87" w14:textId="77777777" w:rsidR="000E0183" w:rsidRDefault="000E0183" w:rsidP="000E0183">
      <w:pPr>
        <w:numPr>
          <w:ilvl w:val="0"/>
          <w:numId w:val="51"/>
        </w:numPr>
        <w:spacing w:after="231" w:line="247" w:lineRule="auto"/>
        <w:ind w:right="18" w:hanging="360"/>
        <w:jc w:val="both"/>
      </w:pPr>
      <w:r>
        <w:t xml:space="preserve">errors detected and corrected as a result of the implementation of audit </w:t>
      </w:r>
      <w:proofErr w:type="gramStart"/>
      <w:r>
        <w:t>conclusions;</w:t>
      </w:r>
      <w:proofErr w:type="gramEnd"/>
    </w:p>
    <w:p w14:paraId="4836B9A7" w14:textId="77777777" w:rsidR="000E0183" w:rsidRDefault="000E0183" w:rsidP="000E0183">
      <w:pPr>
        <w:numPr>
          <w:ilvl w:val="0"/>
          <w:numId w:val="51"/>
        </w:numPr>
        <w:spacing w:after="231" w:line="247" w:lineRule="auto"/>
        <w:ind w:right="18" w:hanging="360"/>
        <w:jc w:val="both"/>
      </w:pPr>
      <w:r>
        <w:t xml:space="preserve">errors corrected </w:t>
      </w:r>
      <w:proofErr w:type="gramStart"/>
      <w:r>
        <w:t>as a result of</w:t>
      </w:r>
      <w:proofErr w:type="gramEnd"/>
      <w:r>
        <w:t xml:space="preserve"> the extrapolation of audit results to non-audited contracts with the same beneficiary.</w:t>
      </w:r>
    </w:p>
    <w:p w14:paraId="767D27DD" w14:textId="77777777" w:rsidR="000E0183" w:rsidRDefault="000E0183" w:rsidP="000E0183">
      <w:pPr>
        <w:spacing w:after="290"/>
        <w:ind w:left="10" w:right="18"/>
      </w:pPr>
      <w:r>
        <w:t>This results in a residual error rate, which is calculated by using the following formula:</w:t>
      </w:r>
    </w:p>
    <w:p w14:paraId="3A6F2E37" w14:textId="77777777" w:rsidR="000E0183" w:rsidRPr="00A56B78" w:rsidRDefault="000E0183" w:rsidP="000E0183">
      <w:pPr>
        <w:spacing w:after="33" w:line="259" w:lineRule="auto"/>
        <w:ind w:left="864" w:right="860" w:hanging="10"/>
        <w:jc w:val="center"/>
        <w:rPr>
          <w:lang w:val="it-IT"/>
        </w:rPr>
      </w:pPr>
      <w:r>
        <w:t xml:space="preserve">                       </w:t>
      </w:r>
      <w:r w:rsidRPr="00A56B78">
        <w:rPr>
          <w:lang w:val="it-IT"/>
        </w:rPr>
        <w:t>(RepER% * (P-A) - (RepERsys% * E)</w:t>
      </w:r>
    </w:p>
    <w:p w14:paraId="564CC13B" w14:textId="77777777" w:rsidR="000E0183" w:rsidRDefault="000E0183" w:rsidP="000E0183">
      <w:pPr>
        <w:spacing w:after="50"/>
        <w:ind w:left="2725" w:right="18"/>
      </w:pPr>
      <w:r>
        <w:t xml:space="preserve">RepER% = </w:t>
      </w:r>
      <w:r>
        <w:rPr>
          <w:noProof/>
          <w:color w:val="000000"/>
          <w:lang w:eastAsia="en-GB"/>
        </w:rPr>
        <mc:AlternateContent>
          <mc:Choice Requires="wpg">
            <w:drawing>
              <wp:inline distT="0" distB="0" distL="0" distR="0" wp14:anchorId="0D622321" wp14:editId="08EA641C">
                <wp:extent cx="2031365" cy="45085"/>
                <wp:effectExtent l="11430" t="7620" r="5080" b="0"/>
                <wp:docPr id="31399" name="Group 300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1365" cy="45085"/>
                          <a:chOff x="0" y="0"/>
                          <a:chExt cx="12240" cy="31"/>
                        </a:xfrm>
                      </wpg:grpSpPr>
                      <wps:wsp>
                        <wps:cNvPr id="31400" name="Shape 31429"/>
                        <wps:cNvSpPr>
                          <a:spLocks/>
                        </wps:cNvSpPr>
                        <wps:spPr bwMode="auto">
                          <a:xfrm>
                            <a:off x="0" y="0"/>
                            <a:ext cx="12240" cy="0"/>
                          </a:xfrm>
                          <a:custGeom>
                            <a:avLst/>
                            <a:gdLst>
                              <a:gd name="T0" fmla="*/ 0 w 1224001"/>
                              <a:gd name="T1" fmla="*/ 1224001 w 1224001"/>
                              <a:gd name="T2" fmla="*/ 0 w 1224001"/>
                              <a:gd name="T3" fmla="*/ 1224001 w 1224001"/>
                            </a:gdLst>
                            <a:ahLst/>
                            <a:cxnLst>
                              <a:cxn ang="0">
                                <a:pos x="T0" y="0"/>
                              </a:cxn>
                              <a:cxn ang="0">
                                <a:pos x="T1" y="0"/>
                              </a:cxn>
                            </a:cxnLst>
                            <a:rect l="T2" t="0" r="T3" b="0"/>
                            <a:pathLst>
                              <a:path w="1224001">
                                <a:moveTo>
                                  <a:pt x="0" y="0"/>
                                </a:moveTo>
                                <a:lnTo>
                                  <a:pt x="1224001" y="0"/>
                                </a:lnTo>
                              </a:path>
                            </a:pathLst>
                          </a:custGeom>
                          <a:noFill/>
                          <a:ln w="3175">
                            <a:solidFill>
                              <a:srgbClr val="000000"/>
                            </a:solidFill>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C076D46" id="Group 300318" o:spid="_x0000_s1026" style="width:159.95pt;height:3.55pt;mso-position-horizontal-relative:char;mso-position-vertical-relative:line" coordsize="1224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GGq/gIAACUHAAAOAAAAZHJzL2Uyb0RvYy54bWykVdtu2zAMfR+wfxD0OGD1LWkbo04x9IYB&#10;3Vag2QcosmwLkyVPUuJ0X19Kchw3XffQ+cGgTIo8PLz44nLXCrRl2nAlC5ycxBgxSVXJZV3gn6vb&#10;z+cYGUtkSYSSrMBPzODL5ccPF32Xs1Q1SpRMI3AiTd53BW6s7fIoMrRhLTEnqmMSlJXSLbFw1HVU&#10;atKD91ZEaRyfRr3SZacVZcbA1+ugxEvvv6oYtT+qyjCLRIEBm/Vv7d9r946WFySvNekaTgcY5B0o&#10;WsIlBB1dXRNL0EbzV65aTrUyqrInVLWRqipOmc8Bsknio2zutNp0Ppc67+tupAmoPeLp3W7p9+2D&#10;RrwscJZkiwVGkrRQJh8ZZXGcJeeOo76rczC9091j96BDoiDeK/rLgDo61rtzHYzRuv+mSvBJNlZ5&#10;jnaVbp0LyB7tfCmexlKwnUUUPqYQOTudY0RBN5vH5/NQKtpAPV/dos3NcC9J0xnU2d3KEnclInmI&#10;5zEOmFxC0G/mQKn5P0ofG9IxXynjeBopncUAJlDqTVCWzNJFYNRb7uk0Uy4nGofTAOXvY3HChm/1&#10;kQyS042xd0z5QpDtvbFhEkqQfHnLAfYKEqhaAUPxKUIx6pH3GXtuod1Hs2RiNpi8bZxOjP/hM5uY&#10;/dUn5FPvEZNmnwTdySELkBBxmyj2jdcp41rHpbTvOPAARi7jN2whr2PbcGcIoWHFuOWygpzG7bIC&#10;5If10hHrsLkgTkQ9LErXpkCi+9aqLVspr7VHnQ2RDlohp1Z7D1N0wQIuuTC+9cfQDvOk4lLdciF8&#10;yYV0gLLkbO7RGCV46ZQOkNH1+kpotCVuffpnmKkXZi23sMQFb11iZ2AWZrVhpLyRpY9iCRdBBiQC&#10;CIdxDJ0dZnGtyifocq0Ch/BHAaFR+g9GPWznApvfG6IZRuKrhFldJDM35tYfZvOzFA56qllPNURS&#10;cFVgi6EbnHhlwy9g02leNxApVEKqL7CjKu5mweMLqIYDrAsv+V0M0otlPz17q8PfbfkMAAD//wMA&#10;UEsDBBQABgAIAAAAIQAihe0y3AAAAAMBAAAPAAAAZHJzL2Rvd25yZXYueG1sTI/NasMwEITvgb6D&#10;2EJviayE/sS1HEJIewqFJoXS28ba2CbWyliK7bx91V7ay8Iww8y32Wq0jeip87VjDWqWgCAunKm5&#10;1PBxeJk+gfAB2WDjmDRcycMqv5lkmBo38Dv1+1CKWMI+RQ1VCG0qpS8qsuhnriWO3sl1FkOUXSlN&#10;h0Mst42cJ8mDtFhzXKiwpU1FxXl/sRpeBxzWC7Xtd+fT5vp1uH/73CnS+u52XD+DCDSGvzD84Ed0&#10;yCPT0V3YeNFoiI+E3xu9hVouQRw1PCqQeSb/s+ffAAAA//8DAFBLAQItABQABgAIAAAAIQC2gziS&#10;/gAAAOEBAAATAAAAAAAAAAAAAAAAAAAAAABbQ29udGVudF9UeXBlc10ueG1sUEsBAi0AFAAGAAgA&#10;AAAhADj9If/WAAAAlAEAAAsAAAAAAAAAAAAAAAAALwEAAF9yZWxzLy5yZWxzUEsBAi0AFAAGAAgA&#10;AAAhAMXsYar+AgAAJQcAAA4AAAAAAAAAAAAAAAAALgIAAGRycy9lMm9Eb2MueG1sUEsBAi0AFAAG&#10;AAgAAAAhACKF7TLcAAAAAwEAAA8AAAAAAAAAAAAAAAAAWAUAAGRycy9kb3ducmV2LnhtbFBLBQYA&#10;AAAABAAEAPMAAABhBgAAAAA=&#10;">
                <v:shape id="Shape 31429" o:spid="_x0000_s1027" style="position:absolute;width:12240;height:0;visibility:visible;mso-wrap-style:square;v-text-anchor:top" coordsize="1224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sSoyAAAAN4AAAAPAAAAZHJzL2Rvd25yZXYueG1sRI/LasJA&#10;FIb3Bd9hOAU3xUyipZU0o0ir0OJCvGJ3h8xpEsycCZlRU5/eWRS6/PlvfNm0M7W4UOsqywqSKAZB&#10;nFtdcaFgt10MxiCcR9ZYWyYFv+RgOuk9ZJhqe+U1XTa+EGGEXYoKSu+bVEqXl2TQRbYhDt6PbQ36&#10;INtC6havYdzUchjHL9JgxeGhxIbeS8pPm7NRsF/fjm7cfK+e7OEjwdev03KFc6X6j93sDYSnzv+H&#10;/9qfWsEoeY4DQMAJKCAndwAAAP//AwBQSwECLQAUAAYACAAAACEA2+H2y+4AAACFAQAAEwAAAAAA&#10;AAAAAAAAAAAAAAAAW0NvbnRlbnRfVHlwZXNdLnhtbFBLAQItABQABgAIAAAAIQBa9CxbvwAAABUB&#10;AAALAAAAAAAAAAAAAAAAAB8BAABfcmVscy8ucmVsc1BLAQItABQABgAIAAAAIQA9KsSoyAAAAN4A&#10;AAAPAAAAAAAAAAAAAAAAAAcCAABkcnMvZG93bnJldi54bWxQSwUGAAAAAAMAAwC3AAAA/AIAAAAA&#10;" path="m,l1224001,e" filled="f" strokeweight=".25pt">
                  <v:stroke miterlimit="83231f" joinstyle="miter"/>
                  <v:path arrowok="t" o:connecttype="custom" o:connectlocs="0,0;12240,0" o:connectangles="0,0" textboxrect="0,0,1224001,0"/>
                </v:shape>
                <w10:anchorlock/>
              </v:group>
            </w:pict>
          </mc:Fallback>
        </mc:AlternateContent>
      </w:r>
    </w:p>
    <w:p w14:paraId="599DD8B0" w14:textId="77777777" w:rsidR="000E0183" w:rsidRDefault="000E0183" w:rsidP="000E0183">
      <w:pPr>
        <w:spacing w:after="183" w:line="298" w:lineRule="auto"/>
        <w:ind w:left="7" w:right="3793" w:firstLine="4211"/>
      </w:pPr>
      <w:r>
        <w:t xml:space="preserve">                   P</w:t>
      </w:r>
      <w:r>
        <w:br/>
        <w:t xml:space="preserve"> </w:t>
      </w:r>
    </w:p>
    <w:p w14:paraId="178EB321" w14:textId="77777777" w:rsidR="000E0183" w:rsidRDefault="000E0183" w:rsidP="000E0183">
      <w:pPr>
        <w:spacing w:after="183" w:line="298" w:lineRule="auto"/>
        <w:ind w:left="7" w:right="3793" w:firstLine="4211"/>
      </w:pPr>
    </w:p>
    <w:p w14:paraId="587AAEA3" w14:textId="77777777" w:rsidR="000E0183" w:rsidRDefault="000E0183" w:rsidP="000E0183">
      <w:pPr>
        <w:spacing w:after="183" w:line="298" w:lineRule="auto"/>
        <w:ind w:left="7" w:right="3793" w:hanging="7"/>
      </w:pPr>
      <w:r>
        <w:t>Where:</w:t>
      </w:r>
    </w:p>
    <w:p w14:paraId="758A7F26" w14:textId="77777777" w:rsidR="000E0183" w:rsidRDefault="000E0183" w:rsidP="000E0183">
      <w:pPr>
        <w:ind w:left="10" w:right="18"/>
      </w:pPr>
      <w:r>
        <w:rPr>
          <w:b/>
        </w:rPr>
        <w:t>ResER%</w:t>
      </w:r>
      <w:r>
        <w:t xml:space="preserve"> = residual error rate, expressed as a percentage.</w:t>
      </w:r>
    </w:p>
    <w:p w14:paraId="5D3CD023" w14:textId="77777777" w:rsidR="000E0183" w:rsidRDefault="000E0183" w:rsidP="000E0183">
      <w:pPr>
        <w:ind w:left="10" w:right="18"/>
      </w:pPr>
      <w:r>
        <w:rPr>
          <w:b/>
        </w:rPr>
        <w:t>RepER%</w:t>
      </w:r>
      <w:r>
        <w:t xml:space="preserve"> = representative error rate, or error rate detected in the representative sample, in the form of the AER, expressed as a percentage and calculated as described above (AER%).</w:t>
      </w:r>
    </w:p>
    <w:p w14:paraId="0109A7F5" w14:textId="77777777" w:rsidR="000E0183" w:rsidRDefault="000E0183" w:rsidP="000E0183">
      <w:pPr>
        <w:ind w:left="10" w:right="18"/>
      </w:pPr>
      <w:r>
        <w:rPr>
          <w:b/>
        </w:rPr>
        <w:t xml:space="preserve">RepERsys% </w:t>
      </w:r>
      <w:r>
        <w:t>= systematic portion of the RepER% (the RepER% is composed of complementary portions reflecting the proportion of ‘systematic’ and ‘non-systematic’ errors detected) expressed as a percentage.</w:t>
      </w:r>
    </w:p>
    <w:p w14:paraId="6A7D224A" w14:textId="77777777" w:rsidR="000E0183" w:rsidRDefault="000E0183" w:rsidP="000E0183">
      <w:pPr>
        <w:ind w:left="10" w:right="18"/>
      </w:pPr>
      <w:r>
        <w:rPr>
          <w:b/>
        </w:rPr>
        <w:t xml:space="preserve">P </w:t>
      </w:r>
      <w:r>
        <w:t>= total amount in EUR of the auditable population.</w:t>
      </w:r>
    </w:p>
    <w:p w14:paraId="5D996B3E" w14:textId="77777777" w:rsidR="000E0183" w:rsidRDefault="000E0183" w:rsidP="000E0183">
      <w:pPr>
        <w:ind w:left="10" w:right="18"/>
      </w:pPr>
      <w:r>
        <w:rPr>
          <w:b/>
        </w:rPr>
        <w:t xml:space="preserve">A </w:t>
      </w:r>
      <w:r>
        <w:t>= total of all audited amounts, expressed in EUR.</w:t>
      </w:r>
    </w:p>
    <w:p w14:paraId="61B40037" w14:textId="77777777" w:rsidR="000E0183" w:rsidRDefault="000E0183" w:rsidP="000E0183">
      <w:pPr>
        <w:ind w:left="10" w:right="18"/>
      </w:pPr>
      <w:r>
        <w:rPr>
          <w:b/>
        </w:rPr>
        <w:t xml:space="preserve">E </w:t>
      </w:r>
      <w:r>
        <w:t>= total non-audited amounts of all audited beneficiaries. This will comprise the total amount, expressed in EUR, of all non-audited validated cost statements for all audited beneficiaries, excluding those beneficiaries for which an extrapolation is ongoing.</w:t>
      </w:r>
    </w:p>
    <w:p w14:paraId="51791DE3" w14:textId="77777777" w:rsidR="000E0183" w:rsidRDefault="000E0183" w:rsidP="000E0183">
      <w:pPr>
        <w:spacing w:after="466"/>
        <w:ind w:left="10" w:right="18"/>
      </w:pPr>
      <w:r>
        <w:t xml:space="preserve">This calculation will be performed on a point-in-time basis, </w:t>
      </w:r>
      <w:proofErr w:type="gramStart"/>
      <w:r>
        <w:t>i.e.</w:t>
      </w:r>
      <w:proofErr w:type="gramEnd"/>
      <w:r>
        <w:t xml:space="preserve"> all the figures will be provided as of a certain date.</w:t>
      </w:r>
    </w:p>
    <w:p w14:paraId="6EF1169D" w14:textId="77777777" w:rsidR="000E0183" w:rsidRPr="000E0183" w:rsidRDefault="000E0183" w:rsidP="00F453AD">
      <w:pPr>
        <w:pStyle w:val="Heading2"/>
        <w:jc w:val="center"/>
        <w:rPr>
          <w:rFonts w:ascii="Arial" w:hAnsi="Arial" w:cs="Arial"/>
          <w:b w:val="0"/>
          <w:bCs w:val="0"/>
          <w:i w:val="0"/>
          <w:iCs w:val="0"/>
        </w:rPr>
      </w:pPr>
    </w:p>
    <w:p w14:paraId="05059E4D" w14:textId="733FBAE0" w:rsidR="00F453AD" w:rsidRPr="00F453AD" w:rsidRDefault="00F453AD" w:rsidP="00F453AD">
      <w:pPr>
        <w:pStyle w:val="Heading2"/>
        <w:jc w:val="center"/>
        <w:rPr>
          <w:i w:val="0"/>
          <w:iCs w:val="0"/>
          <w:lang w:val="en-US"/>
        </w:rPr>
      </w:pPr>
      <w:bookmarkStart w:id="269" w:name="_Hlk99100071"/>
      <w:bookmarkStart w:id="270" w:name="_Toc101516112"/>
      <w:r w:rsidRPr="00F453AD">
        <w:t xml:space="preserve">Annex </w:t>
      </w:r>
      <w:r>
        <w:t>10</w:t>
      </w:r>
      <w:r w:rsidRPr="00F453AD">
        <w:t xml:space="preserve"> </w:t>
      </w:r>
      <w:r>
        <w:t>–</w:t>
      </w:r>
      <w:r w:rsidRPr="00F453AD">
        <w:t xml:space="preserve"> </w:t>
      </w:r>
      <w:r>
        <w:rPr>
          <w:lang w:val="en-US"/>
        </w:rPr>
        <w:t xml:space="preserve">List of </w:t>
      </w:r>
      <w:r w:rsidRPr="00F453AD">
        <w:rPr>
          <w:i w:val="0"/>
          <w:iCs w:val="0"/>
          <w:lang w:val="en-US"/>
        </w:rPr>
        <w:t>acronyms</w:t>
      </w:r>
      <w:bookmarkEnd w:id="270"/>
    </w:p>
    <w:tbl>
      <w:tblPr>
        <w:tblW w:w="4918" w:type="dxa"/>
        <w:jc w:val="center"/>
        <w:tblLook w:val="04A0" w:firstRow="1" w:lastRow="0" w:firstColumn="1" w:lastColumn="0" w:noHBand="0" w:noVBand="1"/>
      </w:tblPr>
      <w:tblGrid>
        <w:gridCol w:w="1960"/>
        <w:gridCol w:w="2958"/>
      </w:tblGrid>
      <w:tr w:rsidR="00F453AD" w:rsidRPr="00F453AD" w14:paraId="17F8D0BB" w14:textId="77777777" w:rsidTr="00F453AD">
        <w:trPr>
          <w:trHeight w:val="300"/>
          <w:jc w:val="center"/>
        </w:trPr>
        <w:tc>
          <w:tcPr>
            <w:tcW w:w="1960" w:type="dxa"/>
            <w:tcBorders>
              <w:top w:val="nil"/>
              <w:left w:val="nil"/>
              <w:bottom w:val="nil"/>
              <w:right w:val="nil"/>
            </w:tcBorders>
            <w:shd w:val="clear" w:color="000000" w:fill="00B0F0"/>
            <w:noWrap/>
            <w:vAlign w:val="bottom"/>
            <w:hideMark/>
          </w:tcPr>
          <w:bookmarkEnd w:id="269"/>
          <w:p w14:paraId="6AA9192D" w14:textId="77777777" w:rsidR="00F453AD" w:rsidRPr="00F453AD" w:rsidRDefault="00F453AD" w:rsidP="00F453AD">
            <w:pPr>
              <w:spacing w:after="0" w:line="240" w:lineRule="auto"/>
              <w:rPr>
                <w:rFonts w:eastAsia="Times New Roman" w:cs="Calibri"/>
                <w:b/>
                <w:bCs/>
                <w:i/>
                <w:iCs/>
                <w:color w:val="000000"/>
                <w:lang w:eastAsia="en-GB"/>
              </w:rPr>
            </w:pPr>
            <w:r w:rsidRPr="00F453AD">
              <w:rPr>
                <w:rFonts w:eastAsia="Times New Roman" w:cs="Calibri"/>
                <w:b/>
                <w:bCs/>
                <w:i/>
                <w:iCs/>
                <w:color w:val="000000"/>
                <w:lang w:eastAsia="en-GB"/>
              </w:rPr>
              <w:t>Acronym</w:t>
            </w:r>
          </w:p>
        </w:tc>
        <w:tc>
          <w:tcPr>
            <w:tcW w:w="2958" w:type="dxa"/>
            <w:tcBorders>
              <w:top w:val="nil"/>
              <w:left w:val="nil"/>
              <w:bottom w:val="nil"/>
              <w:right w:val="nil"/>
            </w:tcBorders>
            <w:shd w:val="clear" w:color="000000" w:fill="00B0F0"/>
            <w:noWrap/>
            <w:vAlign w:val="bottom"/>
            <w:hideMark/>
          </w:tcPr>
          <w:p w14:paraId="7437B3C7" w14:textId="77777777" w:rsidR="00F453AD" w:rsidRPr="00F453AD" w:rsidRDefault="00F453AD" w:rsidP="00F453AD">
            <w:pPr>
              <w:spacing w:after="0" w:line="240" w:lineRule="auto"/>
              <w:rPr>
                <w:rFonts w:eastAsia="Times New Roman" w:cs="Calibri"/>
                <w:b/>
                <w:bCs/>
                <w:i/>
                <w:iCs/>
                <w:color w:val="000000"/>
                <w:lang w:eastAsia="en-GB"/>
              </w:rPr>
            </w:pPr>
            <w:r w:rsidRPr="00F453AD">
              <w:rPr>
                <w:rFonts w:eastAsia="Times New Roman" w:cs="Calibri"/>
                <w:b/>
                <w:bCs/>
                <w:i/>
                <w:iCs/>
                <w:color w:val="000000"/>
                <w:lang w:eastAsia="en-GB"/>
              </w:rPr>
              <w:t>Explanation</w:t>
            </w:r>
          </w:p>
        </w:tc>
      </w:tr>
      <w:tr w:rsidR="00F453AD" w:rsidRPr="00F453AD" w14:paraId="4A4DDF23" w14:textId="77777777" w:rsidTr="00F453AD">
        <w:trPr>
          <w:trHeight w:val="590"/>
          <w:jc w:val="center"/>
        </w:trPr>
        <w:tc>
          <w:tcPr>
            <w:tcW w:w="196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F6C5E17"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AAR</w:t>
            </w:r>
          </w:p>
        </w:tc>
        <w:tc>
          <w:tcPr>
            <w:tcW w:w="2958" w:type="dxa"/>
            <w:tcBorders>
              <w:top w:val="single" w:sz="8" w:space="0" w:color="auto"/>
              <w:left w:val="nil"/>
              <w:bottom w:val="single" w:sz="8" w:space="0" w:color="auto"/>
              <w:right w:val="single" w:sz="8" w:space="0" w:color="auto"/>
            </w:tcBorders>
            <w:shd w:val="clear" w:color="auto" w:fill="auto"/>
            <w:vAlign w:val="center"/>
            <w:hideMark/>
          </w:tcPr>
          <w:p w14:paraId="3B626F1F"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Annual Activity Report</w:t>
            </w:r>
          </w:p>
        </w:tc>
      </w:tr>
      <w:tr w:rsidR="00F453AD" w:rsidRPr="00F453AD" w14:paraId="37232964"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28762A9E"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ABAC</w:t>
            </w:r>
          </w:p>
        </w:tc>
        <w:tc>
          <w:tcPr>
            <w:tcW w:w="2958" w:type="dxa"/>
            <w:tcBorders>
              <w:top w:val="nil"/>
              <w:left w:val="nil"/>
              <w:bottom w:val="single" w:sz="8" w:space="0" w:color="auto"/>
              <w:right w:val="single" w:sz="8" w:space="0" w:color="auto"/>
            </w:tcBorders>
            <w:shd w:val="clear" w:color="auto" w:fill="auto"/>
            <w:vAlign w:val="center"/>
            <w:hideMark/>
          </w:tcPr>
          <w:p w14:paraId="584DAE43"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 xml:space="preserve">Accrual Based ACcounting </w:t>
            </w:r>
          </w:p>
        </w:tc>
      </w:tr>
      <w:tr w:rsidR="00F453AD" w:rsidRPr="00F453AD" w14:paraId="2FBE47A9" w14:textId="77777777" w:rsidTr="00F453AD">
        <w:trPr>
          <w:trHeight w:val="88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5AF7AE21"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AEMEL</w:t>
            </w:r>
          </w:p>
        </w:tc>
        <w:tc>
          <w:tcPr>
            <w:tcW w:w="2958" w:type="dxa"/>
            <w:tcBorders>
              <w:top w:val="nil"/>
              <w:left w:val="nil"/>
              <w:bottom w:val="single" w:sz="8" w:space="0" w:color="auto"/>
              <w:right w:val="single" w:sz="8" w:space="0" w:color="auto"/>
            </w:tcBorders>
            <w:shd w:val="clear" w:color="auto" w:fill="auto"/>
            <w:vAlign w:val="center"/>
            <w:hideMark/>
          </w:tcPr>
          <w:p w14:paraId="6AE008CB"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Anion Exhange Membrane electrolysers</w:t>
            </w:r>
          </w:p>
        </w:tc>
      </w:tr>
      <w:tr w:rsidR="00F453AD" w:rsidRPr="00F453AD" w14:paraId="5D26BFFB" w14:textId="77777777" w:rsidTr="00F453AD">
        <w:trPr>
          <w:trHeight w:val="146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31CFF83C"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ARES</w:t>
            </w:r>
          </w:p>
        </w:tc>
        <w:tc>
          <w:tcPr>
            <w:tcW w:w="2958" w:type="dxa"/>
            <w:tcBorders>
              <w:top w:val="nil"/>
              <w:left w:val="nil"/>
              <w:bottom w:val="single" w:sz="8" w:space="0" w:color="auto"/>
              <w:right w:val="single" w:sz="8" w:space="0" w:color="auto"/>
            </w:tcBorders>
            <w:shd w:val="clear" w:color="auto" w:fill="auto"/>
            <w:vAlign w:val="center"/>
            <w:hideMark/>
          </w:tcPr>
          <w:p w14:paraId="1272E779"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Advanced REcord System (EC Document Management IT system)</w:t>
            </w:r>
          </w:p>
        </w:tc>
      </w:tr>
      <w:tr w:rsidR="00F453AD" w:rsidRPr="00F453AD" w14:paraId="29F8D48E" w14:textId="77777777" w:rsidTr="00F453AD">
        <w:trPr>
          <w:trHeight w:val="146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329FF4C6"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AST</w:t>
            </w:r>
          </w:p>
        </w:tc>
        <w:tc>
          <w:tcPr>
            <w:tcW w:w="2958" w:type="dxa"/>
            <w:tcBorders>
              <w:top w:val="nil"/>
              <w:left w:val="nil"/>
              <w:bottom w:val="single" w:sz="8" w:space="0" w:color="auto"/>
              <w:right w:val="single" w:sz="8" w:space="0" w:color="auto"/>
            </w:tcBorders>
            <w:shd w:val="clear" w:color="auto" w:fill="auto"/>
            <w:vAlign w:val="center"/>
            <w:hideMark/>
          </w:tcPr>
          <w:p w14:paraId="3D7E1BAF"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Accelerated Stress Test, in section 1.2, assistant in section 2.6</w:t>
            </w:r>
          </w:p>
        </w:tc>
      </w:tr>
      <w:tr w:rsidR="00F453AD" w:rsidRPr="00F453AD" w14:paraId="4C248229"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49FF061B"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lastRenderedPageBreak/>
              <w:t xml:space="preserve">AWP </w:t>
            </w:r>
          </w:p>
        </w:tc>
        <w:tc>
          <w:tcPr>
            <w:tcW w:w="2958" w:type="dxa"/>
            <w:tcBorders>
              <w:top w:val="nil"/>
              <w:left w:val="nil"/>
              <w:bottom w:val="single" w:sz="8" w:space="0" w:color="auto"/>
              <w:right w:val="single" w:sz="8" w:space="0" w:color="auto"/>
            </w:tcBorders>
            <w:shd w:val="clear" w:color="auto" w:fill="auto"/>
            <w:vAlign w:val="center"/>
            <w:hideMark/>
          </w:tcPr>
          <w:p w14:paraId="579A0E54"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Annual Work Plan</w:t>
            </w:r>
          </w:p>
        </w:tc>
      </w:tr>
      <w:tr w:rsidR="00F453AD" w:rsidRPr="00F453AD" w14:paraId="242A6806"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2FA229F9"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BEV</w:t>
            </w:r>
          </w:p>
        </w:tc>
        <w:tc>
          <w:tcPr>
            <w:tcW w:w="2958" w:type="dxa"/>
            <w:tcBorders>
              <w:top w:val="nil"/>
              <w:left w:val="nil"/>
              <w:bottom w:val="single" w:sz="8" w:space="0" w:color="auto"/>
              <w:right w:val="single" w:sz="8" w:space="0" w:color="auto"/>
            </w:tcBorders>
            <w:shd w:val="clear" w:color="auto" w:fill="auto"/>
            <w:vAlign w:val="center"/>
            <w:hideMark/>
          </w:tcPr>
          <w:p w14:paraId="7B310F71"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Battery Electric Vehicle</w:t>
            </w:r>
          </w:p>
        </w:tc>
      </w:tr>
      <w:tr w:rsidR="00F453AD" w:rsidRPr="00F453AD" w14:paraId="2D4B0E7C" w14:textId="77777777" w:rsidTr="00F453AD">
        <w:trPr>
          <w:trHeight w:val="30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09E57F55"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BoL</w:t>
            </w:r>
          </w:p>
        </w:tc>
        <w:tc>
          <w:tcPr>
            <w:tcW w:w="2958" w:type="dxa"/>
            <w:tcBorders>
              <w:top w:val="nil"/>
              <w:left w:val="nil"/>
              <w:bottom w:val="single" w:sz="8" w:space="0" w:color="auto"/>
              <w:right w:val="single" w:sz="8" w:space="0" w:color="auto"/>
            </w:tcBorders>
            <w:shd w:val="clear" w:color="auto" w:fill="auto"/>
            <w:vAlign w:val="center"/>
            <w:hideMark/>
          </w:tcPr>
          <w:p w14:paraId="4452887D"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Beginning of Life</w:t>
            </w:r>
          </w:p>
        </w:tc>
      </w:tr>
      <w:tr w:rsidR="00F453AD" w:rsidRPr="00F453AD" w14:paraId="00CE3C7E" w14:textId="77777777" w:rsidTr="00F453AD">
        <w:trPr>
          <w:trHeight w:val="30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3377742E"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BoP</w:t>
            </w:r>
          </w:p>
        </w:tc>
        <w:tc>
          <w:tcPr>
            <w:tcW w:w="2958" w:type="dxa"/>
            <w:tcBorders>
              <w:top w:val="nil"/>
              <w:left w:val="nil"/>
              <w:bottom w:val="single" w:sz="8" w:space="0" w:color="auto"/>
              <w:right w:val="single" w:sz="8" w:space="0" w:color="auto"/>
            </w:tcBorders>
            <w:shd w:val="clear" w:color="auto" w:fill="auto"/>
            <w:vAlign w:val="center"/>
            <w:hideMark/>
          </w:tcPr>
          <w:p w14:paraId="08B0C6FB"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Balance of Plant</w:t>
            </w:r>
          </w:p>
        </w:tc>
      </w:tr>
      <w:tr w:rsidR="00F453AD" w:rsidRPr="00F453AD" w14:paraId="2CCE7285"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02F34ED2"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CAPEX</w:t>
            </w:r>
          </w:p>
        </w:tc>
        <w:tc>
          <w:tcPr>
            <w:tcW w:w="2958" w:type="dxa"/>
            <w:tcBorders>
              <w:top w:val="nil"/>
              <w:left w:val="nil"/>
              <w:bottom w:val="single" w:sz="8" w:space="0" w:color="auto"/>
              <w:right w:val="single" w:sz="8" w:space="0" w:color="auto"/>
            </w:tcBorders>
            <w:shd w:val="clear" w:color="auto" w:fill="auto"/>
            <w:vAlign w:val="center"/>
            <w:hideMark/>
          </w:tcPr>
          <w:p w14:paraId="4B2385BD"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Capital expenditure</w:t>
            </w:r>
          </w:p>
        </w:tc>
      </w:tr>
      <w:tr w:rsidR="00F453AD" w:rsidRPr="00F453AD" w14:paraId="4E4801E8"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070C3528"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 xml:space="preserve">CAS </w:t>
            </w:r>
          </w:p>
        </w:tc>
        <w:tc>
          <w:tcPr>
            <w:tcW w:w="2958" w:type="dxa"/>
            <w:tcBorders>
              <w:top w:val="nil"/>
              <w:left w:val="nil"/>
              <w:bottom w:val="single" w:sz="8" w:space="0" w:color="auto"/>
              <w:right w:val="single" w:sz="8" w:space="0" w:color="auto"/>
            </w:tcBorders>
            <w:shd w:val="clear" w:color="auto" w:fill="auto"/>
            <w:vAlign w:val="center"/>
            <w:hideMark/>
          </w:tcPr>
          <w:p w14:paraId="7A5FF507"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Common Audit Service</w:t>
            </w:r>
          </w:p>
        </w:tc>
      </w:tr>
      <w:tr w:rsidR="00F453AD" w:rsidRPr="00F453AD" w14:paraId="55ECA22F"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3B7DFE91"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CEF</w:t>
            </w:r>
          </w:p>
        </w:tc>
        <w:tc>
          <w:tcPr>
            <w:tcW w:w="2958" w:type="dxa"/>
            <w:tcBorders>
              <w:top w:val="nil"/>
              <w:left w:val="nil"/>
              <w:bottom w:val="single" w:sz="8" w:space="0" w:color="auto"/>
              <w:right w:val="single" w:sz="8" w:space="0" w:color="auto"/>
            </w:tcBorders>
            <w:shd w:val="clear" w:color="auto" w:fill="auto"/>
            <w:vAlign w:val="center"/>
            <w:hideMark/>
          </w:tcPr>
          <w:p w14:paraId="6B9BDFFB"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Connecting Europe Facility</w:t>
            </w:r>
          </w:p>
        </w:tc>
      </w:tr>
      <w:tr w:rsidR="00F453AD" w:rsidRPr="00F453AD" w14:paraId="7420A470"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7216C49B"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CFD</w:t>
            </w:r>
          </w:p>
        </w:tc>
        <w:tc>
          <w:tcPr>
            <w:tcW w:w="2958" w:type="dxa"/>
            <w:tcBorders>
              <w:top w:val="nil"/>
              <w:left w:val="nil"/>
              <w:bottom w:val="single" w:sz="8" w:space="0" w:color="auto"/>
              <w:right w:val="single" w:sz="8" w:space="0" w:color="auto"/>
            </w:tcBorders>
            <w:shd w:val="clear" w:color="auto" w:fill="auto"/>
            <w:vAlign w:val="center"/>
            <w:hideMark/>
          </w:tcPr>
          <w:p w14:paraId="6E815ED9"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Computational Fluid Dynamics</w:t>
            </w:r>
          </w:p>
        </w:tc>
      </w:tr>
      <w:tr w:rsidR="00F453AD" w:rsidRPr="00F453AD" w14:paraId="50E852B1" w14:textId="77777777" w:rsidTr="00F453AD">
        <w:trPr>
          <w:trHeight w:val="88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23515566"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 xml:space="preserve">CFS </w:t>
            </w:r>
          </w:p>
        </w:tc>
        <w:tc>
          <w:tcPr>
            <w:tcW w:w="2958" w:type="dxa"/>
            <w:tcBorders>
              <w:top w:val="nil"/>
              <w:left w:val="nil"/>
              <w:bottom w:val="single" w:sz="8" w:space="0" w:color="auto"/>
              <w:right w:val="single" w:sz="8" w:space="0" w:color="auto"/>
            </w:tcBorders>
            <w:shd w:val="clear" w:color="auto" w:fill="auto"/>
            <w:vAlign w:val="center"/>
            <w:hideMark/>
          </w:tcPr>
          <w:p w14:paraId="0245F583"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Certificate of Financial Statements</w:t>
            </w:r>
          </w:p>
        </w:tc>
      </w:tr>
      <w:tr w:rsidR="00F453AD" w:rsidRPr="00F453AD" w14:paraId="18FF912F" w14:textId="77777777" w:rsidTr="00F453AD">
        <w:trPr>
          <w:trHeight w:val="88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7BB941AB"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 xml:space="preserve">(μ)CHP </w:t>
            </w:r>
          </w:p>
        </w:tc>
        <w:tc>
          <w:tcPr>
            <w:tcW w:w="2958" w:type="dxa"/>
            <w:tcBorders>
              <w:top w:val="nil"/>
              <w:left w:val="nil"/>
              <w:bottom w:val="single" w:sz="8" w:space="0" w:color="auto"/>
              <w:right w:val="single" w:sz="8" w:space="0" w:color="auto"/>
            </w:tcBorders>
            <w:shd w:val="clear" w:color="auto" w:fill="auto"/>
            <w:vAlign w:val="center"/>
            <w:hideMark/>
          </w:tcPr>
          <w:p w14:paraId="0D192726"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(micro) Combined Heat and Power</w:t>
            </w:r>
          </w:p>
        </w:tc>
      </w:tr>
      <w:tr w:rsidR="00F453AD" w:rsidRPr="00F453AD" w14:paraId="6ECF0F70" w14:textId="77777777" w:rsidTr="00F453AD">
        <w:trPr>
          <w:trHeight w:val="117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1F716A47"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CIC</w:t>
            </w:r>
          </w:p>
        </w:tc>
        <w:tc>
          <w:tcPr>
            <w:tcW w:w="2958" w:type="dxa"/>
            <w:tcBorders>
              <w:top w:val="nil"/>
              <w:left w:val="nil"/>
              <w:bottom w:val="single" w:sz="8" w:space="0" w:color="auto"/>
              <w:right w:val="single" w:sz="8" w:space="0" w:color="auto"/>
            </w:tcBorders>
            <w:shd w:val="clear" w:color="auto" w:fill="auto"/>
            <w:vAlign w:val="center"/>
            <w:hideMark/>
          </w:tcPr>
          <w:p w14:paraId="5D06F417"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Common Implementation Centre of DG RTD</w:t>
            </w:r>
          </w:p>
        </w:tc>
      </w:tr>
      <w:tr w:rsidR="00F453AD" w:rsidRPr="00F453AD" w14:paraId="5C668100"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189029E9"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cm</w:t>
            </w:r>
            <w:r w:rsidRPr="00F453AD">
              <w:rPr>
                <w:rFonts w:eastAsia="Times New Roman" w:cs="Calibri"/>
                <w:b/>
                <w:bCs/>
                <w:color w:val="000000"/>
                <w:vertAlign w:val="superscript"/>
                <w:lang w:eastAsia="en-GB"/>
              </w:rPr>
              <w:t>2</w:t>
            </w:r>
          </w:p>
        </w:tc>
        <w:tc>
          <w:tcPr>
            <w:tcW w:w="2958" w:type="dxa"/>
            <w:tcBorders>
              <w:top w:val="nil"/>
              <w:left w:val="nil"/>
              <w:bottom w:val="single" w:sz="8" w:space="0" w:color="auto"/>
              <w:right w:val="single" w:sz="8" w:space="0" w:color="auto"/>
            </w:tcBorders>
            <w:shd w:val="clear" w:color="auto" w:fill="auto"/>
            <w:vAlign w:val="center"/>
            <w:hideMark/>
          </w:tcPr>
          <w:p w14:paraId="6DA48A9C"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Square centimeters</w:t>
            </w:r>
          </w:p>
        </w:tc>
      </w:tr>
      <w:tr w:rsidR="00F453AD" w:rsidRPr="00F453AD" w14:paraId="2325C8B0" w14:textId="77777777" w:rsidTr="00F453AD">
        <w:trPr>
          <w:trHeight w:val="34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636FC06E"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CO</w:t>
            </w:r>
            <w:r w:rsidRPr="00F453AD">
              <w:rPr>
                <w:rFonts w:eastAsia="Times New Roman" w:cs="Calibri"/>
                <w:b/>
                <w:bCs/>
                <w:color w:val="000000"/>
                <w:vertAlign w:val="subscript"/>
                <w:lang w:eastAsia="en-GB"/>
              </w:rPr>
              <w:t>2</w:t>
            </w:r>
          </w:p>
        </w:tc>
        <w:tc>
          <w:tcPr>
            <w:tcW w:w="2958" w:type="dxa"/>
            <w:tcBorders>
              <w:top w:val="nil"/>
              <w:left w:val="nil"/>
              <w:bottom w:val="single" w:sz="8" w:space="0" w:color="auto"/>
              <w:right w:val="single" w:sz="8" w:space="0" w:color="auto"/>
            </w:tcBorders>
            <w:shd w:val="clear" w:color="auto" w:fill="auto"/>
            <w:vAlign w:val="center"/>
            <w:hideMark/>
          </w:tcPr>
          <w:p w14:paraId="51361739"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Carbon dioxide</w:t>
            </w:r>
          </w:p>
        </w:tc>
      </w:tr>
      <w:tr w:rsidR="00F453AD" w:rsidRPr="00F453AD" w14:paraId="06519227"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7B90DFC0"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COP</w:t>
            </w:r>
          </w:p>
        </w:tc>
        <w:tc>
          <w:tcPr>
            <w:tcW w:w="2958" w:type="dxa"/>
            <w:tcBorders>
              <w:top w:val="nil"/>
              <w:left w:val="nil"/>
              <w:bottom w:val="single" w:sz="8" w:space="0" w:color="auto"/>
              <w:right w:val="single" w:sz="8" w:space="0" w:color="auto"/>
            </w:tcBorders>
            <w:shd w:val="clear" w:color="auto" w:fill="auto"/>
            <w:vAlign w:val="center"/>
            <w:hideMark/>
          </w:tcPr>
          <w:p w14:paraId="7FE4C474"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Conference of the Parties</w:t>
            </w:r>
          </w:p>
        </w:tc>
      </w:tr>
      <w:tr w:rsidR="00F453AD" w:rsidRPr="00F453AD" w14:paraId="7356C9DB" w14:textId="77777777" w:rsidTr="00F453AD">
        <w:trPr>
          <w:trHeight w:val="300"/>
          <w:jc w:val="center"/>
        </w:trPr>
        <w:tc>
          <w:tcPr>
            <w:tcW w:w="1960" w:type="dxa"/>
            <w:tcBorders>
              <w:top w:val="nil"/>
              <w:left w:val="single" w:sz="8" w:space="0" w:color="auto"/>
              <w:bottom w:val="single" w:sz="8" w:space="0" w:color="auto"/>
              <w:right w:val="single" w:sz="8" w:space="0" w:color="auto"/>
            </w:tcBorders>
            <w:shd w:val="clear" w:color="auto" w:fill="auto"/>
            <w:noWrap/>
            <w:vAlign w:val="center"/>
            <w:hideMark/>
          </w:tcPr>
          <w:p w14:paraId="026086F6"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CRaS</w:t>
            </w:r>
          </w:p>
        </w:tc>
        <w:tc>
          <w:tcPr>
            <w:tcW w:w="2958" w:type="dxa"/>
            <w:tcBorders>
              <w:top w:val="nil"/>
              <w:left w:val="nil"/>
              <w:bottom w:val="single" w:sz="8" w:space="0" w:color="auto"/>
              <w:right w:val="single" w:sz="8" w:space="0" w:color="auto"/>
            </w:tcBorders>
            <w:shd w:val="clear" w:color="auto" w:fill="auto"/>
            <w:noWrap/>
            <w:vAlign w:val="center"/>
            <w:hideMark/>
          </w:tcPr>
          <w:p w14:paraId="4C2645F6"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Common Representative Sample</w:t>
            </w:r>
          </w:p>
        </w:tc>
      </w:tr>
      <w:tr w:rsidR="00F453AD" w:rsidRPr="00F453AD" w14:paraId="69FA4D66" w14:textId="77777777" w:rsidTr="00F453AD">
        <w:trPr>
          <w:trHeight w:val="300"/>
          <w:jc w:val="center"/>
        </w:trPr>
        <w:tc>
          <w:tcPr>
            <w:tcW w:w="1960" w:type="dxa"/>
            <w:tcBorders>
              <w:top w:val="nil"/>
              <w:left w:val="single" w:sz="8" w:space="0" w:color="auto"/>
              <w:bottom w:val="single" w:sz="8" w:space="0" w:color="auto"/>
              <w:right w:val="single" w:sz="8" w:space="0" w:color="auto"/>
            </w:tcBorders>
            <w:shd w:val="clear" w:color="auto" w:fill="auto"/>
            <w:noWrap/>
            <w:vAlign w:val="center"/>
            <w:hideMark/>
          </w:tcPr>
          <w:p w14:paraId="638ABF15"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CRM</w:t>
            </w:r>
          </w:p>
        </w:tc>
        <w:tc>
          <w:tcPr>
            <w:tcW w:w="2958" w:type="dxa"/>
            <w:tcBorders>
              <w:top w:val="nil"/>
              <w:left w:val="nil"/>
              <w:bottom w:val="single" w:sz="8" w:space="0" w:color="auto"/>
              <w:right w:val="single" w:sz="8" w:space="0" w:color="auto"/>
            </w:tcBorders>
            <w:shd w:val="clear" w:color="auto" w:fill="auto"/>
            <w:noWrap/>
            <w:vAlign w:val="center"/>
            <w:hideMark/>
          </w:tcPr>
          <w:p w14:paraId="5CD17174"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Critical Raw material</w:t>
            </w:r>
          </w:p>
        </w:tc>
      </w:tr>
      <w:tr w:rsidR="00F453AD" w:rsidRPr="00F453AD" w14:paraId="1E8C3C78" w14:textId="77777777" w:rsidTr="00F453AD">
        <w:trPr>
          <w:trHeight w:val="88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42782F3A"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CSA</w:t>
            </w:r>
          </w:p>
        </w:tc>
        <w:tc>
          <w:tcPr>
            <w:tcW w:w="2958" w:type="dxa"/>
            <w:tcBorders>
              <w:top w:val="nil"/>
              <w:left w:val="nil"/>
              <w:bottom w:val="single" w:sz="8" w:space="0" w:color="auto"/>
              <w:right w:val="single" w:sz="8" w:space="0" w:color="auto"/>
            </w:tcBorders>
            <w:shd w:val="clear" w:color="auto" w:fill="auto"/>
            <w:vAlign w:val="center"/>
            <w:hideMark/>
          </w:tcPr>
          <w:p w14:paraId="17B89080"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Coordination and support actions</w:t>
            </w:r>
          </w:p>
        </w:tc>
      </w:tr>
      <w:tr w:rsidR="00F453AD" w:rsidRPr="00F453AD" w14:paraId="2CBF61DF"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04F88364"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D&amp;E</w:t>
            </w:r>
          </w:p>
        </w:tc>
        <w:tc>
          <w:tcPr>
            <w:tcW w:w="2958" w:type="dxa"/>
            <w:tcBorders>
              <w:top w:val="nil"/>
              <w:left w:val="nil"/>
              <w:bottom w:val="single" w:sz="8" w:space="0" w:color="auto"/>
              <w:right w:val="single" w:sz="8" w:space="0" w:color="auto"/>
            </w:tcBorders>
            <w:shd w:val="clear" w:color="auto" w:fill="auto"/>
            <w:vAlign w:val="center"/>
            <w:hideMark/>
          </w:tcPr>
          <w:p w14:paraId="4CD544DB"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Dissemination and Exploitation</w:t>
            </w:r>
          </w:p>
        </w:tc>
      </w:tr>
      <w:tr w:rsidR="00F453AD" w:rsidRPr="00F453AD" w14:paraId="0E5A1F49" w14:textId="77777777" w:rsidTr="00F453AD">
        <w:trPr>
          <w:trHeight w:val="30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451A7975"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DBT</w:t>
            </w:r>
          </w:p>
        </w:tc>
        <w:tc>
          <w:tcPr>
            <w:tcW w:w="2958" w:type="dxa"/>
            <w:tcBorders>
              <w:top w:val="nil"/>
              <w:left w:val="nil"/>
              <w:bottom w:val="single" w:sz="8" w:space="0" w:color="auto"/>
              <w:right w:val="single" w:sz="8" w:space="0" w:color="auto"/>
            </w:tcBorders>
            <w:shd w:val="clear" w:color="auto" w:fill="auto"/>
            <w:vAlign w:val="center"/>
            <w:hideMark/>
          </w:tcPr>
          <w:p w14:paraId="23B2685B"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Dibenzyltoluene</w:t>
            </w:r>
          </w:p>
        </w:tc>
      </w:tr>
      <w:tr w:rsidR="00F453AD" w:rsidRPr="00F453AD" w14:paraId="3DB0FE4E"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326EFE26"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DC-SRU</w:t>
            </w:r>
          </w:p>
        </w:tc>
        <w:tc>
          <w:tcPr>
            <w:tcW w:w="2958" w:type="dxa"/>
            <w:tcBorders>
              <w:top w:val="nil"/>
              <w:left w:val="nil"/>
              <w:bottom w:val="single" w:sz="8" w:space="0" w:color="auto"/>
              <w:right w:val="single" w:sz="8" w:space="0" w:color="auto"/>
            </w:tcBorders>
            <w:shd w:val="clear" w:color="auto" w:fill="auto"/>
            <w:vAlign w:val="center"/>
            <w:hideMark/>
          </w:tcPr>
          <w:p w14:paraId="6718CE58"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Dual-core Single Repeat Unit</w:t>
            </w:r>
          </w:p>
        </w:tc>
      </w:tr>
      <w:tr w:rsidR="00F453AD" w:rsidRPr="00F453AD" w14:paraId="236BD52C"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4A18C53C"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 xml:space="preserve">DG </w:t>
            </w:r>
          </w:p>
        </w:tc>
        <w:tc>
          <w:tcPr>
            <w:tcW w:w="2958" w:type="dxa"/>
            <w:tcBorders>
              <w:top w:val="nil"/>
              <w:left w:val="nil"/>
              <w:bottom w:val="single" w:sz="8" w:space="0" w:color="auto"/>
              <w:right w:val="single" w:sz="8" w:space="0" w:color="auto"/>
            </w:tcBorders>
            <w:shd w:val="clear" w:color="auto" w:fill="auto"/>
            <w:vAlign w:val="center"/>
            <w:hideMark/>
          </w:tcPr>
          <w:p w14:paraId="335372E7"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Directorate-General</w:t>
            </w:r>
          </w:p>
        </w:tc>
      </w:tr>
      <w:tr w:rsidR="00F453AD" w:rsidRPr="00F453AD" w14:paraId="50799266" w14:textId="77777777" w:rsidTr="00F453AD">
        <w:trPr>
          <w:trHeight w:val="88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7ADDB6DF"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lastRenderedPageBreak/>
              <w:t>DIGIT</w:t>
            </w:r>
          </w:p>
        </w:tc>
        <w:tc>
          <w:tcPr>
            <w:tcW w:w="2958" w:type="dxa"/>
            <w:tcBorders>
              <w:top w:val="nil"/>
              <w:left w:val="nil"/>
              <w:bottom w:val="single" w:sz="8" w:space="0" w:color="auto"/>
              <w:right w:val="single" w:sz="8" w:space="0" w:color="auto"/>
            </w:tcBorders>
            <w:shd w:val="clear" w:color="auto" w:fill="auto"/>
            <w:vAlign w:val="center"/>
            <w:hideMark/>
          </w:tcPr>
          <w:p w14:paraId="26BD8A91"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Directorate-General for Informatics</w:t>
            </w:r>
          </w:p>
        </w:tc>
      </w:tr>
      <w:tr w:rsidR="00F453AD" w:rsidRPr="00F453AD" w14:paraId="6841EA71" w14:textId="77777777" w:rsidTr="00F453AD">
        <w:trPr>
          <w:trHeight w:val="88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62F235F5"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DMO</w:t>
            </w:r>
          </w:p>
        </w:tc>
        <w:tc>
          <w:tcPr>
            <w:tcW w:w="2958" w:type="dxa"/>
            <w:tcBorders>
              <w:top w:val="nil"/>
              <w:left w:val="nil"/>
              <w:bottom w:val="single" w:sz="8" w:space="0" w:color="auto"/>
              <w:right w:val="single" w:sz="8" w:space="0" w:color="auto"/>
            </w:tcBorders>
            <w:shd w:val="clear" w:color="auto" w:fill="auto"/>
            <w:vAlign w:val="center"/>
            <w:hideMark/>
          </w:tcPr>
          <w:p w14:paraId="010CEF38"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Document Management Officer</w:t>
            </w:r>
          </w:p>
        </w:tc>
      </w:tr>
      <w:tr w:rsidR="00F453AD" w:rsidRPr="00F453AD" w14:paraId="333B1CE7" w14:textId="77777777" w:rsidTr="00F453AD">
        <w:trPr>
          <w:trHeight w:val="88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43CBEC9C"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DoE</w:t>
            </w:r>
          </w:p>
        </w:tc>
        <w:tc>
          <w:tcPr>
            <w:tcW w:w="2958" w:type="dxa"/>
            <w:tcBorders>
              <w:top w:val="nil"/>
              <w:left w:val="nil"/>
              <w:bottom w:val="single" w:sz="8" w:space="0" w:color="auto"/>
              <w:right w:val="single" w:sz="8" w:space="0" w:color="auto"/>
            </w:tcBorders>
            <w:shd w:val="clear" w:color="auto" w:fill="auto"/>
            <w:vAlign w:val="center"/>
            <w:hideMark/>
          </w:tcPr>
          <w:p w14:paraId="0140EFC6"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Department of Energy of United States</w:t>
            </w:r>
          </w:p>
        </w:tc>
      </w:tr>
      <w:tr w:rsidR="00F453AD" w:rsidRPr="00F453AD" w14:paraId="5099C99F" w14:textId="77777777" w:rsidTr="00F453AD">
        <w:trPr>
          <w:trHeight w:val="88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7DD09691"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DPIA</w:t>
            </w:r>
          </w:p>
        </w:tc>
        <w:tc>
          <w:tcPr>
            <w:tcW w:w="2958" w:type="dxa"/>
            <w:tcBorders>
              <w:top w:val="nil"/>
              <w:left w:val="nil"/>
              <w:bottom w:val="single" w:sz="8" w:space="0" w:color="auto"/>
              <w:right w:val="single" w:sz="8" w:space="0" w:color="auto"/>
            </w:tcBorders>
            <w:shd w:val="clear" w:color="auto" w:fill="auto"/>
            <w:vAlign w:val="center"/>
            <w:hideMark/>
          </w:tcPr>
          <w:p w14:paraId="462D3D69"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Data Protection Impact Assessment</w:t>
            </w:r>
          </w:p>
        </w:tc>
      </w:tr>
      <w:tr w:rsidR="00F453AD" w:rsidRPr="00F453AD" w14:paraId="146B5351"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36D8C8DB"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DPO</w:t>
            </w:r>
          </w:p>
        </w:tc>
        <w:tc>
          <w:tcPr>
            <w:tcW w:w="2958" w:type="dxa"/>
            <w:tcBorders>
              <w:top w:val="nil"/>
              <w:left w:val="nil"/>
              <w:bottom w:val="single" w:sz="8" w:space="0" w:color="auto"/>
              <w:right w:val="single" w:sz="8" w:space="0" w:color="auto"/>
            </w:tcBorders>
            <w:shd w:val="clear" w:color="auto" w:fill="auto"/>
            <w:vAlign w:val="center"/>
            <w:hideMark/>
          </w:tcPr>
          <w:p w14:paraId="359E4935"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Data Protection Officer</w:t>
            </w:r>
          </w:p>
        </w:tc>
      </w:tr>
      <w:tr w:rsidR="00F453AD" w:rsidRPr="00F453AD" w14:paraId="447204CA"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746814D4"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EC</w:t>
            </w:r>
          </w:p>
        </w:tc>
        <w:tc>
          <w:tcPr>
            <w:tcW w:w="2958" w:type="dxa"/>
            <w:tcBorders>
              <w:top w:val="nil"/>
              <w:left w:val="nil"/>
              <w:bottom w:val="single" w:sz="8" w:space="0" w:color="auto"/>
              <w:right w:val="single" w:sz="8" w:space="0" w:color="auto"/>
            </w:tcBorders>
            <w:shd w:val="clear" w:color="auto" w:fill="auto"/>
            <w:vAlign w:val="center"/>
            <w:hideMark/>
          </w:tcPr>
          <w:p w14:paraId="57F3F104"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European Commission</w:t>
            </w:r>
          </w:p>
        </w:tc>
      </w:tr>
      <w:tr w:rsidR="00F453AD" w:rsidRPr="00F453AD" w14:paraId="4455A13B"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652E8728"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 xml:space="preserve">ECA </w:t>
            </w:r>
          </w:p>
        </w:tc>
        <w:tc>
          <w:tcPr>
            <w:tcW w:w="2958" w:type="dxa"/>
            <w:tcBorders>
              <w:top w:val="nil"/>
              <w:left w:val="nil"/>
              <w:bottom w:val="single" w:sz="8" w:space="0" w:color="auto"/>
              <w:right w:val="single" w:sz="8" w:space="0" w:color="auto"/>
            </w:tcBorders>
            <w:shd w:val="clear" w:color="auto" w:fill="auto"/>
            <w:vAlign w:val="center"/>
            <w:hideMark/>
          </w:tcPr>
          <w:p w14:paraId="4503F833"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European Court of Auditors</w:t>
            </w:r>
          </w:p>
        </w:tc>
      </w:tr>
      <w:tr w:rsidR="00F453AD" w:rsidRPr="00F453AD" w14:paraId="3F0608D6"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24173312"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ED</w:t>
            </w:r>
          </w:p>
        </w:tc>
        <w:tc>
          <w:tcPr>
            <w:tcW w:w="2958" w:type="dxa"/>
            <w:tcBorders>
              <w:top w:val="nil"/>
              <w:left w:val="nil"/>
              <w:bottom w:val="single" w:sz="8" w:space="0" w:color="auto"/>
              <w:right w:val="single" w:sz="8" w:space="0" w:color="auto"/>
            </w:tcBorders>
            <w:shd w:val="clear" w:color="auto" w:fill="auto"/>
            <w:vAlign w:val="center"/>
            <w:hideMark/>
          </w:tcPr>
          <w:p w14:paraId="290EFCD4"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Executive Director</w:t>
            </w:r>
          </w:p>
        </w:tc>
      </w:tr>
      <w:tr w:rsidR="00F453AD" w:rsidRPr="00F453AD" w14:paraId="1FF1EDD3"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658DDFF1"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EEA</w:t>
            </w:r>
          </w:p>
        </w:tc>
        <w:tc>
          <w:tcPr>
            <w:tcW w:w="2958" w:type="dxa"/>
            <w:tcBorders>
              <w:top w:val="nil"/>
              <w:left w:val="nil"/>
              <w:bottom w:val="single" w:sz="8" w:space="0" w:color="auto"/>
              <w:right w:val="single" w:sz="8" w:space="0" w:color="auto"/>
            </w:tcBorders>
            <w:shd w:val="clear" w:color="auto" w:fill="auto"/>
            <w:vAlign w:val="center"/>
            <w:hideMark/>
          </w:tcPr>
          <w:p w14:paraId="0ED51777"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European Economic Area</w:t>
            </w:r>
          </w:p>
        </w:tc>
      </w:tr>
      <w:tr w:rsidR="00F453AD" w:rsidRPr="00F453AD" w14:paraId="57396182" w14:textId="77777777" w:rsidTr="00F453AD">
        <w:trPr>
          <w:trHeight w:val="88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1F3D76F8"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EHP</w:t>
            </w:r>
          </w:p>
        </w:tc>
        <w:tc>
          <w:tcPr>
            <w:tcW w:w="2958" w:type="dxa"/>
            <w:tcBorders>
              <w:top w:val="nil"/>
              <w:left w:val="nil"/>
              <w:bottom w:val="single" w:sz="8" w:space="0" w:color="auto"/>
              <w:right w:val="single" w:sz="8" w:space="0" w:color="auto"/>
            </w:tcBorders>
            <w:shd w:val="clear" w:color="auto" w:fill="auto"/>
            <w:vAlign w:val="center"/>
            <w:hideMark/>
          </w:tcPr>
          <w:p w14:paraId="1409CE3B"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 xml:space="preserve">Electrochemical hydrogen purification </w:t>
            </w:r>
          </w:p>
        </w:tc>
      </w:tr>
      <w:tr w:rsidR="00F453AD" w:rsidRPr="00F453AD" w14:paraId="446FA9C6" w14:textId="77777777" w:rsidTr="00F453AD">
        <w:trPr>
          <w:trHeight w:val="88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4F5E9B48"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EHSP</w:t>
            </w:r>
          </w:p>
        </w:tc>
        <w:tc>
          <w:tcPr>
            <w:tcW w:w="2958" w:type="dxa"/>
            <w:tcBorders>
              <w:top w:val="nil"/>
              <w:left w:val="nil"/>
              <w:bottom w:val="single" w:sz="8" w:space="0" w:color="auto"/>
              <w:right w:val="single" w:sz="8" w:space="0" w:color="auto"/>
            </w:tcBorders>
            <w:shd w:val="clear" w:color="auto" w:fill="auto"/>
            <w:vAlign w:val="center"/>
            <w:hideMark/>
          </w:tcPr>
          <w:p w14:paraId="7B77F7F0"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European Hydrogen Safety Panel</w:t>
            </w:r>
          </w:p>
        </w:tc>
      </w:tr>
      <w:tr w:rsidR="00F453AD" w:rsidRPr="00F453AD" w14:paraId="2CDDD03D" w14:textId="77777777" w:rsidTr="00F453AD">
        <w:trPr>
          <w:trHeight w:val="88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0AD0E6E0"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EUSEW</w:t>
            </w:r>
          </w:p>
        </w:tc>
        <w:tc>
          <w:tcPr>
            <w:tcW w:w="2958" w:type="dxa"/>
            <w:tcBorders>
              <w:top w:val="nil"/>
              <w:left w:val="nil"/>
              <w:bottom w:val="single" w:sz="8" w:space="0" w:color="auto"/>
              <w:right w:val="single" w:sz="8" w:space="0" w:color="auto"/>
            </w:tcBorders>
            <w:shd w:val="clear" w:color="auto" w:fill="auto"/>
            <w:vAlign w:val="center"/>
            <w:hideMark/>
          </w:tcPr>
          <w:p w14:paraId="0B35DFF7"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European Sustainable Energy Week</w:t>
            </w:r>
          </w:p>
        </w:tc>
      </w:tr>
      <w:tr w:rsidR="00F453AD" w:rsidRPr="00F453AD" w14:paraId="2F4E6240" w14:textId="77777777" w:rsidTr="00F453AD">
        <w:trPr>
          <w:trHeight w:val="88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548A6EE7"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EWPP</w:t>
            </w:r>
          </w:p>
        </w:tc>
        <w:tc>
          <w:tcPr>
            <w:tcW w:w="2958" w:type="dxa"/>
            <w:tcBorders>
              <w:top w:val="nil"/>
              <w:left w:val="nil"/>
              <w:bottom w:val="single" w:sz="8" w:space="0" w:color="auto"/>
              <w:right w:val="single" w:sz="8" w:space="0" w:color="auto"/>
            </w:tcBorders>
            <w:shd w:val="clear" w:color="auto" w:fill="auto"/>
            <w:vAlign w:val="center"/>
            <w:hideMark/>
          </w:tcPr>
          <w:p w14:paraId="5DCD7D57"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Europa Web Publishing Platform</w:t>
            </w:r>
          </w:p>
        </w:tc>
      </w:tr>
      <w:tr w:rsidR="00F453AD" w:rsidRPr="00F453AD" w14:paraId="0822F4D6"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6D1BFD73"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F2P</w:t>
            </w:r>
          </w:p>
        </w:tc>
        <w:tc>
          <w:tcPr>
            <w:tcW w:w="2958" w:type="dxa"/>
            <w:tcBorders>
              <w:top w:val="nil"/>
              <w:left w:val="nil"/>
              <w:bottom w:val="single" w:sz="8" w:space="0" w:color="auto"/>
              <w:right w:val="single" w:sz="8" w:space="0" w:color="auto"/>
            </w:tcBorders>
            <w:shd w:val="clear" w:color="auto" w:fill="auto"/>
            <w:vAlign w:val="center"/>
            <w:hideMark/>
          </w:tcPr>
          <w:p w14:paraId="65D71A90"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Feedback to Policy</w:t>
            </w:r>
          </w:p>
        </w:tc>
      </w:tr>
      <w:tr w:rsidR="00F453AD" w:rsidRPr="00F453AD" w14:paraId="60658C53" w14:textId="77777777" w:rsidTr="00F453AD">
        <w:trPr>
          <w:trHeight w:val="880"/>
          <w:jc w:val="center"/>
        </w:trPr>
        <w:tc>
          <w:tcPr>
            <w:tcW w:w="1960" w:type="dxa"/>
            <w:tcBorders>
              <w:top w:val="nil"/>
              <w:left w:val="single" w:sz="8" w:space="0" w:color="auto"/>
              <w:bottom w:val="single" w:sz="8" w:space="0" w:color="auto"/>
              <w:right w:val="single" w:sz="8" w:space="0" w:color="auto"/>
            </w:tcBorders>
            <w:shd w:val="clear" w:color="auto" w:fill="auto"/>
            <w:noWrap/>
            <w:vAlign w:val="center"/>
            <w:hideMark/>
          </w:tcPr>
          <w:p w14:paraId="40176625"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FAIR</w:t>
            </w:r>
          </w:p>
        </w:tc>
        <w:tc>
          <w:tcPr>
            <w:tcW w:w="2958" w:type="dxa"/>
            <w:tcBorders>
              <w:top w:val="nil"/>
              <w:left w:val="nil"/>
              <w:bottom w:val="single" w:sz="8" w:space="0" w:color="auto"/>
              <w:right w:val="single" w:sz="8" w:space="0" w:color="auto"/>
            </w:tcBorders>
            <w:shd w:val="clear" w:color="auto" w:fill="auto"/>
            <w:vAlign w:val="center"/>
            <w:hideMark/>
          </w:tcPr>
          <w:p w14:paraId="5CB68051"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Fraud and Irregularity Committee</w:t>
            </w:r>
          </w:p>
        </w:tc>
      </w:tr>
      <w:tr w:rsidR="00F453AD" w:rsidRPr="00F453AD" w14:paraId="07FCC6B0" w14:textId="77777777" w:rsidTr="00F453AD">
        <w:trPr>
          <w:trHeight w:val="300"/>
          <w:jc w:val="center"/>
        </w:trPr>
        <w:tc>
          <w:tcPr>
            <w:tcW w:w="1960" w:type="dxa"/>
            <w:tcBorders>
              <w:top w:val="nil"/>
              <w:left w:val="single" w:sz="8" w:space="0" w:color="auto"/>
              <w:bottom w:val="single" w:sz="8" w:space="0" w:color="auto"/>
              <w:right w:val="single" w:sz="8" w:space="0" w:color="auto"/>
            </w:tcBorders>
            <w:shd w:val="clear" w:color="auto" w:fill="auto"/>
            <w:noWrap/>
            <w:vAlign w:val="center"/>
            <w:hideMark/>
          </w:tcPr>
          <w:p w14:paraId="32C53162"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FC</w:t>
            </w:r>
          </w:p>
        </w:tc>
        <w:tc>
          <w:tcPr>
            <w:tcW w:w="2958" w:type="dxa"/>
            <w:tcBorders>
              <w:top w:val="nil"/>
              <w:left w:val="nil"/>
              <w:bottom w:val="single" w:sz="8" w:space="0" w:color="auto"/>
              <w:right w:val="single" w:sz="8" w:space="0" w:color="auto"/>
            </w:tcBorders>
            <w:shd w:val="clear" w:color="auto" w:fill="auto"/>
            <w:vAlign w:val="center"/>
            <w:hideMark/>
          </w:tcPr>
          <w:p w14:paraId="52043F49"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Fuel Cells</w:t>
            </w:r>
          </w:p>
        </w:tc>
      </w:tr>
      <w:tr w:rsidR="00F453AD" w:rsidRPr="00F453AD" w14:paraId="732262EE" w14:textId="77777777" w:rsidTr="00F453AD">
        <w:trPr>
          <w:trHeight w:val="30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075F0863"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FCB</w:t>
            </w:r>
          </w:p>
        </w:tc>
        <w:tc>
          <w:tcPr>
            <w:tcW w:w="2958" w:type="dxa"/>
            <w:tcBorders>
              <w:top w:val="nil"/>
              <w:left w:val="nil"/>
              <w:bottom w:val="single" w:sz="8" w:space="0" w:color="auto"/>
              <w:right w:val="single" w:sz="8" w:space="0" w:color="auto"/>
            </w:tcBorders>
            <w:shd w:val="clear" w:color="auto" w:fill="auto"/>
            <w:vAlign w:val="center"/>
            <w:hideMark/>
          </w:tcPr>
          <w:p w14:paraId="63D16527"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Fuel Cell Bus</w:t>
            </w:r>
          </w:p>
        </w:tc>
      </w:tr>
      <w:tr w:rsidR="00F453AD" w:rsidRPr="00F453AD" w14:paraId="228F4A4F"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093A3588"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FCEV</w:t>
            </w:r>
          </w:p>
        </w:tc>
        <w:tc>
          <w:tcPr>
            <w:tcW w:w="2958" w:type="dxa"/>
            <w:tcBorders>
              <w:top w:val="nil"/>
              <w:left w:val="nil"/>
              <w:bottom w:val="single" w:sz="8" w:space="0" w:color="auto"/>
              <w:right w:val="single" w:sz="8" w:space="0" w:color="auto"/>
            </w:tcBorders>
            <w:shd w:val="clear" w:color="auto" w:fill="auto"/>
            <w:vAlign w:val="center"/>
            <w:hideMark/>
          </w:tcPr>
          <w:p w14:paraId="192459A2"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Fuel cell electric vehicle</w:t>
            </w:r>
          </w:p>
        </w:tc>
      </w:tr>
      <w:tr w:rsidR="00F453AD" w:rsidRPr="00F453AD" w14:paraId="6E366ACE" w14:textId="77777777" w:rsidTr="00F453AD">
        <w:trPr>
          <w:trHeight w:val="88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6E2283DA"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lastRenderedPageBreak/>
              <w:t xml:space="preserve">FCH 2 JU </w:t>
            </w:r>
          </w:p>
        </w:tc>
        <w:tc>
          <w:tcPr>
            <w:tcW w:w="2958" w:type="dxa"/>
            <w:tcBorders>
              <w:top w:val="nil"/>
              <w:left w:val="nil"/>
              <w:bottom w:val="single" w:sz="8" w:space="0" w:color="auto"/>
              <w:right w:val="single" w:sz="8" w:space="0" w:color="auto"/>
            </w:tcBorders>
            <w:shd w:val="clear" w:color="auto" w:fill="auto"/>
            <w:vAlign w:val="center"/>
            <w:hideMark/>
          </w:tcPr>
          <w:p w14:paraId="3D292327"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Fuel Cells and Hydrogen 2 Joint Undertaking</w:t>
            </w:r>
          </w:p>
        </w:tc>
      </w:tr>
      <w:tr w:rsidR="00F453AD" w:rsidRPr="00F453AD" w14:paraId="731A1D3F" w14:textId="77777777" w:rsidTr="00F453AD">
        <w:trPr>
          <w:trHeight w:val="117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38AC404C"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FIB-SEM</w:t>
            </w:r>
          </w:p>
        </w:tc>
        <w:tc>
          <w:tcPr>
            <w:tcW w:w="2958" w:type="dxa"/>
            <w:tcBorders>
              <w:top w:val="nil"/>
              <w:left w:val="nil"/>
              <w:bottom w:val="single" w:sz="8" w:space="0" w:color="auto"/>
              <w:right w:val="single" w:sz="8" w:space="0" w:color="auto"/>
            </w:tcBorders>
            <w:shd w:val="clear" w:color="auto" w:fill="auto"/>
            <w:vAlign w:val="center"/>
            <w:hideMark/>
          </w:tcPr>
          <w:p w14:paraId="432B66F8"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Focused Ion Beam Scanning Electron Microscopy</w:t>
            </w:r>
          </w:p>
        </w:tc>
      </w:tr>
      <w:tr w:rsidR="00F453AD" w:rsidRPr="00F453AD" w14:paraId="61B57BC1" w14:textId="77777777" w:rsidTr="00F453AD">
        <w:trPr>
          <w:trHeight w:val="117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4BE0DBF8"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 xml:space="preserve">FP7 </w:t>
            </w:r>
          </w:p>
        </w:tc>
        <w:tc>
          <w:tcPr>
            <w:tcW w:w="2958" w:type="dxa"/>
            <w:tcBorders>
              <w:top w:val="nil"/>
              <w:left w:val="nil"/>
              <w:bottom w:val="single" w:sz="8" w:space="0" w:color="auto"/>
              <w:right w:val="single" w:sz="8" w:space="0" w:color="auto"/>
            </w:tcBorders>
            <w:shd w:val="clear" w:color="auto" w:fill="auto"/>
            <w:vAlign w:val="center"/>
            <w:hideMark/>
          </w:tcPr>
          <w:p w14:paraId="0C638A18"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European Union’s Seventh Framework Programme</w:t>
            </w:r>
          </w:p>
        </w:tc>
      </w:tr>
      <w:tr w:rsidR="00F453AD" w:rsidRPr="00F453AD" w14:paraId="7CFA2746"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0A598E6E"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FTE</w:t>
            </w:r>
          </w:p>
        </w:tc>
        <w:tc>
          <w:tcPr>
            <w:tcW w:w="2958" w:type="dxa"/>
            <w:tcBorders>
              <w:top w:val="nil"/>
              <w:left w:val="nil"/>
              <w:bottom w:val="single" w:sz="8" w:space="0" w:color="auto"/>
              <w:right w:val="single" w:sz="8" w:space="0" w:color="auto"/>
            </w:tcBorders>
            <w:shd w:val="clear" w:color="auto" w:fill="auto"/>
            <w:vAlign w:val="center"/>
            <w:hideMark/>
          </w:tcPr>
          <w:p w14:paraId="28B9DA58"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Full Time Equivalent</w:t>
            </w:r>
          </w:p>
        </w:tc>
      </w:tr>
      <w:tr w:rsidR="00F453AD" w:rsidRPr="00F453AD" w14:paraId="3DB94716"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23C1A94F"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 xml:space="preserve">GA </w:t>
            </w:r>
          </w:p>
        </w:tc>
        <w:tc>
          <w:tcPr>
            <w:tcW w:w="2958" w:type="dxa"/>
            <w:tcBorders>
              <w:top w:val="nil"/>
              <w:left w:val="nil"/>
              <w:bottom w:val="single" w:sz="8" w:space="0" w:color="auto"/>
              <w:right w:val="single" w:sz="8" w:space="0" w:color="auto"/>
            </w:tcBorders>
            <w:shd w:val="clear" w:color="auto" w:fill="auto"/>
            <w:vAlign w:val="center"/>
            <w:hideMark/>
          </w:tcPr>
          <w:p w14:paraId="5788FF5C"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Grant agreement</w:t>
            </w:r>
          </w:p>
        </w:tc>
      </w:tr>
      <w:tr w:rsidR="00F453AD" w:rsidRPr="00F453AD" w14:paraId="7B306523"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07E8E898"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 xml:space="preserve">GB </w:t>
            </w:r>
          </w:p>
        </w:tc>
        <w:tc>
          <w:tcPr>
            <w:tcW w:w="2958" w:type="dxa"/>
            <w:tcBorders>
              <w:top w:val="nil"/>
              <w:left w:val="nil"/>
              <w:bottom w:val="single" w:sz="8" w:space="0" w:color="auto"/>
              <w:right w:val="single" w:sz="8" w:space="0" w:color="auto"/>
            </w:tcBorders>
            <w:shd w:val="clear" w:color="auto" w:fill="auto"/>
            <w:vAlign w:val="center"/>
            <w:hideMark/>
          </w:tcPr>
          <w:p w14:paraId="0D2FBB48"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Governing Board</w:t>
            </w:r>
          </w:p>
        </w:tc>
      </w:tr>
      <w:tr w:rsidR="00F453AD" w:rsidRPr="00F453AD" w14:paraId="6ABA563A"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0AA4E176"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GO</w:t>
            </w:r>
          </w:p>
        </w:tc>
        <w:tc>
          <w:tcPr>
            <w:tcW w:w="2958" w:type="dxa"/>
            <w:tcBorders>
              <w:top w:val="nil"/>
              <w:left w:val="nil"/>
              <w:bottom w:val="single" w:sz="8" w:space="0" w:color="auto"/>
              <w:right w:val="single" w:sz="8" w:space="0" w:color="auto"/>
            </w:tcBorders>
            <w:shd w:val="clear" w:color="auto" w:fill="auto"/>
            <w:vAlign w:val="center"/>
            <w:hideMark/>
          </w:tcPr>
          <w:p w14:paraId="726A1526"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Guarantees of origin</w:t>
            </w:r>
          </w:p>
        </w:tc>
      </w:tr>
      <w:tr w:rsidR="00F453AD" w:rsidRPr="00F453AD" w14:paraId="69AEB723" w14:textId="77777777" w:rsidTr="00F453AD">
        <w:trPr>
          <w:trHeight w:val="30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098ADFFE"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 xml:space="preserve">H2020 </w:t>
            </w:r>
          </w:p>
        </w:tc>
        <w:tc>
          <w:tcPr>
            <w:tcW w:w="2958" w:type="dxa"/>
            <w:tcBorders>
              <w:top w:val="nil"/>
              <w:left w:val="nil"/>
              <w:bottom w:val="single" w:sz="8" w:space="0" w:color="auto"/>
              <w:right w:val="single" w:sz="8" w:space="0" w:color="auto"/>
            </w:tcBorders>
            <w:shd w:val="clear" w:color="auto" w:fill="auto"/>
            <w:vAlign w:val="center"/>
            <w:hideMark/>
          </w:tcPr>
          <w:p w14:paraId="2FBFBC7C"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Horizon 2020</w:t>
            </w:r>
          </w:p>
        </w:tc>
      </w:tr>
      <w:tr w:rsidR="00F453AD" w:rsidRPr="00F453AD" w14:paraId="70C98FF8"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6EB4AE9A"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HDV</w:t>
            </w:r>
          </w:p>
        </w:tc>
        <w:tc>
          <w:tcPr>
            <w:tcW w:w="2958" w:type="dxa"/>
            <w:tcBorders>
              <w:top w:val="nil"/>
              <w:left w:val="nil"/>
              <w:bottom w:val="single" w:sz="8" w:space="0" w:color="auto"/>
              <w:right w:val="single" w:sz="8" w:space="0" w:color="auto"/>
            </w:tcBorders>
            <w:shd w:val="clear" w:color="auto" w:fill="auto"/>
            <w:vAlign w:val="center"/>
            <w:hideMark/>
          </w:tcPr>
          <w:p w14:paraId="249B3193"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Heavy Duty Vehicle</w:t>
            </w:r>
          </w:p>
        </w:tc>
      </w:tr>
      <w:tr w:rsidR="00F453AD" w:rsidRPr="00F453AD" w14:paraId="6AEF40B5" w14:textId="77777777" w:rsidTr="00F453AD">
        <w:trPr>
          <w:trHeight w:val="117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7FA50670"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HELLEN</w:t>
            </w:r>
          </w:p>
        </w:tc>
        <w:tc>
          <w:tcPr>
            <w:tcW w:w="2958" w:type="dxa"/>
            <w:tcBorders>
              <w:top w:val="nil"/>
              <w:left w:val="nil"/>
              <w:bottom w:val="single" w:sz="8" w:space="0" w:color="auto"/>
              <w:right w:val="single" w:sz="8" w:space="0" w:color="auto"/>
            </w:tcBorders>
            <w:shd w:val="clear" w:color="auto" w:fill="auto"/>
            <w:vAlign w:val="center"/>
            <w:hideMark/>
          </w:tcPr>
          <w:p w14:paraId="78F505DF"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Hydrogen Events and Lessons LEarNed database</w:t>
            </w:r>
          </w:p>
        </w:tc>
      </w:tr>
      <w:tr w:rsidR="00F453AD" w:rsidRPr="00F453AD" w14:paraId="3D6576AD" w14:textId="77777777" w:rsidTr="00F453AD">
        <w:trPr>
          <w:trHeight w:val="233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779253F7"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HIAD</w:t>
            </w:r>
          </w:p>
        </w:tc>
        <w:tc>
          <w:tcPr>
            <w:tcW w:w="2958" w:type="dxa"/>
            <w:tcBorders>
              <w:top w:val="nil"/>
              <w:left w:val="nil"/>
              <w:bottom w:val="single" w:sz="8" w:space="0" w:color="auto"/>
              <w:right w:val="single" w:sz="8" w:space="0" w:color="auto"/>
            </w:tcBorders>
            <w:shd w:val="clear" w:color="auto" w:fill="auto"/>
            <w:vAlign w:val="center"/>
            <w:hideMark/>
          </w:tcPr>
          <w:p w14:paraId="43AC2071"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Hydrogen Incidents and Accidents Database (European Hydrogen Safety Reference Database)</w:t>
            </w:r>
          </w:p>
        </w:tc>
      </w:tr>
      <w:tr w:rsidR="00F453AD" w:rsidRPr="00F453AD" w14:paraId="45E00D70"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7886ACB3"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HRB</w:t>
            </w:r>
          </w:p>
        </w:tc>
        <w:tc>
          <w:tcPr>
            <w:tcW w:w="2958" w:type="dxa"/>
            <w:tcBorders>
              <w:top w:val="nil"/>
              <w:left w:val="nil"/>
              <w:bottom w:val="single" w:sz="8" w:space="0" w:color="auto"/>
              <w:right w:val="single" w:sz="8" w:space="0" w:color="auto"/>
            </w:tcBorders>
            <w:shd w:val="clear" w:color="auto" w:fill="auto"/>
            <w:vAlign w:val="center"/>
            <w:hideMark/>
          </w:tcPr>
          <w:p w14:paraId="619C57C5"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Horizon Results Booster</w:t>
            </w:r>
          </w:p>
        </w:tc>
      </w:tr>
      <w:tr w:rsidR="00F453AD" w:rsidRPr="00F453AD" w14:paraId="389DF323"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3F70589B"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HRP</w:t>
            </w:r>
          </w:p>
        </w:tc>
        <w:tc>
          <w:tcPr>
            <w:tcW w:w="2958" w:type="dxa"/>
            <w:tcBorders>
              <w:top w:val="nil"/>
              <w:left w:val="nil"/>
              <w:bottom w:val="single" w:sz="8" w:space="0" w:color="auto"/>
              <w:right w:val="single" w:sz="8" w:space="0" w:color="auto"/>
            </w:tcBorders>
            <w:shd w:val="clear" w:color="auto" w:fill="auto"/>
            <w:vAlign w:val="center"/>
            <w:hideMark/>
          </w:tcPr>
          <w:p w14:paraId="540400C2"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Horizon Results Platform</w:t>
            </w:r>
          </w:p>
        </w:tc>
      </w:tr>
      <w:tr w:rsidR="00F453AD" w:rsidRPr="00F453AD" w14:paraId="10C5A3A3" w14:textId="77777777" w:rsidTr="00F453AD">
        <w:trPr>
          <w:trHeight w:val="88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1E854555"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 xml:space="preserve">HRS </w:t>
            </w:r>
          </w:p>
        </w:tc>
        <w:tc>
          <w:tcPr>
            <w:tcW w:w="2958" w:type="dxa"/>
            <w:tcBorders>
              <w:top w:val="nil"/>
              <w:left w:val="nil"/>
              <w:bottom w:val="single" w:sz="8" w:space="0" w:color="auto"/>
              <w:right w:val="single" w:sz="8" w:space="0" w:color="auto"/>
            </w:tcBorders>
            <w:shd w:val="clear" w:color="auto" w:fill="auto"/>
            <w:vAlign w:val="center"/>
            <w:hideMark/>
          </w:tcPr>
          <w:p w14:paraId="79C18985"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Hydrogen refuelling station</w:t>
            </w:r>
          </w:p>
        </w:tc>
      </w:tr>
      <w:tr w:rsidR="00F453AD" w:rsidRPr="00F453AD" w14:paraId="03FCA41B" w14:textId="77777777" w:rsidTr="00F453AD">
        <w:trPr>
          <w:trHeight w:val="88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0923627C"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HTE</w:t>
            </w:r>
          </w:p>
        </w:tc>
        <w:tc>
          <w:tcPr>
            <w:tcW w:w="2958" w:type="dxa"/>
            <w:tcBorders>
              <w:top w:val="nil"/>
              <w:left w:val="nil"/>
              <w:bottom w:val="single" w:sz="8" w:space="0" w:color="auto"/>
              <w:right w:val="single" w:sz="8" w:space="0" w:color="auto"/>
            </w:tcBorders>
            <w:shd w:val="clear" w:color="auto" w:fill="auto"/>
            <w:vAlign w:val="center"/>
            <w:hideMark/>
          </w:tcPr>
          <w:p w14:paraId="2D85E05A"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High-Temperature Electrolysis</w:t>
            </w:r>
          </w:p>
        </w:tc>
      </w:tr>
      <w:tr w:rsidR="00F453AD" w:rsidRPr="00F453AD" w14:paraId="0C4DC266"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0E305742"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lastRenderedPageBreak/>
              <w:t>IA</w:t>
            </w:r>
          </w:p>
        </w:tc>
        <w:tc>
          <w:tcPr>
            <w:tcW w:w="2958" w:type="dxa"/>
            <w:tcBorders>
              <w:top w:val="nil"/>
              <w:left w:val="nil"/>
              <w:bottom w:val="single" w:sz="8" w:space="0" w:color="auto"/>
              <w:right w:val="single" w:sz="8" w:space="0" w:color="auto"/>
            </w:tcBorders>
            <w:shd w:val="clear" w:color="auto" w:fill="auto"/>
            <w:vAlign w:val="center"/>
            <w:hideMark/>
          </w:tcPr>
          <w:p w14:paraId="6F904256"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Innovation Action</w:t>
            </w:r>
          </w:p>
        </w:tc>
      </w:tr>
      <w:tr w:rsidR="00F453AD" w:rsidRPr="00F453AD" w14:paraId="7B995968"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1E277EED"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IaaS</w:t>
            </w:r>
          </w:p>
        </w:tc>
        <w:tc>
          <w:tcPr>
            <w:tcW w:w="2958" w:type="dxa"/>
            <w:tcBorders>
              <w:top w:val="nil"/>
              <w:left w:val="nil"/>
              <w:bottom w:val="single" w:sz="8" w:space="0" w:color="auto"/>
              <w:right w:val="single" w:sz="8" w:space="0" w:color="auto"/>
            </w:tcBorders>
            <w:shd w:val="clear" w:color="auto" w:fill="auto"/>
            <w:vAlign w:val="center"/>
            <w:hideMark/>
          </w:tcPr>
          <w:p w14:paraId="6C3D0297"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Infrastructure-as-a-Service</w:t>
            </w:r>
          </w:p>
        </w:tc>
      </w:tr>
      <w:tr w:rsidR="00F453AD" w:rsidRPr="00F453AD" w14:paraId="76672031"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4507E30B"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 xml:space="preserve">IAS </w:t>
            </w:r>
          </w:p>
        </w:tc>
        <w:tc>
          <w:tcPr>
            <w:tcW w:w="2958" w:type="dxa"/>
            <w:tcBorders>
              <w:top w:val="nil"/>
              <w:left w:val="nil"/>
              <w:bottom w:val="single" w:sz="8" w:space="0" w:color="auto"/>
              <w:right w:val="single" w:sz="8" w:space="0" w:color="auto"/>
            </w:tcBorders>
            <w:shd w:val="clear" w:color="auto" w:fill="auto"/>
            <w:vAlign w:val="center"/>
            <w:hideMark/>
          </w:tcPr>
          <w:p w14:paraId="5A9DE500"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Internal Audit Service</w:t>
            </w:r>
          </w:p>
        </w:tc>
      </w:tr>
      <w:tr w:rsidR="00F453AD" w:rsidRPr="00F453AD" w14:paraId="55D59388"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6D4AE6EB"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ICF</w:t>
            </w:r>
          </w:p>
        </w:tc>
        <w:tc>
          <w:tcPr>
            <w:tcW w:w="2958" w:type="dxa"/>
            <w:tcBorders>
              <w:top w:val="nil"/>
              <w:left w:val="nil"/>
              <w:bottom w:val="single" w:sz="8" w:space="0" w:color="auto"/>
              <w:right w:val="single" w:sz="8" w:space="0" w:color="auto"/>
            </w:tcBorders>
            <w:shd w:val="clear" w:color="auto" w:fill="auto"/>
            <w:vAlign w:val="center"/>
            <w:hideMark/>
          </w:tcPr>
          <w:p w14:paraId="6D89AD98"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Internal Control Framework</w:t>
            </w:r>
          </w:p>
        </w:tc>
      </w:tr>
      <w:tr w:rsidR="00F453AD" w:rsidRPr="00F453AD" w14:paraId="68B244DF" w14:textId="77777777" w:rsidTr="00F453AD">
        <w:trPr>
          <w:trHeight w:val="88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7D89B739"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ICHS</w:t>
            </w:r>
          </w:p>
        </w:tc>
        <w:tc>
          <w:tcPr>
            <w:tcW w:w="2958" w:type="dxa"/>
            <w:tcBorders>
              <w:top w:val="nil"/>
              <w:left w:val="nil"/>
              <w:bottom w:val="single" w:sz="8" w:space="0" w:color="auto"/>
              <w:right w:val="single" w:sz="8" w:space="0" w:color="auto"/>
            </w:tcBorders>
            <w:shd w:val="clear" w:color="auto" w:fill="auto"/>
            <w:vAlign w:val="center"/>
            <w:hideMark/>
          </w:tcPr>
          <w:p w14:paraId="2746F859"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International Conference on Hydrogen Safety</w:t>
            </w:r>
          </w:p>
        </w:tc>
      </w:tr>
      <w:tr w:rsidR="00F453AD" w:rsidRPr="00F453AD" w14:paraId="25313B8A" w14:textId="77777777" w:rsidTr="00F453AD">
        <w:trPr>
          <w:trHeight w:val="88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1A091759"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ICT</w:t>
            </w:r>
          </w:p>
        </w:tc>
        <w:tc>
          <w:tcPr>
            <w:tcW w:w="2958" w:type="dxa"/>
            <w:tcBorders>
              <w:top w:val="nil"/>
              <w:left w:val="nil"/>
              <w:bottom w:val="single" w:sz="8" w:space="0" w:color="auto"/>
              <w:right w:val="single" w:sz="8" w:space="0" w:color="auto"/>
            </w:tcBorders>
            <w:shd w:val="clear" w:color="auto" w:fill="auto"/>
            <w:vAlign w:val="center"/>
            <w:hideMark/>
          </w:tcPr>
          <w:p w14:paraId="69D1803B"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Information and Communication Technology</w:t>
            </w:r>
          </w:p>
        </w:tc>
      </w:tr>
      <w:tr w:rsidR="00F453AD" w:rsidRPr="00F453AD" w14:paraId="272ACDE6"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6CC5EA62"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IEA</w:t>
            </w:r>
          </w:p>
        </w:tc>
        <w:tc>
          <w:tcPr>
            <w:tcW w:w="2958" w:type="dxa"/>
            <w:tcBorders>
              <w:top w:val="nil"/>
              <w:left w:val="nil"/>
              <w:bottom w:val="single" w:sz="8" w:space="0" w:color="auto"/>
              <w:right w:val="single" w:sz="8" w:space="0" w:color="auto"/>
            </w:tcBorders>
            <w:shd w:val="clear" w:color="auto" w:fill="auto"/>
            <w:vAlign w:val="center"/>
            <w:hideMark/>
          </w:tcPr>
          <w:p w14:paraId="7FBD95DA"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International Energy Agency</w:t>
            </w:r>
          </w:p>
        </w:tc>
      </w:tr>
      <w:tr w:rsidR="00F453AD" w:rsidRPr="00F453AD" w14:paraId="7A019789" w14:textId="77777777" w:rsidTr="00F453AD">
        <w:trPr>
          <w:trHeight w:val="175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3029B437"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IGF code</w:t>
            </w:r>
          </w:p>
        </w:tc>
        <w:tc>
          <w:tcPr>
            <w:tcW w:w="2958" w:type="dxa"/>
            <w:tcBorders>
              <w:top w:val="nil"/>
              <w:left w:val="nil"/>
              <w:bottom w:val="single" w:sz="8" w:space="0" w:color="auto"/>
              <w:right w:val="single" w:sz="8" w:space="0" w:color="auto"/>
            </w:tcBorders>
            <w:shd w:val="clear" w:color="auto" w:fill="auto"/>
            <w:vAlign w:val="center"/>
            <w:hideMark/>
          </w:tcPr>
          <w:p w14:paraId="4AF37CA5"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International Code of Safety for Ship Using Gases or Other Low-flashpoint Fuels</w:t>
            </w:r>
          </w:p>
        </w:tc>
      </w:tr>
      <w:tr w:rsidR="00F453AD" w:rsidRPr="00F453AD" w14:paraId="24172434" w14:textId="77777777" w:rsidTr="00F453AD">
        <w:trPr>
          <w:trHeight w:val="117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2A1F5B8E"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 xml:space="preserve">IKAA </w:t>
            </w:r>
          </w:p>
        </w:tc>
        <w:tc>
          <w:tcPr>
            <w:tcW w:w="2958" w:type="dxa"/>
            <w:tcBorders>
              <w:top w:val="nil"/>
              <w:left w:val="nil"/>
              <w:bottom w:val="single" w:sz="8" w:space="0" w:color="auto"/>
              <w:right w:val="single" w:sz="8" w:space="0" w:color="auto"/>
            </w:tcBorders>
            <w:shd w:val="clear" w:color="auto" w:fill="auto"/>
            <w:vAlign w:val="center"/>
            <w:hideMark/>
          </w:tcPr>
          <w:p w14:paraId="100828EF"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 xml:space="preserve">In-kind contributions in additional activities </w:t>
            </w:r>
          </w:p>
        </w:tc>
      </w:tr>
      <w:tr w:rsidR="00F453AD" w:rsidRPr="00F453AD" w14:paraId="67CB91C9" w14:textId="77777777" w:rsidTr="00F453AD">
        <w:trPr>
          <w:trHeight w:val="117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26D4AE64"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 xml:space="preserve">IKOP </w:t>
            </w:r>
          </w:p>
        </w:tc>
        <w:tc>
          <w:tcPr>
            <w:tcW w:w="2958" w:type="dxa"/>
            <w:tcBorders>
              <w:top w:val="nil"/>
              <w:left w:val="nil"/>
              <w:bottom w:val="single" w:sz="8" w:space="0" w:color="auto"/>
              <w:right w:val="single" w:sz="8" w:space="0" w:color="auto"/>
            </w:tcBorders>
            <w:shd w:val="clear" w:color="auto" w:fill="auto"/>
            <w:vAlign w:val="center"/>
            <w:hideMark/>
          </w:tcPr>
          <w:p w14:paraId="48330174"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In-kind contributions in operational activities</w:t>
            </w:r>
          </w:p>
        </w:tc>
      </w:tr>
      <w:tr w:rsidR="00F453AD" w:rsidRPr="00F453AD" w14:paraId="0AEE3D0A" w14:textId="77777777" w:rsidTr="00F453AD">
        <w:trPr>
          <w:trHeight w:val="88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07A4B346"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IMO</w:t>
            </w:r>
          </w:p>
        </w:tc>
        <w:tc>
          <w:tcPr>
            <w:tcW w:w="2958" w:type="dxa"/>
            <w:tcBorders>
              <w:top w:val="nil"/>
              <w:left w:val="nil"/>
              <w:bottom w:val="single" w:sz="8" w:space="0" w:color="auto"/>
              <w:right w:val="single" w:sz="8" w:space="0" w:color="auto"/>
            </w:tcBorders>
            <w:shd w:val="clear" w:color="auto" w:fill="auto"/>
            <w:vAlign w:val="center"/>
            <w:hideMark/>
          </w:tcPr>
          <w:p w14:paraId="547E4372"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International Maritime Organisation</w:t>
            </w:r>
          </w:p>
        </w:tc>
      </w:tr>
      <w:tr w:rsidR="00F453AD" w:rsidRPr="00F453AD" w14:paraId="119FDA15" w14:textId="77777777" w:rsidTr="00F453AD">
        <w:trPr>
          <w:trHeight w:val="117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70A86D31"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IPHE</w:t>
            </w:r>
          </w:p>
        </w:tc>
        <w:tc>
          <w:tcPr>
            <w:tcW w:w="2958" w:type="dxa"/>
            <w:tcBorders>
              <w:top w:val="nil"/>
              <w:left w:val="nil"/>
              <w:bottom w:val="single" w:sz="8" w:space="0" w:color="auto"/>
              <w:right w:val="single" w:sz="8" w:space="0" w:color="auto"/>
            </w:tcBorders>
            <w:shd w:val="clear" w:color="auto" w:fill="auto"/>
            <w:vAlign w:val="center"/>
            <w:hideMark/>
          </w:tcPr>
          <w:p w14:paraId="0871D25C"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International Partnership for Hydrogen into the Economy</w:t>
            </w:r>
          </w:p>
        </w:tc>
      </w:tr>
      <w:tr w:rsidR="00F453AD" w:rsidRPr="00F453AD" w14:paraId="05920201" w14:textId="77777777" w:rsidTr="00F453AD">
        <w:trPr>
          <w:trHeight w:val="88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3C7E161F"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 xml:space="preserve">(I)PPP </w:t>
            </w:r>
          </w:p>
        </w:tc>
        <w:tc>
          <w:tcPr>
            <w:tcW w:w="2958" w:type="dxa"/>
            <w:tcBorders>
              <w:top w:val="nil"/>
              <w:left w:val="nil"/>
              <w:bottom w:val="single" w:sz="8" w:space="0" w:color="auto"/>
              <w:right w:val="single" w:sz="8" w:space="0" w:color="auto"/>
            </w:tcBorders>
            <w:shd w:val="clear" w:color="auto" w:fill="auto"/>
            <w:vAlign w:val="center"/>
            <w:hideMark/>
          </w:tcPr>
          <w:p w14:paraId="4C236978"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(Institutionalised) Public-Private Partnership</w:t>
            </w:r>
          </w:p>
        </w:tc>
      </w:tr>
      <w:tr w:rsidR="00F453AD" w:rsidRPr="00F453AD" w14:paraId="68467C3F"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4D6398EF"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IR</w:t>
            </w:r>
          </w:p>
        </w:tc>
        <w:tc>
          <w:tcPr>
            <w:tcW w:w="2958" w:type="dxa"/>
            <w:tcBorders>
              <w:top w:val="nil"/>
              <w:left w:val="nil"/>
              <w:bottom w:val="single" w:sz="8" w:space="0" w:color="auto"/>
              <w:right w:val="single" w:sz="8" w:space="0" w:color="auto"/>
            </w:tcBorders>
            <w:shd w:val="clear" w:color="auto" w:fill="auto"/>
            <w:vAlign w:val="center"/>
            <w:hideMark/>
          </w:tcPr>
          <w:p w14:paraId="00EEE7FD"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Innovation Radar</w:t>
            </w:r>
          </w:p>
        </w:tc>
      </w:tr>
      <w:tr w:rsidR="00F453AD" w:rsidRPr="00F453AD" w14:paraId="732148E5" w14:textId="77777777" w:rsidTr="00F453AD">
        <w:trPr>
          <w:trHeight w:val="88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73196496"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ISO</w:t>
            </w:r>
          </w:p>
        </w:tc>
        <w:tc>
          <w:tcPr>
            <w:tcW w:w="2958" w:type="dxa"/>
            <w:tcBorders>
              <w:top w:val="nil"/>
              <w:left w:val="nil"/>
              <w:bottom w:val="single" w:sz="8" w:space="0" w:color="auto"/>
              <w:right w:val="single" w:sz="8" w:space="0" w:color="auto"/>
            </w:tcBorders>
            <w:shd w:val="clear" w:color="auto" w:fill="auto"/>
            <w:vAlign w:val="center"/>
            <w:hideMark/>
          </w:tcPr>
          <w:p w14:paraId="3034C2C8"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International Organisation for Standardisation</w:t>
            </w:r>
          </w:p>
        </w:tc>
      </w:tr>
      <w:tr w:rsidR="00F453AD" w:rsidRPr="00F453AD" w14:paraId="7BFAA816" w14:textId="77777777" w:rsidTr="00F453AD">
        <w:trPr>
          <w:trHeight w:val="88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5EF67C04"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lastRenderedPageBreak/>
              <w:t>ITO</w:t>
            </w:r>
          </w:p>
        </w:tc>
        <w:tc>
          <w:tcPr>
            <w:tcW w:w="2958" w:type="dxa"/>
            <w:tcBorders>
              <w:top w:val="nil"/>
              <w:left w:val="nil"/>
              <w:bottom w:val="single" w:sz="8" w:space="0" w:color="auto"/>
              <w:right w:val="single" w:sz="8" w:space="0" w:color="auto"/>
            </w:tcBorders>
            <w:shd w:val="clear" w:color="auto" w:fill="auto"/>
            <w:vAlign w:val="center"/>
            <w:hideMark/>
          </w:tcPr>
          <w:p w14:paraId="310084FD"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Information Technology Officer</w:t>
            </w:r>
          </w:p>
        </w:tc>
      </w:tr>
      <w:tr w:rsidR="00F453AD" w:rsidRPr="00F453AD" w14:paraId="639637D7" w14:textId="77777777" w:rsidTr="00F453AD">
        <w:trPr>
          <w:trHeight w:val="117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5A0F4D73"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 xml:space="preserve">JRC </w:t>
            </w:r>
          </w:p>
        </w:tc>
        <w:tc>
          <w:tcPr>
            <w:tcW w:w="2958" w:type="dxa"/>
            <w:tcBorders>
              <w:top w:val="nil"/>
              <w:left w:val="nil"/>
              <w:bottom w:val="single" w:sz="8" w:space="0" w:color="auto"/>
              <w:right w:val="single" w:sz="8" w:space="0" w:color="auto"/>
            </w:tcBorders>
            <w:shd w:val="clear" w:color="auto" w:fill="auto"/>
            <w:vAlign w:val="center"/>
            <w:hideMark/>
          </w:tcPr>
          <w:p w14:paraId="181B1F8E"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Joint Research Centre of the European Commission</w:t>
            </w:r>
          </w:p>
        </w:tc>
      </w:tr>
      <w:tr w:rsidR="00F453AD" w:rsidRPr="00F453AD" w14:paraId="7E0AF114"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14E92839"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JU</w:t>
            </w:r>
          </w:p>
        </w:tc>
        <w:tc>
          <w:tcPr>
            <w:tcW w:w="2958" w:type="dxa"/>
            <w:tcBorders>
              <w:top w:val="nil"/>
              <w:left w:val="nil"/>
              <w:bottom w:val="single" w:sz="8" w:space="0" w:color="auto"/>
              <w:right w:val="single" w:sz="8" w:space="0" w:color="auto"/>
            </w:tcBorders>
            <w:shd w:val="clear" w:color="auto" w:fill="auto"/>
            <w:vAlign w:val="center"/>
            <w:hideMark/>
          </w:tcPr>
          <w:p w14:paraId="4FB8C283"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Joint Undertaking</w:t>
            </w:r>
          </w:p>
        </w:tc>
      </w:tr>
      <w:tr w:rsidR="00F453AD" w:rsidRPr="00F453AD" w14:paraId="0E81CAFE"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04CF9623"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KER</w:t>
            </w:r>
          </w:p>
        </w:tc>
        <w:tc>
          <w:tcPr>
            <w:tcW w:w="2958" w:type="dxa"/>
            <w:tcBorders>
              <w:top w:val="nil"/>
              <w:left w:val="nil"/>
              <w:bottom w:val="single" w:sz="8" w:space="0" w:color="auto"/>
              <w:right w:val="single" w:sz="8" w:space="0" w:color="auto"/>
            </w:tcBorders>
            <w:shd w:val="clear" w:color="auto" w:fill="auto"/>
            <w:vAlign w:val="center"/>
            <w:hideMark/>
          </w:tcPr>
          <w:p w14:paraId="2ABF7896"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Key Exploitable Results</w:t>
            </w:r>
          </w:p>
        </w:tc>
      </w:tr>
      <w:tr w:rsidR="00F453AD" w:rsidRPr="00F453AD" w14:paraId="29C0D708"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2455241A"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KOH</w:t>
            </w:r>
          </w:p>
        </w:tc>
        <w:tc>
          <w:tcPr>
            <w:tcW w:w="2958" w:type="dxa"/>
            <w:tcBorders>
              <w:top w:val="nil"/>
              <w:left w:val="nil"/>
              <w:bottom w:val="single" w:sz="8" w:space="0" w:color="auto"/>
              <w:right w:val="single" w:sz="8" w:space="0" w:color="auto"/>
            </w:tcBorders>
            <w:shd w:val="clear" w:color="auto" w:fill="auto"/>
            <w:vAlign w:val="center"/>
            <w:hideMark/>
          </w:tcPr>
          <w:p w14:paraId="7156CB44"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Potasium hydroxide</w:t>
            </w:r>
          </w:p>
        </w:tc>
      </w:tr>
      <w:tr w:rsidR="00F453AD" w:rsidRPr="00F453AD" w14:paraId="25E591B5" w14:textId="77777777" w:rsidTr="00F453AD">
        <w:trPr>
          <w:trHeight w:val="88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660613F6"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 xml:space="preserve">KPI </w:t>
            </w:r>
          </w:p>
        </w:tc>
        <w:tc>
          <w:tcPr>
            <w:tcW w:w="2958" w:type="dxa"/>
            <w:tcBorders>
              <w:top w:val="nil"/>
              <w:left w:val="nil"/>
              <w:bottom w:val="single" w:sz="8" w:space="0" w:color="auto"/>
              <w:right w:val="single" w:sz="8" w:space="0" w:color="auto"/>
            </w:tcBorders>
            <w:shd w:val="clear" w:color="auto" w:fill="auto"/>
            <w:vAlign w:val="center"/>
            <w:hideMark/>
          </w:tcPr>
          <w:p w14:paraId="1238BE34"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Key Performance Indicators</w:t>
            </w:r>
          </w:p>
        </w:tc>
      </w:tr>
      <w:tr w:rsidR="00F453AD" w:rsidRPr="00F453AD" w14:paraId="2F9C059B" w14:textId="77777777" w:rsidTr="00F453AD">
        <w:trPr>
          <w:trHeight w:val="30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731384CC"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kWh</w:t>
            </w:r>
          </w:p>
        </w:tc>
        <w:tc>
          <w:tcPr>
            <w:tcW w:w="2958" w:type="dxa"/>
            <w:tcBorders>
              <w:top w:val="nil"/>
              <w:left w:val="nil"/>
              <w:bottom w:val="single" w:sz="8" w:space="0" w:color="auto"/>
              <w:right w:val="single" w:sz="8" w:space="0" w:color="auto"/>
            </w:tcBorders>
            <w:shd w:val="clear" w:color="auto" w:fill="auto"/>
            <w:vAlign w:val="center"/>
            <w:hideMark/>
          </w:tcPr>
          <w:p w14:paraId="4EDA8137"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Kilowatt hour</w:t>
            </w:r>
          </w:p>
        </w:tc>
      </w:tr>
      <w:tr w:rsidR="00F453AD" w:rsidRPr="00F453AD" w14:paraId="1F594120"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0F8FD0FF"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LCA</w:t>
            </w:r>
          </w:p>
        </w:tc>
        <w:tc>
          <w:tcPr>
            <w:tcW w:w="2958" w:type="dxa"/>
            <w:tcBorders>
              <w:top w:val="nil"/>
              <w:left w:val="nil"/>
              <w:bottom w:val="single" w:sz="8" w:space="0" w:color="auto"/>
              <w:right w:val="single" w:sz="8" w:space="0" w:color="auto"/>
            </w:tcBorders>
            <w:shd w:val="clear" w:color="auto" w:fill="auto"/>
            <w:vAlign w:val="center"/>
            <w:hideMark/>
          </w:tcPr>
          <w:p w14:paraId="1B517745"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Life Cycle Assessment</w:t>
            </w:r>
          </w:p>
        </w:tc>
      </w:tr>
      <w:tr w:rsidR="00F453AD" w:rsidRPr="00F453AD" w14:paraId="443AB35A"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3E241ECC"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LCOH</w:t>
            </w:r>
          </w:p>
        </w:tc>
        <w:tc>
          <w:tcPr>
            <w:tcW w:w="2958" w:type="dxa"/>
            <w:tcBorders>
              <w:top w:val="nil"/>
              <w:left w:val="nil"/>
              <w:bottom w:val="single" w:sz="8" w:space="0" w:color="auto"/>
              <w:right w:val="single" w:sz="8" w:space="0" w:color="auto"/>
            </w:tcBorders>
            <w:shd w:val="clear" w:color="auto" w:fill="auto"/>
            <w:vAlign w:val="center"/>
            <w:hideMark/>
          </w:tcPr>
          <w:p w14:paraId="0ABE5E77"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Levelised cost of Hydrogen</w:t>
            </w:r>
          </w:p>
        </w:tc>
      </w:tr>
      <w:tr w:rsidR="00F453AD" w:rsidRPr="00F453AD" w14:paraId="4B7A79B5"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1AFF5F69"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LHV</w:t>
            </w:r>
          </w:p>
        </w:tc>
        <w:tc>
          <w:tcPr>
            <w:tcW w:w="2958" w:type="dxa"/>
            <w:tcBorders>
              <w:top w:val="nil"/>
              <w:left w:val="nil"/>
              <w:bottom w:val="single" w:sz="8" w:space="0" w:color="auto"/>
              <w:right w:val="single" w:sz="8" w:space="0" w:color="auto"/>
            </w:tcBorders>
            <w:shd w:val="clear" w:color="auto" w:fill="auto"/>
            <w:vAlign w:val="center"/>
            <w:hideMark/>
          </w:tcPr>
          <w:p w14:paraId="51FBFF35"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Lower Heating Value</w:t>
            </w:r>
          </w:p>
        </w:tc>
      </w:tr>
      <w:tr w:rsidR="00F453AD" w:rsidRPr="00F453AD" w14:paraId="5290B17F" w14:textId="77777777" w:rsidTr="00F453AD">
        <w:trPr>
          <w:trHeight w:val="88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349BEC59"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LOHC</w:t>
            </w:r>
          </w:p>
        </w:tc>
        <w:tc>
          <w:tcPr>
            <w:tcW w:w="2958" w:type="dxa"/>
            <w:tcBorders>
              <w:top w:val="nil"/>
              <w:left w:val="nil"/>
              <w:bottom w:val="single" w:sz="8" w:space="0" w:color="auto"/>
              <w:right w:val="single" w:sz="8" w:space="0" w:color="auto"/>
            </w:tcBorders>
            <w:shd w:val="clear" w:color="auto" w:fill="auto"/>
            <w:vAlign w:val="center"/>
            <w:hideMark/>
          </w:tcPr>
          <w:p w14:paraId="5CC6D2C5"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Liquid Organic Hydrogen Carrier</w:t>
            </w:r>
          </w:p>
        </w:tc>
      </w:tr>
      <w:tr w:rsidR="00F453AD" w:rsidRPr="00F453AD" w14:paraId="5C43A087" w14:textId="77777777" w:rsidTr="00F453AD">
        <w:trPr>
          <w:trHeight w:val="117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13F63E7D"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LTWE</w:t>
            </w:r>
          </w:p>
        </w:tc>
        <w:tc>
          <w:tcPr>
            <w:tcW w:w="2958" w:type="dxa"/>
            <w:tcBorders>
              <w:top w:val="nil"/>
              <w:left w:val="nil"/>
              <w:bottom w:val="single" w:sz="8" w:space="0" w:color="auto"/>
              <w:right w:val="single" w:sz="8" w:space="0" w:color="auto"/>
            </w:tcBorders>
            <w:shd w:val="clear" w:color="auto" w:fill="auto"/>
            <w:vAlign w:val="center"/>
            <w:hideMark/>
          </w:tcPr>
          <w:p w14:paraId="68C803B8"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Low temperature water electrolysis</w:t>
            </w:r>
          </w:p>
        </w:tc>
      </w:tr>
      <w:tr w:rsidR="00F453AD" w:rsidRPr="00F453AD" w14:paraId="15612416" w14:textId="77777777" w:rsidTr="00F453AD">
        <w:trPr>
          <w:trHeight w:val="88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29725075"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MAIP</w:t>
            </w:r>
          </w:p>
        </w:tc>
        <w:tc>
          <w:tcPr>
            <w:tcW w:w="2958" w:type="dxa"/>
            <w:tcBorders>
              <w:top w:val="nil"/>
              <w:left w:val="nil"/>
              <w:bottom w:val="single" w:sz="8" w:space="0" w:color="auto"/>
              <w:right w:val="single" w:sz="8" w:space="0" w:color="auto"/>
            </w:tcBorders>
            <w:shd w:val="clear" w:color="auto" w:fill="auto"/>
            <w:vAlign w:val="center"/>
            <w:hideMark/>
          </w:tcPr>
          <w:p w14:paraId="2185642F"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Multi-Annual Implementation Plan</w:t>
            </w:r>
          </w:p>
        </w:tc>
      </w:tr>
      <w:tr w:rsidR="00F453AD" w:rsidRPr="00F453AD" w14:paraId="01890FCE" w14:textId="77777777" w:rsidTr="00F453AD">
        <w:trPr>
          <w:trHeight w:val="88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4AB21EA2"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 xml:space="preserve">MAWP </w:t>
            </w:r>
          </w:p>
        </w:tc>
        <w:tc>
          <w:tcPr>
            <w:tcW w:w="2958" w:type="dxa"/>
            <w:tcBorders>
              <w:top w:val="nil"/>
              <w:left w:val="nil"/>
              <w:bottom w:val="single" w:sz="8" w:space="0" w:color="auto"/>
              <w:right w:val="single" w:sz="8" w:space="0" w:color="auto"/>
            </w:tcBorders>
            <w:shd w:val="clear" w:color="auto" w:fill="auto"/>
            <w:vAlign w:val="center"/>
            <w:hideMark/>
          </w:tcPr>
          <w:p w14:paraId="2E4E00FF"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Multi-Annual Work Programme</w:t>
            </w:r>
          </w:p>
        </w:tc>
      </w:tr>
      <w:tr w:rsidR="00F453AD" w:rsidRPr="00F453AD" w14:paraId="219917A9" w14:textId="77777777" w:rsidTr="00F453AD">
        <w:trPr>
          <w:trHeight w:val="88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02300B29"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 xml:space="preserve">MEA </w:t>
            </w:r>
          </w:p>
        </w:tc>
        <w:tc>
          <w:tcPr>
            <w:tcW w:w="2958" w:type="dxa"/>
            <w:tcBorders>
              <w:top w:val="nil"/>
              <w:left w:val="nil"/>
              <w:bottom w:val="single" w:sz="8" w:space="0" w:color="auto"/>
              <w:right w:val="single" w:sz="8" w:space="0" w:color="auto"/>
            </w:tcBorders>
            <w:shd w:val="clear" w:color="auto" w:fill="auto"/>
            <w:vAlign w:val="center"/>
            <w:hideMark/>
          </w:tcPr>
          <w:p w14:paraId="0828D5A7"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Membrane electrode assembly</w:t>
            </w:r>
          </w:p>
        </w:tc>
      </w:tr>
      <w:tr w:rsidR="00F453AD" w:rsidRPr="00F453AD" w14:paraId="2CD98EB7"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092D6B23"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MGA</w:t>
            </w:r>
          </w:p>
        </w:tc>
        <w:tc>
          <w:tcPr>
            <w:tcW w:w="2958" w:type="dxa"/>
            <w:tcBorders>
              <w:top w:val="nil"/>
              <w:left w:val="nil"/>
              <w:bottom w:val="single" w:sz="8" w:space="0" w:color="auto"/>
              <w:right w:val="single" w:sz="8" w:space="0" w:color="auto"/>
            </w:tcBorders>
            <w:shd w:val="clear" w:color="auto" w:fill="auto"/>
            <w:vAlign w:val="center"/>
            <w:hideMark/>
          </w:tcPr>
          <w:p w14:paraId="2E73D5B0"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Model Grant Agreement</w:t>
            </w:r>
          </w:p>
        </w:tc>
      </w:tr>
      <w:tr w:rsidR="00F453AD" w:rsidRPr="00F453AD" w14:paraId="0A5F48D8" w14:textId="77777777" w:rsidTr="00F453AD">
        <w:trPr>
          <w:trHeight w:val="88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3144CACA"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MiPS</w:t>
            </w:r>
          </w:p>
        </w:tc>
        <w:tc>
          <w:tcPr>
            <w:tcW w:w="2958" w:type="dxa"/>
            <w:tcBorders>
              <w:top w:val="nil"/>
              <w:left w:val="nil"/>
              <w:bottom w:val="single" w:sz="8" w:space="0" w:color="auto"/>
              <w:right w:val="single" w:sz="8" w:space="0" w:color="auto"/>
            </w:tcBorders>
            <w:shd w:val="clear" w:color="auto" w:fill="auto"/>
            <w:vAlign w:val="center"/>
            <w:hideMark/>
          </w:tcPr>
          <w:p w14:paraId="372465B9"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Mission Processing System</w:t>
            </w:r>
          </w:p>
        </w:tc>
      </w:tr>
      <w:tr w:rsidR="00F453AD" w:rsidRPr="00F453AD" w14:paraId="702AFCCF"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047A49C2"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lastRenderedPageBreak/>
              <w:t>MPL</w:t>
            </w:r>
          </w:p>
        </w:tc>
        <w:tc>
          <w:tcPr>
            <w:tcW w:w="2958" w:type="dxa"/>
            <w:tcBorders>
              <w:top w:val="nil"/>
              <w:left w:val="nil"/>
              <w:bottom w:val="single" w:sz="8" w:space="0" w:color="auto"/>
              <w:right w:val="single" w:sz="8" w:space="0" w:color="auto"/>
            </w:tcBorders>
            <w:shd w:val="clear" w:color="auto" w:fill="auto"/>
            <w:vAlign w:val="center"/>
            <w:hideMark/>
          </w:tcPr>
          <w:p w14:paraId="626C4F4C"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Micro Porous Layer</w:t>
            </w:r>
          </w:p>
        </w:tc>
      </w:tr>
      <w:tr w:rsidR="00F453AD" w:rsidRPr="00F453AD" w14:paraId="45D9572C"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3C31881C"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MUS</w:t>
            </w:r>
          </w:p>
        </w:tc>
        <w:tc>
          <w:tcPr>
            <w:tcW w:w="2958" w:type="dxa"/>
            <w:tcBorders>
              <w:top w:val="nil"/>
              <w:left w:val="nil"/>
              <w:bottom w:val="single" w:sz="8" w:space="0" w:color="auto"/>
              <w:right w:val="single" w:sz="8" w:space="0" w:color="auto"/>
            </w:tcBorders>
            <w:shd w:val="clear" w:color="auto" w:fill="auto"/>
            <w:vAlign w:val="center"/>
            <w:hideMark/>
          </w:tcPr>
          <w:p w14:paraId="533F7E33"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Monetary Unit Sampling</w:t>
            </w:r>
          </w:p>
        </w:tc>
      </w:tr>
      <w:tr w:rsidR="00F453AD" w:rsidRPr="00F453AD" w14:paraId="6E21A454"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3DF21B5C" w14:textId="77777777" w:rsidR="00F453AD" w:rsidRPr="00F453AD" w:rsidRDefault="00F453AD" w:rsidP="00F453AD">
            <w:pPr>
              <w:spacing w:after="0" w:line="240" w:lineRule="auto"/>
              <w:rPr>
                <w:rFonts w:eastAsia="Times New Roman" w:cs="Calibri"/>
                <w:b/>
                <w:bCs/>
                <w:color w:val="000000"/>
                <w:lang w:eastAsia="en-GB"/>
              </w:rPr>
            </w:pPr>
            <w:proofErr w:type="gramStart"/>
            <w:r w:rsidRPr="00F453AD">
              <w:rPr>
                <w:rFonts w:eastAsia="Times New Roman" w:cs="Calibri"/>
                <w:b/>
                <w:bCs/>
                <w:color w:val="000000"/>
                <w:lang w:eastAsia="en-GB"/>
              </w:rPr>
              <w:t>MW(</w:t>
            </w:r>
            <w:proofErr w:type="gramEnd"/>
            <w:r w:rsidRPr="00F453AD">
              <w:rPr>
                <w:rFonts w:eastAsia="Times New Roman" w:cs="Calibri"/>
                <w:b/>
                <w:bCs/>
                <w:color w:val="000000"/>
                <w:lang w:eastAsia="en-GB"/>
              </w:rPr>
              <w:t>e )</w:t>
            </w:r>
          </w:p>
        </w:tc>
        <w:tc>
          <w:tcPr>
            <w:tcW w:w="2958" w:type="dxa"/>
            <w:tcBorders>
              <w:top w:val="nil"/>
              <w:left w:val="nil"/>
              <w:bottom w:val="single" w:sz="8" w:space="0" w:color="auto"/>
              <w:right w:val="single" w:sz="8" w:space="0" w:color="auto"/>
            </w:tcBorders>
            <w:shd w:val="clear" w:color="auto" w:fill="auto"/>
            <w:vAlign w:val="center"/>
            <w:hideMark/>
          </w:tcPr>
          <w:p w14:paraId="0C10733D"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Megawatt (electric)</w:t>
            </w:r>
          </w:p>
        </w:tc>
      </w:tr>
      <w:tr w:rsidR="00F453AD" w:rsidRPr="00F453AD" w14:paraId="1FCB3BF0" w14:textId="77777777" w:rsidTr="00F453AD">
        <w:trPr>
          <w:trHeight w:val="88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1BAA1B0F"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NGO</w:t>
            </w:r>
          </w:p>
        </w:tc>
        <w:tc>
          <w:tcPr>
            <w:tcW w:w="2958" w:type="dxa"/>
            <w:tcBorders>
              <w:top w:val="nil"/>
              <w:left w:val="nil"/>
              <w:bottom w:val="single" w:sz="8" w:space="0" w:color="auto"/>
              <w:right w:val="single" w:sz="8" w:space="0" w:color="auto"/>
            </w:tcBorders>
            <w:shd w:val="clear" w:color="auto" w:fill="auto"/>
            <w:vAlign w:val="center"/>
            <w:hideMark/>
          </w:tcPr>
          <w:p w14:paraId="67DCE1B1"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Non-Governmental Organisation</w:t>
            </w:r>
          </w:p>
        </w:tc>
      </w:tr>
      <w:tr w:rsidR="00F453AD" w:rsidRPr="00F453AD" w14:paraId="2419B0A4" w14:textId="77777777" w:rsidTr="00F453AD">
        <w:trPr>
          <w:trHeight w:val="88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52C72A99"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OEM</w:t>
            </w:r>
          </w:p>
        </w:tc>
        <w:tc>
          <w:tcPr>
            <w:tcW w:w="2958" w:type="dxa"/>
            <w:tcBorders>
              <w:top w:val="nil"/>
              <w:left w:val="nil"/>
              <w:bottom w:val="single" w:sz="8" w:space="0" w:color="auto"/>
              <w:right w:val="single" w:sz="8" w:space="0" w:color="auto"/>
            </w:tcBorders>
            <w:shd w:val="clear" w:color="auto" w:fill="auto"/>
            <w:vAlign w:val="center"/>
            <w:hideMark/>
          </w:tcPr>
          <w:p w14:paraId="3DBA0334"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Original Equipment Manufacturer</w:t>
            </w:r>
          </w:p>
        </w:tc>
      </w:tr>
      <w:tr w:rsidR="00F453AD" w:rsidRPr="00F453AD" w14:paraId="3C5AA03E"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089A59C0"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OLAF</w:t>
            </w:r>
          </w:p>
        </w:tc>
        <w:tc>
          <w:tcPr>
            <w:tcW w:w="2958" w:type="dxa"/>
            <w:tcBorders>
              <w:top w:val="nil"/>
              <w:left w:val="nil"/>
              <w:bottom w:val="single" w:sz="8" w:space="0" w:color="auto"/>
              <w:right w:val="single" w:sz="8" w:space="0" w:color="auto"/>
            </w:tcBorders>
            <w:shd w:val="clear" w:color="auto" w:fill="auto"/>
            <w:vAlign w:val="center"/>
            <w:hideMark/>
          </w:tcPr>
          <w:p w14:paraId="2471C9E2"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European Anti-Fraud Office</w:t>
            </w:r>
          </w:p>
        </w:tc>
      </w:tr>
      <w:tr w:rsidR="00F453AD" w:rsidRPr="00F453AD" w14:paraId="7F0636CB"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7BC24CC0"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OPEX</w:t>
            </w:r>
          </w:p>
        </w:tc>
        <w:tc>
          <w:tcPr>
            <w:tcW w:w="2958" w:type="dxa"/>
            <w:tcBorders>
              <w:top w:val="nil"/>
              <w:left w:val="nil"/>
              <w:bottom w:val="single" w:sz="8" w:space="0" w:color="auto"/>
              <w:right w:val="single" w:sz="8" w:space="0" w:color="auto"/>
            </w:tcBorders>
            <w:shd w:val="clear" w:color="auto" w:fill="auto"/>
            <w:vAlign w:val="center"/>
            <w:hideMark/>
          </w:tcPr>
          <w:p w14:paraId="680766F8"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Operating expenditure</w:t>
            </w:r>
          </w:p>
        </w:tc>
      </w:tr>
      <w:tr w:rsidR="00F453AD" w:rsidRPr="00F453AD" w14:paraId="61FB30C5" w14:textId="77777777" w:rsidTr="00F453AD">
        <w:trPr>
          <w:trHeight w:val="88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2C710FDF"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PDA</w:t>
            </w:r>
          </w:p>
        </w:tc>
        <w:tc>
          <w:tcPr>
            <w:tcW w:w="2958" w:type="dxa"/>
            <w:tcBorders>
              <w:top w:val="nil"/>
              <w:left w:val="nil"/>
              <w:bottom w:val="single" w:sz="8" w:space="0" w:color="auto"/>
              <w:right w:val="single" w:sz="8" w:space="0" w:color="auto"/>
            </w:tcBorders>
            <w:shd w:val="clear" w:color="auto" w:fill="auto"/>
            <w:vAlign w:val="center"/>
            <w:hideMark/>
          </w:tcPr>
          <w:p w14:paraId="087A96E3"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Project Development Assistance</w:t>
            </w:r>
          </w:p>
        </w:tc>
      </w:tr>
      <w:tr w:rsidR="00F453AD" w:rsidRPr="00792B39" w14:paraId="604AF351" w14:textId="77777777" w:rsidTr="00F453AD">
        <w:trPr>
          <w:trHeight w:val="88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7C8AD925"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PEM(FC)</w:t>
            </w:r>
          </w:p>
        </w:tc>
        <w:tc>
          <w:tcPr>
            <w:tcW w:w="2958" w:type="dxa"/>
            <w:tcBorders>
              <w:top w:val="nil"/>
              <w:left w:val="nil"/>
              <w:bottom w:val="single" w:sz="8" w:space="0" w:color="auto"/>
              <w:right w:val="single" w:sz="8" w:space="0" w:color="auto"/>
            </w:tcBorders>
            <w:shd w:val="clear" w:color="auto" w:fill="auto"/>
            <w:vAlign w:val="center"/>
            <w:hideMark/>
          </w:tcPr>
          <w:p w14:paraId="75B949A3" w14:textId="77777777" w:rsidR="00F453AD" w:rsidRPr="00E95041" w:rsidRDefault="00F453AD" w:rsidP="00F453AD">
            <w:pPr>
              <w:spacing w:after="0" w:line="240" w:lineRule="auto"/>
              <w:rPr>
                <w:rFonts w:eastAsia="Times New Roman" w:cs="Calibri"/>
                <w:color w:val="000000"/>
                <w:lang w:val="fr-BE" w:eastAsia="en-GB"/>
              </w:rPr>
            </w:pPr>
            <w:r w:rsidRPr="00E95041">
              <w:rPr>
                <w:rFonts w:eastAsia="Times New Roman" w:cs="Calibri"/>
                <w:color w:val="000000"/>
                <w:lang w:val="fr-BE" w:eastAsia="en-GB"/>
              </w:rPr>
              <w:t>Proton exchange membrane (Fuel Cell)</w:t>
            </w:r>
          </w:p>
        </w:tc>
      </w:tr>
      <w:tr w:rsidR="00F453AD" w:rsidRPr="00F453AD" w14:paraId="2D12BC04" w14:textId="77777777" w:rsidTr="00F453AD">
        <w:trPr>
          <w:trHeight w:val="88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36654311"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PEMEL</w:t>
            </w:r>
          </w:p>
        </w:tc>
        <w:tc>
          <w:tcPr>
            <w:tcW w:w="2958" w:type="dxa"/>
            <w:tcBorders>
              <w:top w:val="nil"/>
              <w:left w:val="nil"/>
              <w:bottom w:val="single" w:sz="8" w:space="0" w:color="auto"/>
              <w:right w:val="single" w:sz="8" w:space="0" w:color="auto"/>
            </w:tcBorders>
            <w:shd w:val="clear" w:color="auto" w:fill="auto"/>
            <w:vAlign w:val="center"/>
            <w:hideMark/>
          </w:tcPr>
          <w:p w14:paraId="65CAB871"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Proton exchange membrane electrolysers</w:t>
            </w:r>
          </w:p>
        </w:tc>
      </w:tr>
      <w:tr w:rsidR="00F453AD" w:rsidRPr="00F453AD" w14:paraId="3B11E975"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42C3ADAF"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PGM</w:t>
            </w:r>
          </w:p>
        </w:tc>
        <w:tc>
          <w:tcPr>
            <w:tcW w:w="2958" w:type="dxa"/>
            <w:tcBorders>
              <w:top w:val="nil"/>
              <w:left w:val="nil"/>
              <w:bottom w:val="single" w:sz="8" w:space="0" w:color="auto"/>
              <w:right w:val="single" w:sz="8" w:space="0" w:color="auto"/>
            </w:tcBorders>
            <w:shd w:val="clear" w:color="auto" w:fill="auto"/>
            <w:vAlign w:val="center"/>
            <w:hideMark/>
          </w:tcPr>
          <w:p w14:paraId="67EAF04F"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Platinum Group Metals</w:t>
            </w:r>
          </w:p>
        </w:tc>
      </w:tr>
      <w:tr w:rsidR="00F453AD" w:rsidRPr="00F453AD" w14:paraId="0729B66E"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3935F06A"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 xml:space="preserve">PNR </w:t>
            </w:r>
          </w:p>
        </w:tc>
        <w:tc>
          <w:tcPr>
            <w:tcW w:w="2958" w:type="dxa"/>
            <w:tcBorders>
              <w:top w:val="nil"/>
              <w:left w:val="nil"/>
              <w:bottom w:val="single" w:sz="8" w:space="0" w:color="auto"/>
              <w:right w:val="single" w:sz="8" w:space="0" w:color="auto"/>
            </w:tcBorders>
            <w:shd w:val="clear" w:color="auto" w:fill="auto"/>
            <w:vAlign w:val="center"/>
            <w:hideMark/>
          </w:tcPr>
          <w:p w14:paraId="6554F436"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Pre-normative research</w:t>
            </w:r>
          </w:p>
        </w:tc>
      </w:tr>
      <w:tr w:rsidR="00F453AD" w:rsidRPr="00F453AD" w14:paraId="4D59681A"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66484245"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PO</w:t>
            </w:r>
          </w:p>
        </w:tc>
        <w:tc>
          <w:tcPr>
            <w:tcW w:w="2958" w:type="dxa"/>
            <w:tcBorders>
              <w:top w:val="nil"/>
              <w:left w:val="nil"/>
              <w:bottom w:val="single" w:sz="8" w:space="0" w:color="auto"/>
              <w:right w:val="single" w:sz="8" w:space="0" w:color="auto"/>
            </w:tcBorders>
            <w:shd w:val="clear" w:color="auto" w:fill="auto"/>
            <w:vAlign w:val="center"/>
            <w:hideMark/>
          </w:tcPr>
          <w:p w14:paraId="7D2346A0"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Programme office of the JU</w:t>
            </w:r>
          </w:p>
        </w:tc>
      </w:tr>
      <w:tr w:rsidR="00F453AD" w:rsidRPr="00F453AD" w14:paraId="15C4F4C9"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79FB9092"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PRD</w:t>
            </w:r>
          </w:p>
        </w:tc>
        <w:tc>
          <w:tcPr>
            <w:tcW w:w="2958" w:type="dxa"/>
            <w:tcBorders>
              <w:top w:val="nil"/>
              <w:left w:val="nil"/>
              <w:bottom w:val="single" w:sz="8" w:space="0" w:color="auto"/>
              <w:right w:val="single" w:sz="8" w:space="0" w:color="auto"/>
            </w:tcBorders>
            <w:shd w:val="clear" w:color="auto" w:fill="auto"/>
            <w:vAlign w:val="center"/>
            <w:hideMark/>
          </w:tcPr>
          <w:p w14:paraId="42E63D28"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Programme Review Days</w:t>
            </w:r>
          </w:p>
        </w:tc>
      </w:tr>
      <w:tr w:rsidR="00F453AD" w:rsidRPr="00F453AD" w14:paraId="1750D865" w14:textId="77777777" w:rsidTr="00F453AD">
        <w:trPr>
          <w:trHeight w:val="30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3FEF80E9"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Pt</w:t>
            </w:r>
          </w:p>
        </w:tc>
        <w:tc>
          <w:tcPr>
            <w:tcW w:w="2958" w:type="dxa"/>
            <w:tcBorders>
              <w:top w:val="nil"/>
              <w:left w:val="nil"/>
              <w:bottom w:val="single" w:sz="8" w:space="0" w:color="auto"/>
              <w:right w:val="single" w:sz="8" w:space="0" w:color="auto"/>
            </w:tcBorders>
            <w:shd w:val="clear" w:color="auto" w:fill="auto"/>
            <w:vAlign w:val="center"/>
            <w:hideMark/>
          </w:tcPr>
          <w:p w14:paraId="623145D5"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Platinum</w:t>
            </w:r>
          </w:p>
        </w:tc>
      </w:tr>
      <w:tr w:rsidR="00F453AD" w:rsidRPr="00F453AD" w14:paraId="01EA4094" w14:textId="77777777" w:rsidTr="00F453AD">
        <w:trPr>
          <w:trHeight w:val="88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138A5045"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QES</w:t>
            </w:r>
          </w:p>
        </w:tc>
        <w:tc>
          <w:tcPr>
            <w:tcW w:w="2958" w:type="dxa"/>
            <w:tcBorders>
              <w:top w:val="nil"/>
              <w:left w:val="nil"/>
              <w:bottom w:val="single" w:sz="8" w:space="0" w:color="auto"/>
              <w:right w:val="single" w:sz="8" w:space="0" w:color="auto"/>
            </w:tcBorders>
            <w:shd w:val="clear" w:color="auto" w:fill="auto"/>
            <w:vAlign w:val="center"/>
            <w:hideMark/>
          </w:tcPr>
          <w:p w14:paraId="3C3615AC"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Qualified Electronic Signature</w:t>
            </w:r>
          </w:p>
        </w:tc>
      </w:tr>
      <w:tr w:rsidR="00F453AD" w:rsidRPr="00F453AD" w14:paraId="7D374F31" w14:textId="77777777" w:rsidTr="00F453AD">
        <w:trPr>
          <w:trHeight w:val="146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12BC201F"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RCS (SC)</w:t>
            </w:r>
          </w:p>
        </w:tc>
        <w:tc>
          <w:tcPr>
            <w:tcW w:w="2958" w:type="dxa"/>
            <w:tcBorders>
              <w:top w:val="nil"/>
              <w:left w:val="nil"/>
              <w:bottom w:val="single" w:sz="8" w:space="0" w:color="auto"/>
              <w:right w:val="single" w:sz="8" w:space="0" w:color="auto"/>
            </w:tcBorders>
            <w:shd w:val="clear" w:color="auto" w:fill="auto"/>
            <w:vAlign w:val="center"/>
            <w:hideMark/>
          </w:tcPr>
          <w:p w14:paraId="5628FB23"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Regulations, Codes and Standards (Strategy Coordination)</w:t>
            </w:r>
          </w:p>
        </w:tc>
      </w:tr>
      <w:tr w:rsidR="00F453AD" w:rsidRPr="00F453AD" w14:paraId="6A9A860E"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4DE61711"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RES</w:t>
            </w:r>
          </w:p>
        </w:tc>
        <w:tc>
          <w:tcPr>
            <w:tcW w:w="2958" w:type="dxa"/>
            <w:tcBorders>
              <w:top w:val="nil"/>
              <w:left w:val="nil"/>
              <w:bottom w:val="single" w:sz="8" w:space="0" w:color="auto"/>
              <w:right w:val="single" w:sz="8" w:space="0" w:color="auto"/>
            </w:tcBorders>
            <w:shd w:val="clear" w:color="auto" w:fill="auto"/>
            <w:vAlign w:val="center"/>
            <w:hideMark/>
          </w:tcPr>
          <w:p w14:paraId="0F0FC238"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Renewable Energy Sources</w:t>
            </w:r>
          </w:p>
        </w:tc>
      </w:tr>
      <w:tr w:rsidR="00F453AD" w:rsidRPr="00F453AD" w14:paraId="2F66F4DE" w14:textId="77777777" w:rsidTr="00F453AD">
        <w:trPr>
          <w:trHeight w:val="88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4515AB44"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lastRenderedPageBreak/>
              <w:t>RIA</w:t>
            </w:r>
          </w:p>
        </w:tc>
        <w:tc>
          <w:tcPr>
            <w:tcW w:w="2958" w:type="dxa"/>
            <w:tcBorders>
              <w:top w:val="nil"/>
              <w:left w:val="nil"/>
              <w:bottom w:val="single" w:sz="8" w:space="0" w:color="auto"/>
              <w:right w:val="single" w:sz="8" w:space="0" w:color="auto"/>
            </w:tcBorders>
            <w:shd w:val="clear" w:color="auto" w:fill="auto"/>
            <w:vAlign w:val="center"/>
            <w:hideMark/>
          </w:tcPr>
          <w:p w14:paraId="6B5823EC"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Research and Innovation Actions</w:t>
            </w:r>
          </w:p>
        </w:tc>
      </w:tr>
      <w:tr w:rsidR="00F453AD" w:rsidRPr="00F453AD" w14:paraId="380C7765"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1BCCC44A"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rSOC</w:t>
            </w:r>
          </w:p>
        </w:tc>
        <w:tc>
          <w:tcPr>
            <w:tcW w:w="2958" w:type="dxa"/>
            <w:tcBorders>
              <w:top w:val="nil"/>
              <w:left w:val="nil"/>
              <w:bottom w:val="single" w:sz="8" w:space="0" w:color="auto"/>
              <w:right w:val="single" w:sz="8" w:space="0" w:color="auto"/>
            </w:tcBorders>
            <w:shd w:val="clear" w:color="auto" w:fill="auto"/>
            <w:vAlign w:val="center"/>
            <w:hideMark/>
          </w:tcPr>
          <w:p w14:paraId="199303FB"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Reversible Solid Oxide Systems</w:t>
            </w:r>
          </w:p>
        </w:tc>
      </w:tr>
      <w:tr w:rsidR="00F453AD" w:rsidRPr="00F453AD" w14:paraId="304C147C" w14:textId="77777777" w:rsidTr="00F453AD">
        <w:trPr>
          <w:trHeight w:val="88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514D34E8"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RTD/R&amp;I</w:t>
            </w:r>
          </w:p>
        </w:tc>
        <w:tc>
          <w:tcPr>
            <w:tcW w:w="2958" w:type="dxa"/>
            <w:tcBorders>
              <w:top w:val="nil"/>
              <w:left w:val="nil"/>
              <w:bottom w:val="single" w:sz="8" w:space="0" w:color="auto"/>
              <w:right w:val="single" w:sz="8" w:space="0" w:color="auto"/>
            </w:tcBorders>
            <w:shd w:val="clear" w:color="auto" w:fill="auto"/>
            <w:vAlign w:val="center"/>
            <w:hideMark/>
          </w:tcPr>
          <w:p w14:paraId="19F3929B"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 xml:space="preserve">Copper indium gallium selenide solar cell </w:t>
            </w:r>
          </w:p>
        </w:tc>
      </w:tr>
      <w:tr w:rsidR="00F453AD" w:rsidRPr="00F453AD" w14:paraId="37151830" w14:textId="77777777" w:rsidTr="00F453AD">
        <w:trPr>
          <w:trHeight w:val="204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71BA9A28"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RTD/R&amp;I</w:t>
            </w:r>
          </w:p>
        </w:tc>
        <w:tc>
          <w:tcPr>
            <w:tcW w:w="2958" w:type="dxa"/>
            <w:tcBorders>
              <w:top w:val="nil"/>
              <w:left w:val="nil"/>
              <w:bottom w:val="single" w:sz="8" w:space="0" w:color="auto"/>
              <w:right w:val="single" w:sz="8" w:space="0" w:color="auto"/>
            </w:tcBorders>
            <w:shd w:val="clear" w:color="auto" w:fill="auto"/>
            <w:vAlign w:val="center"/>
            <w:hideMark/>
          </w:tcPr>
          <w:p w14:paraId="1EB8EAD1"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Research, technological development and demonstration / Research and Innovation</w:t>
            </w:r>
          </w:p>
        </w:tc>
      </w:tr>
      <w:tr w:rsidR="00F453AD" w:rsidRPr="00F453AD" w14:paraId="280A0609"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3F4DAF1F"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SaaS</w:t>
            </w:r>
          </w:p>
        </w:tc>
        <w:tc>
          <w:tcPr>
            <w:tcW w:w="2958" w:type="dxa"/>
            <w:tcBorders>
              <w:top w:val="nil"/>
              <w:left w:val="nil"/>
              <w:bottom w:val="single" w:sz="8" w:space="0" w:color="auto"/>
              <w:right w:val="single" w:sz="8" w:space="0" w:color="auto"/>
            </w:tcBorders>
            <w:shd w:val="clear" w:color="auto" w:fill="auto"/>
            <w:vAlign w:val="center"/>
            <w:hideMark/>
          </w:tcPr>
          <w:p w14:paraId="22440F41"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Software-as-a-Service</w:t>
            </w:r>
          </w:p>
        </w:tc>
      </w:tr>
      <w:tr w:rsidR="00F453AD" w:rsidRPr="00F453AD" w14:paraId="418F93E7" w14:textId="77777777" w:rsidTr="00F453AD">
        <w:trPr>
          <w:trHeight w:val="88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23963D72"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SAE</w:t>
            </w:r>
          </w:p>
        </w:tc>
        <w:tc>
          <w:tcPr>
            <w:tcW w:w="2958" w:type="dxa"/>
            <w:tcBorders>
              <w:top w:val="nil"/>
              <w:left w:val="nil"/>
              <w:bottom w:val="single" w:sz="8" w:space="0" w:color="auto"/>
              <w:right w:val="single" w:sz="8" w:space="0" w:color="auto"/>
            </w:tcBorders>
            <w:shd w:val="clear" w:color="auto" w:fill="auto"/>
            <w:vAlign w:val="center"/>
            <w:hideMark/>
          </w:tcPr>
          <w:p w14:paraId="55BFFE67"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Society of Automotive Engineers</w:t>
            </w:r>
          </w:p>
        </w:tc>
      </w:tr>
      <w:tr w:rsidR="00F453AD" w:rsidRPr="00F453AD" w14:paraId="3DC80476" w14:textId="77777777" w:rsidTr="00F453AD">
        <w:trPr>
          <w:trHeight w:val="88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3C29E0A1"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SET-Plan</w:t>
            </w:r>
          </w:p>
        </w:tc>
        <w:tc>
          <w:tcPr>
            <w:tcW w:w="2958" w:type="dxa"/>
            <w:tcBorders>
              <w:top w:val="nil"/>
              <w:left w:val="nil"/>
              <w:bottom w:val="single" w:sz="8" w:space="0" w:color="auto"/>
              <w:right w:val="single" w:sz="8" w:space="0" w:color="auto"/>
            </w:tcBorders>
            <w:shd w:val="clear" w:color="auto" w:fill="auto"/>
            <w:vAlign w:val="center"/>
            <w:hideMark/>
          </w:tcPr>
          <w:p w14:paraId="2D9B66EB"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European Strategic Energy Technology Plan</w:t>
            </w:r>
          </w:p>
        </w:tc>
      </w:tr>
      <w:tr w:rsidR="00F453AD" w:rsidRPr="00F453AD" w14:paraId="0B8E2F45" w14:textId="77777777" w:rsidTr="00F453AD">
        <w:trPr>
          <w:trHeight w:val="88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3D5FFA75"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SFEM</w:t>
            </w:r>
          </w:p>
        </w:tc>
        <w:tc>
          <w:tcPr>
            <w:tcW w:w="2958" w:type="dxa"/>
            <w:tcBorders>
              <w:top w:val="nil"/>
              <w:left w:val="nil"/>
              <w:bottom w:val="single" w:sz="8" w:space="0" w:color="auto"/>
              <w:right w:val="single" w:sz="8" w:space="0" w:color="auto"/>
            </w:tcBorders>
            <w:shd w:val="clear" w:color="auto" w:fill="auto"/>
            <w:vAlign w:val="center"/>
            <w:hideMark/>
          </w:tcPr>
          <w:p w14:paraId="2618414F"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Sector Forum Energy Management</w:t>
            </w:r>
          </w:p>
        </w:tc>
      </w:tr>
      <w:tr w:rsidR="00F453AD" w:rsidRPr="00F453AD" w14:paraId="68D7FD60" w14:textId="77777777" w:rsidTr="00F453AD">
        <w:trPr>
          <w:trHeight w:val="88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68B82D0D"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SHJ</w:t>
            </w:r>
          </w:p>
        </w:tc>
        <w:tc>
          <w:tcPr>
            <w:tcW w:w="2958" w:type="dxa"/>
            <w:tcBorders>
              <w:top w:val="nil"/>
              <w:left w:val="nil"/>
              <w:bottom w:val="single" w:sz="8" w:space="0" w:color="auto"/>
              <w:right w:val="single" w:sz="8" w:space="0" w:color="auto"/>
            </w:tcBorders>
            <w:shd w:val="clear" w:color="auto" w:fill="auto"/>
            <w:vAlign w:val="center"/>
            <w:hideMark/>
          </w:tcPr>
          <w:p w14:paraId="7CA53465"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Silicon Heterojunction Solar Cells</w:t>
            </w:r>
          </w:p>
        </w:tc>
      </w:tr>
      <w:tr w:rsidR="00F453AD" w:rsidRPr="00F453AD" w14:paraId="6FAB7C52" w14:textId="77777777" w:rsidTr="00F453AD">
        <w:trPr>
          <w:trHeight w:val="88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4120414A"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 xml:space="preserve">SME </w:t>
            </w:r>
          </w:p>
        </w:tc>
        <w:tc>
          <w:tcPr>
            <w:tcW w:w="2958" w:type="dxa"/>
            <w:tcBorders>
              <w:top w:val="nil"/>
              <w:left w:val="nil"/>
              <w:bottom w:val="single" w:sz="8" w:space="0" w:color="auto"/>
              <w:right w:val="single" w:sz="8" w:space="0" w:color="auto"/>
            </w:tcBorders>
            <w:shd w:val="clear" w:color="auto" w:fill="auto"/>
            <w:vAlign w:val="center"/>
            <w:hideMark/>
          </w:tcPr>
          <w:p w14:paraId="0D757F90"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Small and medium-sized enterprise</w:t>
            </w:r>
          </w:p>
        </w:tc>
      </w:tr>
      <w:tr w:rsidR="00F453AD" w:rsidRPr="00F453AD" w14:paraId="703370FD"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20CD3ACB"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SNE</w:t>
            </w:r>
          </w:p>
        </w:tc>
        <w:tc>
          <w:tcPr>
            <w:tcW w:w="2958" w:type="dxa"/>
            <w:tcBorders>
              <w:top w:val="nil"/>
              <w:left w:val="nil"/>
              <w:bottom w:val="single" w:sz="8" w:space="0" w:color="auto"/>
              <w:right w:val="single" w:sz="8" w:space="0" w:color="auto"/>
            </w:tcBorders>
            <w:shd w:val="clear" w:color="auto" w:fill="auto"/>
            <w:vAlign w:val="center"/>
            <w:hideMark/>
          </w:tcPr>
          <w:p w14:paraId="7C5551E3"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Seconded National Expert</w:t>
            </w:r>
          </w:p>
        </w:tc>
      </w:tr>
      <w:tr w:rsidR="00F453AD" w:rsidRPr="00F453AD" w14:paraId="2ACDEDC5" w14:textId="77777777" w:rsidTr="00F453AD">
        <w:trPr>
          <w:trHeight w:val="30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0082A01C"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SoA</w:t>
            </w:r>
          </w:p>
        </w:tc>
        <w:tc>
          <w:tcPr>
            <w:tcW w:w="2958" w:type="dxa"/>
            <w:tcBorders>
              <w:top w:val="nil"/>
              <w:left w:val="nil"/>
              <w:bottom w:val="single" w:sz="8" w:space="0" w:color="auto"/>
              <w:right w:val="single" w:sz="8" w:space="0" w:color="auto"/>
            </w:tcBorders>
            <w:shd w:val="clear" w:color="auto" w:fill="auto"/>
            <w:vAlign w:val="center"/>
            <w:hideMark/>
          </w:tcPr>
          <w:p w14:paraId="2E4511F0"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State-of-the-art</w:t>
            </w:r>
          </w:p>
        </w:tc>
      </w:tr>
      <w:tr w:rsidR="00F453AD" w:rsidRPr="00F453AD" w14:paraId="21F62BEB"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39276BC8"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SOEC</w:t>
            </w:r>
          </w:p>
        </w:tc>
        <w:tc>
          <w:tcPr>
            <w:tcW w:w="2958" w:type="dxa"/>
            <w:tcBorders>
              <w:top w:val="nil"/>
              <w:left w:val="nil"/>
              <w:bottom w:val="single" w:sz="8" w:space="0" w:color="auto"/>
              <w:right w:val="single" w:sz="8" w:space="0" w:color="auto"/>
            </w:tcBorders>
            <w:shd w:val="clear" w:color="auto" w:fill="auto"/>
            <w:vAlign w:val="center"/>
            <w:hideMark/>
          </w:tcPr>
          <w:p w14:paraId="385EA53F"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Solid oxide electrolysis</w:t>
            </w:r>
          </w:p>
        </w:tc>
      </w:tr>
      <w:tr w:rsidR="00F453AD" w:rsidRPr="00F453AD" w14:paraId="190D9B9A"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7BFF9B87"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 xml:space="preserve">SOFC </w:t>
            </w:r>
          </w:p>
        </w:tc>
        <w:tc>
          <w:tcPr>
            <w:tcW w:w="2958" w:type="dxa"/>
            <w:tcBorders>
              <w:top w:val="nil"/>
              <w:left w:val="nil"/>
              <w:bottom w:val="single" w:sz="8" w:space="0" w:color="auto"/>
              <w:right w:val="single" w:sz="8" w:space="0" w:color="auto"/>
            </w:tcBorders>
            <w:shd w:val="clear" w:color="auto" w:fill="auto"/>
            <w:vAlign w:val="center"/>
            <w:hideMark/>
          </w:tcPr>
          <w:p w14:paraId="17FE7CFC"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Solid oxide fuel cell</w:t>
            </w:r>
          </w:p>
        </w:tc>
      </w:tr>
      <w:tr w:rsidR="00F453AD" w:rsidRPr="00F453AD" w14:paraId="61863D39" w14:textId="77777777" w:rsidTr="00F453AD">
        <w:trPr>
          <w:trHeight w:val="88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3A17246F"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 xml:space="preserve">SRG </w:t>
            </w:r>
          </w:p>
        </w:tc>
        <w:tc>
          <w:tcPr>
            <w:tcW w:w="2958" w:type="dxa"/>
            <w:tcBorders>
              <w:top w:val="nil"/>
              <w:left w:val="nil"/>
              <w:bottom w:val="single" w:sz="8" w:space="0" w:color="auto"/>
              <w:right w:val="single" w:sz="8" w:space="0" w:color="auto"/>
            </w:tcBorders>
            <w:shd w:val="clear" w:color="auto" w:fill="auto"/>
            <w:vAlign w:val="center"/>
            <w:hideMark/>
          </w:tcPr>
          <w:p w14:paraId="24DD86B9"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States Representatives Group</w:t>
            </w:r>
          </w:p>
        </w:tc>
      </w:tr>
      <w:tr w:rsidR="00F453AD" w:rsidRPr="00F453AD" w14:paraId="254DE6A5" w14:textId="77777777" w:rsidTr="00F453AD">
        <w:trPr>
          <w:trHeight w:val="117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75E7A1A0"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lastRenderedPageBreak/>
              <w:t>SRIA</w:t>
            </w:r>
          </w:p>
        </w:tc>
        <w:tc>
          <w:tcPr>
            <w:tcW w:w="2958" w:type="dxa"/>
            <w:tcBorders>
              <w:top w:val="nil"/>
              <w:left w:val="nil"/>
              <w:bottom w:val="single" w:sz="8" w:space="0" w:color="auto"/>
              <w:right w:val="single" w:sz="8" w:space="0" w:color="auto"/>
            </w:tcBorders>
            <w:shd w:val="clear" w:color="auto" w:fill="auto"/>
            <w:vAlign w:val="center"/>
            <w:hideMark/>
          </w:tcPr>
          <w:p w14:paraId="523062DF"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Strategic Research and Innovation Agenda</w:t>
            </w:r>
          </w:p>
        </w:tc>
      </w:tr>
      <w:tr w:rsidR="00F453AD" w:rsidRPr="00F453AD" w14:paraId="237B7AF3" w14:textId="77777777" w:rsidTr="00F453AD">
        <w:trPr>
          <w:trHeight w:val="117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3896156B"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SSERR</w:t>
            </w:r>
          </w:p>
        </w:tc>
        <w:tc>
          <w:tcPr>
            <w:tcW w:w="2958" w:type="dxa"/>
            <w:tcBorders>
              <w:top w:val="nil"/>
              <w:left w:val="nil"/>
              <w:bottom w:val="single" w:sz="8" w:space="0" w:color="auto"/>
              <w:right w:val="single" w:sz="8" w:space="0" w:color="auto"/>
            </w:tcBorders>
            <w:shd w:val="clear" w:color="auto" w:fill="auto"/>
            <w:vAlign w:val="center"/>
            <w:hideMark/>
          </w:tcPr>
          <w:p w14:paraId="70C07CAA"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Support Services for Exploitation of Research Results</w:t>
            </w:r>
          </w:p>
        </w:tc>
      </w:tr>
      <w:tr w:rsidR="00F453AD" w:rsidRPr="00F453AD" w14:paraId="152EFB9A"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5328730D"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SWD</w:t>
            </w:r>
          </w:p>
        </w:tc>
        <w:tc>
          <w:tcPr>
            <w:tcW w:w="2958" w:type="dxa"/>
            <w:tcBorders>
              <w:top w:val="nil"/>
              <w:left w:val="nil"/>
              <w:bottom w:val="single" w:sz="8" w:space="0" w:color="auto"/>
              <w:right w:val="single" w:sz="8" w:space="0" w:color="auto"/>
            </w:tcBorders>
            <w:shd w:val="clear" w:color="auto" w:fill="auto"/>
            <w:vAlign w:val="center"/>
            <w:hideMark/>
          </w:tcPr>
          <w:p w14:paraId="51D28B18"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Staff Working Document</w:t>
            </w:r>
          </w:p>
        </w:tc>
      </w:tr>
      <w:tr w:rsidR="00F453AD" w:rsidRPr="00792B39" w14:paraId="739EA690" w14:textId="77777777" w:rsidTr="00F453AD">
        <w:trPr>
          <w:trHeight w:val="88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4676FB4B"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SYSPER</w:t>
            </w:r>
          </w:p>
        </w:tc>
        <w:tc>
          <w:tcPr>
            <w:tcW w:w="2958" w:type="dxa"/>
            <w:tcBorders>
              <w:top w:val="nil"/>
              <w:left w:val="nil"/>
              <w:bottom w:val="single" w:sz="8" w:space="0" w:color="auto"/>
              <w:right w:val="single" w:sz="8" w:space="0" w:color="auto"/>
            </w:tcBorders>
            <w:shd w:val="clear" w:color="auto" w:fill="auto"/>
            <w:vAlign w:val="center"/>
            <w:hideMark/>
          </w:tcPr>
          <w:p w14:paraId="5D933680" w14:textId="77777777" w:rsidR="00F453AD" w:rsidRPr="00E95041" w:rsidRDefault="00F453AD" w:rsidP="00F453AD">
            <w:pPr>
              <w:spacing w:after="0" w:line="240" w:lineRule="auto"/>
              <w:rPr>
                <w:rFonts w:eastAsia="Times New Roman" w:cs="Calibri"/>
                <w:color w:val="000000"/>
                <w:lang w:val="fr-BE" w:eastAsia="en-GB"/>
              </w:rPr>
            </w:pPr>
            <w:r w:rsidRPr="00E95041">
              <w:rPr>
                <w:rFonts w:eastAsia="Times New Roman" w:cs="Calibri"/>
                <w:color w:val="000000"/>
                <w:lang w:val="fr-BE" w:eastAsia="en-GB"/>
              </w:rPr>
              <w:t>SYStème de gestion du PERsonnel</w:t>
            </w:r>
          </w:p>
        </w:tc>
      </w:tr>
      <w:tr w:rsidR="00F453AD" w:rsidRPr="00F453AD" w14:paraId="41D743C7" w14:textId="77777777" w:rsidTr="00F453AD">
        <w:trPr>
          <w:trHeight w:val="88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2868C8E4"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TIM</w:t>
            </w:r>
          </w:p>
        </w:tc>
        <w:tc>
          <w:tcPr>
            <w:tcW w:w="2958" w:type="dxa"/>
            <w:tcBorders>
              <w:top w:val="nil"/>
              <w:left w:val="nil"/>
              <w:bottom w:val="single" w:sz="8" w:space="0" w:color="auto"/>
              <w:right w:val="single" w:sz="8" w:space="0" w:color="auto"/>
            </w:tcBorders>
            <w:shd w:val="clear" w:color="auto" w:fill="auto"/>
            <w:vAlign w:val="center"/>
            <w:hideMark/>
          </w:tcPr>
          <w:p w14:paraId="56EF9FEE"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Tools for Innovation Monitoring</w:t>
            </w:r>
          </w:p>
        </w:tc>
      </w:tr>
      <w:tr w:rsidR="00F453AD" w:rsidRPr="00F453AD" w14:paraId="148A0EBA" w14:textId="77777777" w:rsidTr="00F453AD">
        <w:trPr>
          <w:trHeight w:val="59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7A500CB8"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TRL</w:t>
            </w:r>
          </w:p>
        </w:tc>
        <w:tc>
          <w:tcPr>
            <w:tcW w:w="2958" w:type="dxa"/>
            <w:tcBorders>
              <w:top w:val="nil"/>
              <w:left w:val="nil"/>
              <w:bottom w:val="single" w:sz="8" w:space="0" w:color="auto"/>
              <w:right w:val="single" w:sz="8" w:space="0" w:color="auto"/>
            </w:tcBorders>
            <w:shd w:val="clear" w:color="auto" w:fill="auto"/>
            <w:vAlign w:val="center"/>
            <w:hideMark/>
          </w:tcPr>
          <w:p w14:paraId="6C04F078"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Technology readiness level</w:t>
            </w:r>
          </w:p>
        </w:tc>
      </w:tr>
      <w:tr w:rsidR="00F453AD" w:rsidRPr="00F453AD" w14:paraId="46D851CD" w14:textId="77777777" w:rsidTr="00F453AD">
        <w:trPr>
          <w:trHeight w:val="117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0F63B50A"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TRUST</w:t>
            </w:r>
          </w:p>
        </w:tc>
        <w:tc>
          <w:tcPr>
            <w:tcW w:w="2958" w:type="dxa"/>
            <w:tcBorders>
              <w:top w:val="nil"/>
              <w:left w:val="nil"/>
              <w:bottom w:val="single" w:sz="8" w:space="0" w:color="auto"/>
              <w:right w:val="single" w:sz="8" w:space="0" w:color="auto"/>
            </w:tcBorders>
            <w:shd w:val="clear" w:color="auto" w:fill="auto"/>
            <w:vAlign w:val="center"/>
            <w:hideMark/>
          </w:tcPr>
          <w:p w14:paraId="7F24EE56"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Technology Reporting Using Structured Templates</w:t>
            </w:r>
          </w:p>
        </w:tc>
      </w:tr>
      <w:tr w:rsidR="00F453AD" w:rsidRPr="00F453AD" w14:paraId="6D1C8008" w14:textId="77777777" w:rsidTr="00F453AD">
        <w:trPr>
          <w:trHeight w:val="30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73C70959"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 xml:space="preserve">TTG </w:t>
            </w:r>
          </w:p>
        </w:tc>
        <w:tc>
          <w:tcPr>
            <w:tcW w:w="2958" w:type="dxa"/>
            <w:tcBorders>
              <w:top w:val="nil"/>
              <w:left w:val="nil"/>
              <w:bottom w:val="single" w:sz="8" w:space="0" w:color="auto"/>
              <w:right w:val="single" w:sz="8" w:space="0" w:color="auto"/>
            </w:tcBorders>
            <w:shd w:val="clear" w:color="auto" w:fill="auto"/>
            <w:vAlign w:val="center"/>
            <w:hideMark/>
          </w:tcPr>
          <w:p w14:paraId="35BEA068"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Time To Grant</w:t>
            </w:r>
          </w:p>
        </w:tc>
      </w:tr>
      <w:tr w:rsidR="00F453AD" w:rsidRPr="00F453AD" w14:paraId="6E01D758" w14:textId="77777777" w:rsidTr="00F453AD">
        <w:trPr>
          <w:trHeight w:val="30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7968B355"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TTI</w:t>
            </w:r>
          </w:p>
        </w:tc>
        <w:tc>
          <w:tcPr>
            <w:tcW w:w="2958" w:type="dxa"/>
            <w:tcBorders>
              <w:top w:val="nil"/>
              <w:left w:val="nil"/>
              <w:bottom w:val="single" w:sz="8" w:space="0" w:color="auto"/>
              <w:right w:val="single" w:sz="8" w:space="0" w:color="auto"/>
            </w:tcBorders>
            <w:shd w:val="clear" w:color="auto" w:fill="auto"/>
            <w:vAlign w:val="center"/>
            <w:hideMark/>
          </w:tcPr>
          <w:p w14:paraId="40B4AA9B"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Time To Inform</w:t>
            </w:r>
          </w:p>
        </w:tc>
      </w:tr>
      <w:tr w:rsidR="00F453AD" w:rsidRPr="00F453AD" w14:paraId="69A0DD53" w14:textId="77777777" w:rsidTr="00F453AD">
        <w:trPr>
          <w:trHeight w:val="30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57AF3F68"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TTP</w:t>
            </w:r>
          </w:p>
        </w:tc>
        <w:tc>
          <w:tcPr>
            <w:tcW w:w="2958" w:type="dxa"/>
            <w:tcBorders>
              <w:top w:val="nil"/>
              <w:left w:val="nil"/>
              <w:bottom w:val="single" w:sz="8" w:space="0" w:color="auto"/>
              <w:right w:val="single" w:sz="8" w:space="0" w:color="auto"/>
            </w:tcBorders>
            <w:shd w:val="clear" w:color="auto" w:fill="auto"/>
            <w:vAlign w:val="center"/>
            <w:hideMark/>
          </w:tcPr>
          <w:p w14:paraId="79205D1B"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Time To Pay</w:t>
            </w:r>
          </w:p>
        </w:tc>
      </w:tr>
      <w:tr w:rsidR="00F453AD" w:rsidRPr="00F453AD" w14:paraId="0CD856F3" w14:textId="77777777" w:rsidTr="00F453AD">
        <w:trPr>
          <w:trHeight w:val="30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5B57B78E"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TTS</w:t>
            </w:r>
          </w:p>
        </w:tc>
        <w:tc>
          <w:tcPr>
            <w:tcW w:w="2958" w:type="dxa"/>
            <w:tcBorders>
              <w:top w:val="nil"/>
              <w:left w:val="nil"/>
              <w:bottom w:val="single" w:sz="8" w:space="0" w:color="auto"/>
              <w:right w:val="single" w:sz="8" w:space="0" w:color="auto"/>
            </w:tcBorders>
            <w:shd w:val="clear" w:color="auto" w:fill="auto"/>
            <w:vAlign w:val="center"/>
            <w:hideMark/>
          </w:tcPr>
          <w:p w14:paraId="4F29ACD5"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Time To Sign</w:t>
            </w:r>
          </w:p>
        </w:tc>
      </w:tr>
      <w:tr w:rsidR="00F453AD" w:rsidRPr="00F453AD" w14:paraId="26F51C7F" w14:textId="77777777" w:rsidTr="00F453AD">
        <w:trPr>
          <w:trHeight w:val="30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628C6D82" w14:textId="77777777" w:rsidR="00F453AD" w:rsidRPr="00F453AD" w:rsidRDefault="00F453AD" w:rsidP="00F453AD">
            <w:pPr>
              <w:spacing w:after="0" w:line="240" w:lineRule="auto"/>
              <w:rPr>
                <w:rFonts w:eastAsia="Times New Roman" w:cs="Calibri"/>
                <w:b/>
                <w:bCs/>
                <w:color w:val="000000"/>
                <w:lang w:eastAsia="en-GB"/>
              </w:rPr>
            </w:pPr>
            <w:r w:rsidRPr="00F453AD">
              <w:rPr>
                <w:rFonts w:eastAsia="Times New Roman" w:cs="Calibri"/>
                <w:b/>
                <w:bCs/>
                <w:color w:val="000000"/>
                <w:lang w:eastAsia="en-GB"/>
              </w:rPr>
              <w:t>WG</w:t>
            </w:r>
          </w:p>
        </w:tc>
        <w:tc>
          <w:tcPr>
            <w:tcW w:w="2958" w:type="dxa"/>
            <w:tcBorders>
              <w:top w:val="nil"/>
              <w:left w:val="nil"/>
              <w:bottom w:val="single" w:sz="8" w:space="0" w:color="auto"/>
              <w:right w:val="single" w:sz="8" w:space="0" w:color="auto"/>
            </w:tcBorders>
            <w:shd w:val="clear" w:color="auto" w:fill="auto"/>
            <w:vAlign w:val="center"/>
            <w:hideMark/>
          </w:tcPr>
          <w:p w14:paraId="40520E23" w14:textId="77777777" w:rsidR="00F453AD" w:rsidRPr="00F453AD" w:rsidRDefault="00F453AD" w:rsidP="00F453AD">
            <w:pPr>
              <w:spacing w:after="0" w:line="240" w:lineRule="auto"/>
              <w:rPr>
                <w:rFonts w:eastAsia="Times New Roman" w:cs="Calibri"/>
                <w:color w:val="000000"/>
                <w:lang w:eastAsia="en-GB"/>
              </w:rPr>
            </w:pPr>
            <w:r w:rsidRPr="00F453AD">
              <w:rPr>
                <w:rFonts w:eastAsia="Times New Roman" w:cs="Calibri"/>
                <w:color w:val="000000"/>
                <w:lang w:eastAsia="en-GB"/>
              </w:rPr>
              <w:t>Working Group</w:t>
            </w:r>
          </w:p>
        </w:tc>
      </w:tr>
    </w:tbl>
    <w:p w14:paraId="2CD976B7" w14:textId="77777777" w:rsidR="00F453AD" w:rsidRPr="00F453AD" w:rsidRDefault="00F453AD" w:rsidP="00F453AD">
      <w:pPr>
        <w:rPr>
          <w:lang w:val="en-US"/>
        </w:rPr>
      </w:pPr>
    </w:p>
    <w:sectPr w:rsidR="00F453AD" w:rsidRPr="00F453AD" w:rsidSect="00BD154D">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5ECF62" w14:textId="77777777" w:rsidR="008F7E42" w:rsidRDefault="008F7E42" w:rsidP="00265971">
      <w:pPr>
        <w:spacing w:after="0" w:line="240" w:lineRule="auto"/>
      </w:pPr>
      <w:r>
        <w:separator/>
      </w:r>
    </w:p>
  </w:endnote>
  <w:endnote w:type="continuationSeparator" w:id="0">
    <w:p w14:paraId="601D81BF" w14:textId="77777777" w:rsidR="008F7E42" w:rsidRDefault="008F7E42" w:rsidP="002659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New York">
    <w:panose1 w:val="02040503060506020304"/>
    <w:charset w:val="00"/>
    <w:family w:val="roman"/>
    <w:notTrueTyp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Source Sans Pro">
    <w:altName w:val="Source Sans Pro"/>
    <w:charset w:val="00"/>
    <w:family w:val="swiss"/>
    <w:pitch w:val="variable"/>
    <w:sig w:usb0="600002F7" w:usb1="02000001" w:usb2="00000000" w:usb3="00000000" w:csb0="0000019F" w:csb1="00000000"/>
  </w:font>
  <w:font w:name="DINCond-Regular">
    <w:altName w:val="Arial"/>
    <w:panose1 w:val="00000000000000000000"/>
    <w:charset w:val="A1"/>
    <w:family w:val="swiss"/>
    <w:notTrueType/>
    <w:pitch w:val="default"/>
    <w:sig w:usb0="00000083" w:usb1="08070000" w:usb2="00000010" w:usb3="00000000" w:csb0="00020009"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4318CF" w14:textId="77777777" w:rsidR="00DF2591" w:rsidRDefault="00DF259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4491406"/>
      <w:docPartObj>
        <w:docPartGallery w:val="Page Numbers (Bottom of Page)"/>
        <w:docPartUnique/>
      </w:docPartObj>
    </w:sdtPr>
    <w:sdtEndPr>
      <w:rPr>
        <w:noProof/>
      </w:rPr>
    </w:sdtEndPr>
    <w:sdtContent>
      <w:p w14:paraId="4F2F33B7" w14:textId="6EC8FC06" w:rsidR="00DF2591" w:rsidRDefault="00DF2591">
        <w:pPr>
          <w:pStyle w:val="Footer"/>
          <w:jc w:val="right"/>
        </w:pPr>
        <w:r>
          <w:fldChar w:fldCharType="begin"/>
        </w:r>
        <w:r>
          <w:instrText xml:space="preserve"> PAGE   \* MERGEFORMAT </w:instrText>
        </w:r>
        <w:r>
          <w:fldChar w:fldCharType="separate"/>
        </w:r>
        <w:r w:rsidR="00611A6B">
          <w:rPr>
            <w:noProof/>
          </w:rPr>
          <w:t>165</w:t>
        </w:r>
        <w:r>
          <w:rPr>
            <w:noProof/>
          </w:rPr>
          <w:fldChar w:fldCharType="end"/>
        </w:r>
      </w:p>
    </w:sdtContent>
  </w:sdt>
  <w:p w14:paraId="60DFDCD4" w14:textId="77777777" w:rsidR="00DF2591" w:rsidRDefault="00DF259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F51207" w14:textId="77777777" w:rsidR="00DF2591" w:rsidRDefault="00DF259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478CEB" w14:textId="77777777" w:rsidR="008F7E42" w:rsidRDefault="008F7E42" w:rsidP="00265971">
      <w:pPr>
        <w:spacing w:after="0" w:line="240" w:lineRule="auto"/>
      </w:pPr>
      <w:r>
        <w:separator/>
      </w:r>
    </w:p>
  </w:footnote>
  <w:footnote w:type="continuationSeparator" w:id="0">
    <w:p w14:paraId="34B35EAC" w14:textId="77777777" w:rsidR="008F7E42" w:rsidRDefault="008F7E42" w:rsidP="00265971">
      <w:pPr>
        <w:spacing w:after="0" w:line="240" w:lineRule="auto"/>
      </w:pPr>
      <w:r>
        <w:continuationSeparator/>
      </w:r>
    </w:p>
  </w:footnote>
  <w:footnote w:id="1">
    <w:p w14:paraId="7AA36F49" w14:textId="77777777" w:rsidR="005E0587" w:rsidRDefault="005E0587" w:rsidP="005E0587">
      <w:pPr>
        <w:pStyle w:val="FootnoteText"/>
      </w:pPr>
      <w:r>
        <w:rPr>
          <w:rStyle w:val="FootnoteReference"/>
        </w:rPr>
        <w:footnoteRef/>
      </w:r>
      <w:r>
        <w:t xml:space="preserve"> Total number of buses included in the projects </w:t>
      </w:r>
      <w:r w:rsidRPr="00B6759C">
        <w:t xml:space="preserve">High </w:t>
      </w:r>
      <w:proofErr w:type="gramStart"/>
      <w:r w:rsidRPr="00B6759C">
        <w:t>V.LO</w:t>
      </w:r>
      <w:proofErr w:type="gramEnd"/>
      <w:r w:rsidRPr="00B6759C">
        <w:t>-City</w:t>
      </w:r>
      <w:r>
        <w:t>, HyTransit, 3EMOTION, JIVE and JIVE 2</w:t>
      </w:r>
    </w:p>
  </w:footnote>
  <w:footnote w:id="2">
    <w:p w14:paraId="6AF1418C" w14:textId="77777777" w:rsidR="005E0587" w:rsidRDefault="005E0587" w:rsidP="005E0587">
      <w:pPr>
        <w:pStyle w:val="FootnoteText"/>
      </w:pPr>
      <w:r>
        <w:rPr>
          <w:rStyle w:val="FootnoteReference"/>
        </w:rPr>
        <w:footnoteRef/>
      </w:r>
      <w:hyperlink r:id="rId1" w:history="1">
        <w:r w:rsidRPr="00D40014">
          <w:rPr>
            <w:rStyle w:val="Hyperlink"/>
          </w:rPr>
          <w:t>https://assured-project.eu/storage/files/jive-presentation-user-group-11062019-element-energy-jive-assured-ug-meeting.pdf</w:t>
        </w:r>
      </w:hyperlink>
      <w:r>
        <w:t xml:space="preserve"> </w:t>
      </w:r>
    </w:p>
  </w:footnote>
  <w:footnote w:id="3">
    <w:p w14:paraId="698D1DE0" w14:textId="77777777" w:rsidR="008B5EE7" w:rsidRDefault="008B5EE7" w:rsidP="008B5EE7">
      <w:pPr>
        <w:pStyle w:val="FootnoteText"/>
      </w:pPr>
      <w:r>
        <w:rPr>
          <w:rStyle w:val="FootnoteReference"/>
        </w:rPr>
        <w:footnoteRef/>
      </w:r>
      <w:r>
        <w:t xml:space="preserve"> Including two discontinued stations</w:t>
      </w:r>
    </w:p>
  </w:footnote>
  <w:footnote w:id="4">
    <w:p w14:paraId="446C85C7" w14:textId="77777777" w:rsidR="005E0587" w:rsidRPr="00D14717" w:rsidRDefault="005E0587" w:rsidP="005E0587">
      <w:pPr>
        <w:pStyle w:val="FootnoteText"/>
        <w:ind w:left="-142" w:firstLine="0"/>
      </w:pPr>
      <w:r>
        <w:rPr>
          <w:rStyle w:val="FootnoteReference"/>
        </w:rPr>
        <w:footnoteRef/>
      </w:r>
      <w:hyperlink r:id="rId2" w:history="1">
        <w:r w:rsidRPr="00120870">
          <w:rPr>
            <w:rStyle w:val="Hyperlink"/>
          </w:rPr>
          <w:t>https://ec.europa.eu/info/funding-tenders/opportunities/portal/screen/opportunities/horizon-results-platform</w:t>
        </w:r>
      </w:hyperlink>
      <w:r>
        <w:t xml:space="preserve"> </w:t>
      </w:r>
    </w:p>
  </w:footnote>
  <w:footnote w:id="5">
    <w:p w14:paraId="12550F1E" w14:textId="77777777" w:rsidR="005E0587" w:rsidRPr="00D14717" w:rsidRDefault="005E0587" w:rsidP="005E0587">
      <w:pPr>
        <w:pStyle w:val="FootnoteText"/>
      </w:pPr>
      <w:r>
        <w:rPr>
          <w:rStyle w:val="FootnoteReference"/>
        </w:rPr>
        <w:footnoteRef/>
      </w:r>
      <w:r>
        <w:t xml:space="preserve"> </w:t>
      </w:r>
      <w:hyperlink r:id="rId3" w:history="1">
        <w:r w:rsidRPr="001A5B3E">
          <w:rPr>
            <w:rStyle w:val="Hyperlink"/>
          </w:rPr>
          <w:t>https://www.innoradar.eu/</w:t>
        </w:r>
      </w:hyperlink>
      <w:r>
        <w:t xml:space="preserve"> </w:t>
      </w:r>
    </w:p>
  </w:footnote>
  <w:footnote w:id="6">
    <w:p w14:paraId="3AB797A4" w14:textId="201193F5" w:rsidR="009F2E8F" w:rsidRPr="009F2E8F" w:rsidRDefault="009F2E8F">
      <w:pPr>
        <w:pStyle w:val="FootnoteText"/>
      </w:pPr>
      <w:r>
        <w:rPr>
          <w:rStyle w:val="FootnoteReference"/>
        </w:rPr>
        <w:footnoteRef/>
      </w:r>
      <w:r>
        <w:t xml:space="preserve"> In this report and for clarity purposes, references will be made</w:t>
      </w:r>
      <w:r w:rsidR="00B95CB7">
        <w:t xml:space="preserve"> </w:t>
      </w:r>
      <w:r w:rsidR="00A9566A">
        <w:t>in general</w:t>
      </w:r>
      <w:r>
        <w:t xml:space="preserve"> to JU, meaning the activities carried out by </w:t>
      </w:r>
      <w:r w:rsidR="00B95CB7">
        <w:t xml:space="preserve">FCH JU, </w:t>
      </w:r>
      <w:r>
        <w:t>FCH 2 JU and its legal successor Clean Hydrogen JU</w:t>
      </w:r>
      <w:r w:rsidR="0064795C">
        <w:t>.</w:t>
      </w:r>
      <w:r w:rsidR="00A9566A">
        <w:t xml:space="preserve"> When there </w:t>
      </w:r>
      <w:r w:rsidR="009B379E">
        <w:t>are</w:t>
      </w:r>
      <w:r w:rsidR="00A9566A">
        <w:t xml:space="preserve"> specific reference</w:t>
      </w:r>
      <w:r w:rsidR="009B379E">
        <w:t>s, they have the purpose to clarify the legal framework to which they refer to</w:t>
      </w:r>
      <w:r w:rsidR="00A9566A">
        <w:t xml:space="preserve"> </w:t>
      </w:r>
    </w:p>
  </w:footnote>
  <w:footnote w:id="7">
    <w:p w14:paraId="4A227283" w14:textId="7BDC9124" w:rsidR="00DF2591" w:rsidRPr="00F05339" w:rsidRDefault="00DF2591" w:rsidP="00F05339">
      <w:pPr>
        <w:pStyle w:val="FootnoteText"/>
      </w:pPr>
      <w:r>
        <w:rPr>
          <w:rStyle w:val="FootnoteReference"/>
        </w:rPr>
        <w:footnoteRef/>
      </w:r>
      <w:r>
        <w:t xml:space="preserve"> Council Regulation (EU) 2021/2085 of 19 November 2021 establishing the Joint Undertakings under Horizon Europe and repealing Regulations (EC) No 219/2007, (EU) No 557/2014, (EU) No 558/2014, (EU) No 559/2014, (EU) No 560/2014, (EU) No 561/2014 and (EU) No 642/2014</w:t>
      </w:r>
    </w:p>
  </w:footnote>
  <w:footnote w:id="8">
    <w:p w14:paraId="22E82FA0" w14:textId="77777777" w:rsidR="00DF2591" w:rsidRPr="005A67E0" w:rsidRDefault="00DF2591" w:rsidP="006C336C">
      <w:pPr>
        <w:pStyle w:val="FootnoteText"/>
        <w:rPr>
          <w:lang w:val="en-US"/>
        </w:rPr>
      </w:pPr>
      <w:r>
        <w:rPr>
          <w:rStyle w:val="FootnoteReference"/>
        </w:rPr>
        <w:footnoteRef/>
      </w:r>
      <w:r>
        <w:t xml:space="preserve"> </w:t>
      </w:r>
      <w:r w:rsidRPr="005A67E0">
        <w:t>https://www.clean-hydrogen.europa.eu/about-us/key-documents/strategic-research-and-innovation-agenda_en</w:t>
      </w:r>
    </w:p>
  </w:footnote>
  <w:footnote w:id="9">
    <w:p w14:paraId="4077D43B" w14:textId="77777777" w:rsidR="00DF2591" w:rsidRPr="00957A99" w:rsidRDefault="00DF2591" w:rsidP="006C336C">
      <w:pPr>
        <w:pStyle w:val="FootnoteText"/>
      </w:pPr>
      <w:r w:rsidRPr="00957A99">
        <w:rPr>
          <w:rStyle w:val="FootnoteReference"/>
        </w:rPr>
        <w:footnoteRef/>
      </w:r>
      <w:r w:rsidRPr="00957A99">
        <w:t xml:space="preserve"> Council Regulation (EU) No. 559/2014 of 6 May 2014 establishing the Fuel Cells and Hydrogen 2 Joint Undertaking.</w:t>
      </w:r>
    </w:p>
  </w:footnote>
  <w:footnote w:id="10">
    <w:p w14:paraId="5015C3BC" w14:textId="77777777" w:rsidR="00DF2591" w:rsidRPr="00957A99" w:rsidRDefault="00DF2591" w:rsidP="006C336C">
      <w:pPr>
        <w:pStyle w:val="FootnoteText"/>
      </w:pPr>
      <w:r w:rsidRPr="00957A99">
        <w:rPr>
          <w:rStyle w:val="FootnoteReference"/>
        </w:rPr>
        <w:footnoteRef/>
      </w:r>
      <w:r w:rsidRPr="00957A99">
        <w:t xml:space="preserve"> Total minimum contribution from members other than the EU (EUR 380 million) over the total EU contribution (EUR 665 million)</w:t>
      </w:r>
    </w:p>
  </w:footnote>
  <w:footnote w:id="11">
    <w:p w14:paraId="6E02D724" w14:textId="77777777" w:rsidR="00DF2591" w:rsidRPr="00957A99" w:rsidRDefault="00DF2591" w:rsidP="006C336C">
      <w:pPr>
        <w:pStyle w:val="FootnoteText"/>
      </w:pPr>
      <w:r w:rsidRPr="00957A99">
        <w:rPr>
          <w:rStyle w:val="FootnoteReference"/>
        </w:rPr>
        <w:footnoteRef/>
      </w:r>
      <w:r w:rsidRPr="00957A99">
        <w:t xml:space="preserve"> Committed EC</w:t>
      </w:r>
      <w:r>
        <w:t xml:space="preserve"> contribution together with committed private contributions (members and non-members) in the overall portfolio of 134 signed projects for H2020 programme in FCH 2 JU of EUR 1.180 thousand.</w:t>
      </w:r>
    </w:p>
  </w:footnote>
  <w:footnote w:id="12">
    <w:p w14:paraId="0972ED41" w14:textId="77777777" w:rsidR="00DF2591" w:rsidRPr="00100EC2" w:rsidRDefault="00DF2591" w:rsidP="006C336C">
      <w:pPr>
        <w:pStyle w:val="Default"/>
      </w:pPr>
      <w:r>
        <w:rPr>
          <w:rStyle w:val="FootnoteReference"/>
        </w:rPr>
        <w:footnoteRef/>
      </w:r>
      <w:r>
        <w:t xml:space="preserve"> </w:t>
      </w:r>
      <w:r w:rsidRPr="00100EC2">
        <w:rPr>
          <w:rFonts w:eastAsia="Times New Roman" w:cs="Times New Roman"/>
          <w:color w:val="auto"/>
          <w:sz w:val="20"/>
          <w:szCs w:val="20"/>
        </w:rPr>
        <w:t>COUNCIL REGULATION (EU) 2021/2085 of 19 November 2021</w:t>
      </w:r>
    </w:p>
  </w:footnote>
  <w:footnote w:id="13">
    <w:p w14:paraId="190494E2" w14:textId="77777777" w:rsidR="00DF2591" w:rsidRPr="00100EC2" w:rsidRDefault="00DF2591" w:rsidP="006C336C">
      <w:pPr>
        <w:pStyle w:val="FootnoteText"/>
      </w:pPr>
      <w:r>
        <w:rPr>
          <w:rStyle w:val="FootnoteReference"/>
        </w:rPr>
        <w:footnoteRef/>
      </w:r>
      <w:r>
        <w:t xml:space="preserve"> REGULATION (EU) 2021/695 OF THE EUROPEAN PARLIAMENT AND OF THE COUNCIL of 28 April 2021</w:t>
      </w:r>
    </w:p>
  </w:footnote>
  <w:footnote w:id="14">
    <w:p w14:paraId="0DC6475F" w14:textId="0320DD0D" w:rsidR="00334E0F" w:rsidRDefault="00334E0F">
      <w:pPr>
        <w:pStyle w:val="FootnoteText"/>
      </w:pPr>
      <w:r>
        <w:rPr>
          <w:rStyle w:val="FootnoteReference"/>
        </w:rPr>
        <w:footnoteRef/>
      </w:r>
      <w:r>
        <w:t xml:space="preserve"> </w:t>
      </w:r>
      <w:hyperlink r:id="rId4" w:history="1">
        <w:r w:rsidRPr="00F9076B">
          <w:rPr>
            <w:rStyle w:val="Hyperlink"/>
          </w:rPr>
          <w:t>https://www.clean-hydrogen.europa.eu/media/publications/programme-review-report-2020-2021_en</w:t>
        </w:r>
      </w:hyperlink>
      <w:r>
        <w:t xml:space="preserve"> </w:t>
      </w:r>
    </w:p>
  </w:footnote>
  <w:footnote w:id="15">
    <w:p w14:paraId="465FDAF4" w14:textId="73EAFD1E" w:rsidR="00334E0F" w:rsidRDefault="00334E0F">
      <w:pPr>
        <w:pStyle w:val="FootnoteText"/>
      </w:pPr>
      <w:r>
        <w:rPr>
          <w:rStyle w:val="FootnoteReference"/>
        </w:rPr>
        <w:footnoteRef/>
      </w:r>
      <w:r>
        <w:t xml:space="preserve"> The Programme Review Report 2020-2021 covers the years 2019-2020</w:t>
      </w:r>
      <w:r w:rsidR="00220D57">
        <w:t>.</w:t>
      </w:r>
    </w:p>
  </w:footnote>
  <w:footnote w:id="16">
    <w:p w14:paraId="76E67093" w14:textId="1454C93D" w:rsidR="00220D57" w:rsidRDefault="00220D57">
      <w:pPr>
        <w:pStyle w:val="FootnoteText"/>
      </w:pPr>
      <w:r>
        <w:rPr>
          <w:rStyle w:val="FootnoteReference"/>
        </w:rPr>
        <w:footnoteRef/>
      </w:r>
      <w:r>
        <w:t xml:space="preserve"> </w:t>
      </w:r>
      <w:hyperlink r:id="rId5" w:history="1">
        <w:r w:rsidRPr="00F9076B">
          <w:rPr>
            <w:rStyle w:val="Hyperlink"/>
          </w:rPr>
          <w:t>https://www.clean-hydrogen.europa.eu/knowledge-management/programme-review-days/prd-2021_en</w:t>
        </w:r>
      </w:hyperlink>
      <w:r>
        <w:t xml:space="preserve"> </w:t>
      </w:r>
    </w:p>
  </w:footnote>
  <w:footnote w:id="17">
    <w:p w14:paraId="0AABB686" w14:textId="0C88ADF7" w:rsidR="00C024D6" w:rsidRDefault="00C024D6">
      <w:pPr>
        <w:pStyle w:val="FootnoteText"/>
      </w:pPr>
      <w:r>
        <w:rPr>
          <w:rStyle w:val="FootnoteReference"/>
        </w:rPr>
        <w:footnoteRef/>
      </w:r>
      <w:r>
        <w:t xml:space="preserve"> </w:t>
      </w:r>
      <w:r w:rsidR="00334E0F">
        <w:tab/>
        <w:t xml:space="preserve">The TRUST (Technology Reporting Using Structured Templates) data collection platform is used for the purposes of monitoring technology progress against state-of-art, but also to identify how each of the projects contributes to the Clean Hydrogen JU targets, objectives and indicators described in the SRIA. For more information see </w:t>
      </w:r>
      <w:hyperlink r:id="rId6" w:history="1">
        <w:r w:rsidR="00334E0F" w:rsidRPr="00334E0F">
          <w:rPr>
            <w:rStyle w:val="Hyperlink"/>
          </w:rPr>
          <w:t>here</w:t>
        </w:r>
      </w:hyperlink>
      <w:r w:rsidR="00334E0F">
        <w:t>.</w:t>
      </w:r>
    </w:p>
  </w:footnote>
  <w:footnote w:id="18">
    <w:p w14:paraId="17393133" w14:textId="77777777" w:rsidR="00DF2591" w:rsidRDefault="00DF2591" w:rsidP="00554B16">
      <w:pPr>
        <w:pStyle w:val="FootnoteText"/>
      </w:pPr>
      <w:r>
        <w:rPr>
          <w:rStyle w:val="FootnoteReference"/>
        </w:rPr>
        <w:footnoteRef/>
      </w:r>
      <w:r>
        <w:t xml:space="preserve"> Including two discontinued stations</w:t>
      </w:r>
    </w:p>
  </w:footnote>
  <w:footnote w:id="19">
    <w:p w14:paraId="7D7547ED" w14:textId="77777777" w:rsidR="00DF2591" w:rsidRDefault="00DF2591" w:rsidP="00554B16">
      <w:pPr>
        <w:pStyle w:val="FootnoteText"/>
      </w:pPr>
      <w:r>
        <w:rPr>
          <w:rStyle w:val="FootnoteReference"/>
        </w:rPr>
        <w:footnoteRef/>
      </w:r>
      <w:r>
        <w:t xml:space="preserve"> </w:t>
      </w:r>
      <w:hyperlink r:id="rId7" w:anchor="FLHYSAFE" w:history="1">
        <w:r w:rsidRPr="004E7128">
          <w:rPr>
            <w:rStyle w:val="Hyperlink"/>
            <w:rFonts w:eastAsia="Calibri"/>
          </w:rPr>
          <w:t>https://www.fch.europa.eu/page/transport#FLHYSAFE</w:t>
        </w:r>
      </w:hyperlink>
      <w:r>
        <w:t xml:space="preserve"> </w:t>
      </w:r>
    </w:p>
  </w:footnote>
  <w:footnote w:id="20">
    <w:p w14:paraId="17553BAC" w14:textId="77777777" w:rsidR="00DF2591" w:rsidRDefault="00DF2591" w:rsidP="00554B16">
      <w:pPr>
        <w:pStyle w:val="FootnoteText"/>
      </w:pPr>
      <w:r>
        <w:rPr>
          <w:rStyle w:val="FootnoteReference"/>
        </w:rPr>
        <w:footnoteRef/>
      </w:r>
      <w:r>
        <w:t xml:space="preserve"> </w:t>
      </w:r>
      <w:hyperlink r:id="rId8" w:anchor="HEAVEN" w:history="1">
        <w:r w:rsidRPr="004E7128">
          <w:rPr>
            <w:rStyle w:val="Hyperlink"/>
            <w:rFonts w:eastAsia="Calibri"/>
          </w:rPr>
          <w:t>https://www.fch.europa.eu/page/transport#HEAVEN</w:t>
        </w:r>
      </w:hyperlink>
      <w:r>
        <w:t xml:space="preserve"> </w:t>
      </w:r>
    </w:p>
  </w:footnote>
  <w:footnote w:id="21">
    <w:p w14:paraId="3BDEF09A" w14:textId="77777777" w:rsidR="00DF2591" w:rsidRDefault="00DF2591" w:rsidP="00554B16">
      <w:pPr>
        <w:pStyle w:val="FootnoteText"/>
      </w:pPr>
      <w:r>
        <w:rPr>
          <w:rStyle w:val="FootnoteReference"/>
        </w:rPr>
        <w:footnoteRef/>
      </w:r>
      <w:r>
        <w:t xml:space="preserve"> </w:t>
      </w:r>
      <w:hyperlink r:id="rId9" w:anchor="PEGASUS" w:history="1">
        <w:r w:rsidRPr="004E7128">
          <w:rPr>
            <w:rStyle w:val="Hyperlink"/>
            <w:rFonts w:eastAsia="Calibri"/>
          </w:rPr>
          <w:t>https://www.fch.europa.eu/page/transport#PEGASUS</w:t>
        </w:r>
      </w:hyperlink>
      <w:r>
        <w:t xml:space="preserve"> </w:t>
      </w:r>
    </w:p>
  </w:footnote>
  <w:footnote w:id="22">
    <w:p w14:paraId="72C129D8" w14:textId="77777777" w:rsidR="00DF2591" w:rsidRDefault="00DF2591" w:rsidP="00554B16">
      <w:pPr>
        <w:pStyle w:val="FootnoteText"/>
      </w:pPr>
      <w:r>
        <w:rPr>
          <w:rStyle w:val="FootnoteReference"/>
        </w:rPr>
        <w:footnoteRef/>
      </w:r>
      <w:r>
        <w:t xml:space="preserve"> </w:t>
      </w:r>
      <w:hyperlink r:id="rId10" w:anchor="CRESCENDO" w:history="1">
        <w:r w:rsidRPr="004E7128">
          <w:rPr>
            <w:rStyle w:val="Hyperlink"/>
            <w:rFonts w:eastAsia="Calibri"/>
          </w:rPr>
          <w:t>https://www.fch.europa.eu/page/transport#CRESCENDO</w:t>
        </w:r>
      </w:hyperlink>
      <w:r>
        <w:t xml:space="preserve"> </w:t>
      </w:r>
    </w:p>
  </w:footnote>
  <w:footnote w:id="23">
    <w:p w14:paraId="776F44DE" w14:textId="77777777" w:rsidR="00DF2591" w:rsidRDefault="00DF2591" w:rsidP="00554B16">
      <w:pPr>
        <w:pStyle w:val="FootnoteText"/>
      </w:pPr>
      <w:r>
        <w:rPr>
          <w:rStyle w:val="FootnoteReference"/>
        </w:rPr>
        <w:footnoteRef/>
      </w:r>
      <w:r>
        <w:t xml:space="preserve"> </w:t>
      </w:r>
      <w:hyperlink r:id="rId11" w:history="1">
        <w:r w:rsidRPr="004E7128">
          <w:rPr>
            <w:rStyle w:val="Hyperlink"/>
            <w:rFonts w:eastAsia="Calibri"/>
          </w:rPr>
          <w:t>http://www.pace-energy.eu</w:t>
        </w:r>
      </w:hyperlink>
      <w:r>
        <w:t xml:space="preserve"> </w:t>
      </w:r>
    </w:p>
  </w:footnote>
  <w:footnote w:id="24">
    <w:p w14:paraId="02B1ED2A" w14:textId="77777777" w:rsidR="00DF2591" w:rsidRDefault="00DF2591" w:rsidP="00554B16">
      <w:pPr>
        <w:pStyle w:val="FootnoteText"/>
      </w:pPr>
      <w:r>
        <w:rPr>
          <w:rStyle w:val="FootnoteReference"/>
        </w:rPr>
        <w:footnoteRef/>
      </w:r>
      <w:r>
        <w:t xml:space="preserve"> </w:t>
      </w:r>
      <w:hyperlink r:id="rId12" w:history="1">
        <w:r w:rsidRPr="004E7128">
          <w:rPr>
            <w:rStyle w:val="Hyperlink"/>
            <w:rFonts w:eastAsia="Calibri"/>
          </w:rPr>
          <w:t>https://www.cleargen.eu/</w:t>
        </w:r>
      </w:hyperlink>
      <w:r>
        <w:t xml:space="preserve"> </w:t>
      </w:r>
    </w:p>
  </w:footnote>
  <w:footnote w:id="25">
    <w:p w14:paraId="7EE4291D" w14:textId="77777777" w:rsidR="00DF2591" w:rsidRDefault="00DF2591" w:rsidP="00554B16">
      <w:pPr>
        <w:pStyle w:val="FootnoteText"/>
      </w:pPr>
      <w:r>
        <w:rPr>
          <w:rStyle w:val="FootnoteReference"/>
        </w:rPr>
        <w:footnoteRef/>
      </w:r>
      <w:r>
        <w:t xml:space="preserve"> </w:t>
      </w:r>
      <w:hyperlink r:id="rId13" w:anchor="Don%20Quichote" w:history="1">
        <w:r w:rsidRPr="004E7128">
          <w:rPr>
            <w:rStyle w:val="Hyperlink"/>
            <w:rFonts w:eastAsia="Calibri"/>
          </w:rPr>
          <w:t>https://www.fch.europa.eu/page/hydrogen-production-and-distribution#Don%20Quichote</w:t>
        </w:r>
      </w:hyperlink>
      <w:r>
        <w:t xml:space="preserve"> </w:t>
      </w:r>
    </w:p>
  </w:footnote>
  <w:footnote w:id="26">
    <w:p w14:paraId="120A3AF8" w14:textId="77777777" w:rsidR="00DF2591" w:rsidRDefault="00DF2591" w:rsidP="00554B16">
      <w:pPr>
        <w:pStyle w:val="FootnoteText"/>
      </w:pPr>
      <w:r>
        <w:rPr>
          <w:rStyle w:val="FootnoteReference"/>
        </w:rPr>
        <w:footnoteRef/>
      </w:r>
      <w:r>
        <w:t xml:space="preserve"> </w:t>
      </w:r>
      <w:hyperlink r:id="rId14" w:anchor="REFHYNE" w:history="1">
        <w:r w:rsidRPr="004E7128">
          <w:rPr>
            <w:rStyle w:val="Hyperlink"/>
            <w:rFonts w:eastAsia="Calibri"/>
          </w:rPr>
          <w:t>https://www.fch.europa.eu/page/energy#REFHYNE</w:t>
        </w:r>
      </w:hyperlink>
      <w:r>
        <w:t xml:space="preserve"> </w:t>
      </w:r>
    </w:p>
  </w:footnote>
  <w:footnote w:id="27">
    <w:p w14:paraId="2D850932" w14:textId="77777777" w:rsidR="00DF2591" w:rsidRDefault="00DF2591" w:rsidP="00554B16">
      <w:pPr>
        <w:pStyle w:val="FootnoteText"/>
      </w:pPr>
      <w:r>
        <w:rPr>
          <w:rStyle w:val="FootnoteReference"/>
        </w:rPr>
        <w:footnoteRef/>
      </w:r>
      <w:r>
        <w:t xml:space="preserve"> </w:t>
      </w:r>
      <w:hyperlink r:id="rId15" w:anchor="Djewels" w:history="1">
        <w:r w:rsidRPr="004E7128">
          <w:rPr>
            <w:rStyle w:val="Hyperlink"/>
            <w:rFonts w:eastAsia="Calibri"/>
          </w:rPr>
          <w:t>https://www.fch.europa.eu/page/energy#Djewels</w:t>
        </w:r>
      </w:hyperlink>
      <w:r>
        <w:t xml:space="preserve"> </w:t>
      </w:r>
    </w:p>
  </w:footnote>
  <w:footnote w:id="28">
    <w:p w14:paraId="63BE997B" w14:textId="77777777" w:rsidR="00DF2591" w:rsidRDefault="00DF2591" w:rsidP="00554B16">
      <w:pPr>
        <w:pStyle w:val="FootnoteText"/>
      </w:pPr>
      <w:r>
        <w:rPr>
          <w:rStyle w:val="FootnoteReference"/>
        </w:rPr>
        <w:footnoteRef/>
      </w:r>
      <w:r>
        <w:t xml:space="preserve"> </w:t>
      </w:r>
      <w:hyperlink r:id="rId16" w:anchor="PRETZEL" w:history="1">
        <w:r w:rsidRPr="004E7128">
          <w:rPr>
            <w:rStyle w:val="Hyperlink"/>
            <w:rFonts w:eastAsia="Calibri"/>
          </w:rPr>
          <w:t>https://www.fch.europa.eu/page/energy#PRETZEL</w:t>
        </w:r>
      </w:hyperlink>
      <w:r>
        <w:t xml:space="preserve"> </w:t>
      </w:r>
    </w:p>
  </w:footnote>
  <w:footnote w:id="29">
    <w:p w14:paraId="2212E71E" w14:textId="77777777" w:rsidR="00DF2591" w:rsidRDefault="00DF2591" w:rsidP="00554B16">
      <w:pPr>
        <w:pStyle w:val="FootnoteText"/>
      </w:pPr>
      <w:r>
        <w:rPr>
          <w:rStyle w:val="FootnoteReference"/>
        </w:rPr>
        <w:footnoteRef/>
      </w:r>
      <w:r>
        <w:t xml:space="preserve"> </w:t>
      </w:r>
      <w:hyperlink r:id="rId17" w:anchor="MultiPLHY" w:history="1">
        <w:r w:rsidRPr="004E7128">
          <w:rPr>
            <w:rStyle w:val="Hyperlink"/>
            <w:rFonts w:eastAsia="Calibri"/>
          </w:rPr>
          <w:t>https://www.fch.europa.eu/page/energy#MultiPLHY</w:t>
        </w:r>
      </w:hyperlink>
      <w:r>
        <w:t xml:space="preserve"> </w:t>
      </w:r>
    </w:p>
  </w:footnote>
  <w:footnote w:id="30">
    <w:p w14:paraId="4A391ECC" w14:textId="77777777" w:rsidR="00DF2591" w:rsidRDefault="00DF2591" w:rsidP="00554B16">
      <w:pPr>
        <w:pStyle w:val="FootnoteText"/>
      </w:pPr>
      <w:r>
        <w:rPr>
          <w:rStyle w:val="FootnoteReference"/>
        </w:rPr>
        <w:footnoteRef/>
      </w:r>
      <w:r>
        <w:t xml:space="preserve"> </w:t>
      </w:r>
      <w:hyperlink r:id="rId18" w:anchor="HySTOC" w:history="1">
        <w:r w:rsidRPr="004E7128">
          <w:rPr>
            <w:rStyle w:val="Hyperlink"/>
            <w:rFonts w:eastAsia="Calibri"/>
          </w:rPr>
          <w:t>https://www.fch.europa.eu/page/energy#HySTOC</w:t>
        </w:r>
      </w:hyperlink>
      <w:r>
        <w:t xml:space="preserve"> </w:t>
      </w:r>
    </w:p>
  </w:footnote>
  <w:footnote w:id="31">
    <w:p w14:paraId="0C5F5B18" w14:textId="77777777" w:rsidR="00DF2591" w:rsidRPr="00AB00E5" w:rsidRDefault="00DF2591" w:rsidP="00554B16">
      <w:pPr>
        <w:pStyle w:val="FootnoteText"/>
        <w:rPr>
          <w:color w:val="FF0000"/>
        </w:rPr>
      </w:pPr>
      <w:r>
        <w:rPr>
          <w:rStyle w:val="FootnoteReference"/>
        </w:rPr>
        <w:footnoteRef/>
      </w:r>
      <w:r w:rsidRPr="002D36C1">
        <w:t xml:space="preserve"> </w:t>
      </w:r>
      <w:hyperlink r:id="rId19" w:history="1">
        <w:r w:rsidRPr="002D36C1">
          <w:rPr>
            <w:rStyle w:val="Hyperlink"/>
          </w:rPr>
          <w:t>https://ec.europa.eu/jrc/sites/default/files/jrc124206_assessment_of_hydrogen_delivery_options.pdf</w:t>
        </w:r>
      </w:hyperlink>
      <w:r w:rsidRPr="002D36C1">
        <w:t xml:space="preserve"> </w:t>
      </w:r>
    </w:p>
  </w:footnote>
  <w:footnote w:id="32">
    <w:p w14:paraId="4136592C" w14:textId="77777777" w:rsidR="00DF2591" w:rsidRDefault="00DF2591" w:rsidP="00554B16">
      <w:pPr>
        <w:pStyle w:val="FootnoteText"/>
      </w:pPr>
      <w:r>
        <w:rPr>
          <w:rStyle w:val="FootnoteReference"/>
        </w:rPr>
        <w:footnoteRef/>
      </w:r>
      <w:r>
        <w:t xml:space="preserve"> </w:t>
      </w:r>
      <w:hyperlink r:id="rId20" w:anchor="HyCARE" w:history="1">
        <w:r w:rsidRPr="004E7128">
          <w:rPr>
            <w:rStyle w:val="Hyperlink"/>
            <w:rFonts w:eastAsia="Calibri"/>
          </w:rPr>
          <w:t>https://www.fch.europa.eu/page/energy#HyCARE</w:t>
        </w:r>
      </w:hyperlink>
      <w:r>
        <w:t xml:space="preserve"> </w:t>
      </w:r>
    </w:p>
  </w:footnote>
  <w:footnote w:id="33">
    <w:p w14:paraId="5D07C254" w14:textId="77777777" w:rsidR="00DF2591" w:rsidRDefault="00DF2591" w:rsidP="00554B16">
      <w:pPr>
        <w:pStyle w:val="FootnoteText"/>
      </w:pPr>
      <w:r>
        <w:rPr>
          <w:rStyle w:val="FootnoteReference"/>
        </w:rPr>
        <w:footnoteRef/>
      </w:r>
      <w:r>
        <w:t xml:space="preserve"> </w:t>
      </w:r>
      <w:hyperlink r:id="rId21" w:anchor="HyGrid" w:history="1">
        <w:r w:rsidRPr="004E7128">
          <w:rPr>
            <w:rStyle w:val="Hyperlink"/>
            <w:rFonts w:eastAsia="Calibri"/>
          </w:rPr>
          <w:t>https://www.fch.europa.eu/page/energy#HyGrid</w:t>
        </w:r>
      </w:hyperlink>
      <w:r>
        <w:t xml:space="preserve"> </w:t>
      </w:r>
    </w:p>
  </w:footnote>
  <w:footnote w:id="34">
    <w:p w14:paraId="0DB6E616" w14:textId="77777777" w:rsidR="00DF2591" w:rsidRDefault="00DF2591" w:rsidP="00554B16">
      <w:pPr>
        <w:pStyle w:val="FootnoteText"/>
      </w:pPr>
      <w:r>
        <w:rPr>
          <w:rStyle w:val="FootnoteReference"/>
        </w:rPr>
        <w:footnoteRef/>
      </w:r>
      <w:r>
        <w:t xml:space="preserve"> </w:t>
      </w:r>
      <w:hyperlink r:id="rId22" w:anchor="MEMPHYS" w:history="1">
        <w:r w:rsidRPr="004E7128">
          <w:rPr>
            <w:rStyle w:val="Hyperlink"/>
            <w:rFonts w:eastAsia="Calibri"/>
          </w:rPr>
          <w:t>https://www.fch.europa.eu/page/energy#MEMPHYS</w:t>
        </w:r>
      </w:hyperlink>
      <w:r>
        <w:t xml:space="preserve"> </w:t>
      </w:r>
    </w:p>
  </w:footnote>
  <w:footnote w:id="35">
    <w:p w14:paraId="52203C60" w14:textId="22B35B1E" w:rsidR="00075F1E" w:rsidRDefault="00075F1E">
      <w:pPr>
        <w:pStyle w:val="FootnoteText"/>
      </w:pPr>
      <w:r>
        <w:rPr>
          <w:rStyle w:val="FootnoteReference"/>
        </w:rPr>
        <w:footnoteRef/>
      </w:r>
      <w:r>
        <w:t xml:space="preserve"> </w:t>
      </w:r>
      <w:r w:rsidRPr="00075F1E">
        <w:t>https://www.clean-hydrogen.europa.eu/knowledge-management/technology-monitoring-trust_en</w:t>
      </w:r>
    </w:p>
  </w:footnote>
  <w:footnote w:id="36">
    <w:p w14:paraId="5D5D33B0" w14:textId="4CE324E5" w:rsidR="00DF2591" w:rsidRDefault="00DF2591">
      <w:pPr>
        <w:pStyle w:val="FootnoteText"/>
      </w:pPr>
      <w:r>
        <w:rPr>
          <w:rStyle w:val="FootnoteReference"/>
        </w:rPr>
        <w:footnoteRef/>
      </w:r>
      <w:r>
        <w:t xml:space="preserve"> </w:t>
      </w:r>
      <w:hyperlink r:id="rId23" w:history="1">
        <w:r w:rsidRPr="00BA26C8">
          <w:rPr>
            <w:rStyle w:val="Hyperlink"/>
          </w:rPr>
          <w:t>https://www.fchobservatory.eu/observatory</w:t>
        </w:r>
      </w:hyperlink>
      <w:r>
        <w:t xml:space="preserve"> </w:t>
      </w:r>
    </w:p>
  </w:footnote>
  <w:footnote w:id="37">
    <w:p w14:paraId="42E18D4B" w14:textId="7ED1D673" w:rsidR="00DF2591" w:rsidRDefault="00DF2591">
      <w:pPr>
        <w:pStyle w:val="FootnoteText"/>
      </w:pPr>
      <w:r>
        <w:rPr>
          <w:rStyle w:val="FootnoteReference"/>
        </w:rPr>
        <w:footnoteRef/>
      </w:r>
      <w:r>
        <w:t xml:space="preserve"> </w:t>
      </w:r>
      <w:hyperlink r:id="rId24" w:history="1">
        <w:r w:rsidRPr="00BA26C8">
          <w:rPr>
            <w:rStyle w:val="Hyperlink"/>
          </w:rPr>
          <w:t>https://www.clean-hydrogen.europa.eu/media/publications/programme-review-report-2020-2021_en</w:t>
        </w:r>
      </w:hyperlink>
      <w:r>
        <w:t xml:space="preserve"> </w:t>
      </w:r>
    </w:p>
  </w:footnote>
  <w:footnote w:id="38">
    <w:p w14:paraId="6D83BCE3" w14:textId="3F533D14" w:rsidR="00DF2591" w:rsidRDefault="00DF2591" w:rsidP="00E86B5F">
      <w:pPr>
        <w:pStyle w:val="FootnoteText"/>
      </w:pPr>
      <w:r>
        <w:rPr>
          <w:rStyle w:val="FootnoteReference"/>
        </w:rPr>
        <w:footnoteRef/>
      </w:r>
      <w:r>
        <w:t xml:space="preserve"> </w:t>
      </w:r>
      <w:hyperlink r:id="rId25" w:history="1">
        <w:r w:rsidRPr="00BA26C8">
          <w:rPr>
            <w:rStyle w:val="Hyperlink"/>
          </w:rPr>
          <w:t>https://www.clean-hydrogen.europa.eu/knowledge-management/programme-review-days/prd-2021_en</w:t>
        </w:r>
      </w:hyperlink>
      <w:r>
        <w:t xml:space="preserve"> </w:t>
      </w:r>
    </w:p>
  </w:footnote>
  <w:footnote w:id="39">
    <w:p w14:paraId="7E24A82F" w14:textId="53EC7AC8" w:rsidR="00D0146A" w:rsidRDefault="00D0146A">
      <w:pPr>
        <w:pStyle w:val="FootnoteText"/>
      </w:pPr>
      <w:r>
        <w:rPr>
          <w:rStyle w:val="FootnoteReference"/>
        </w:rPr>
        <w:footnoteRef/>
      </w:r>
      <w:r>
        <w:t xml:space="preserve"> </w:t>
      </w:r>
      <w:hyperlink r:id="rId26" w:history="1">
        <w:r w:rsidRPr="00F9076B">
          <w:rPr>
            <w:rStyle w:val="Hyperlink"/>
          </w:rPr>
          <w:t>https://www.fchobservatory.eu/index.php/reports</w:t>
        </w:r>
      </w:hyperlink>
      <w:r>
        <w:t xml:space="preserve"> </w:t>
      </w:r>
    </w:p>
  </w:footnote>
  <w:footnote w:id="40">
    <w:p w14:paraId="244EE408" w14:textId="28DABFA9" w:rsidR="00DF2591" w:rsidRPr="0048343F" w:rsidRDefault="00DF2591" w:rsidP="00E86B5F">
      <w:pPr>
        <w:pStyle w:val="FootnoteText"/>
        <w:rPr>
          <w:rFonts w:ascii="Arial" w:hAnsi="Arial" w:cs="Arial"/>
        </w:rPr>
      </w:pPr>
      <w:r w:rsidRPr="00A446C4">
        <w:rPr>
          <w:rStyle w:val="FootnoteReference"/>
          <w:rFonts w:ascii="Arial" w:hAnsi="Arial" w:cs="Arial"/>
        </w:rPr>
        <w:footnoteRef/>
      </w:r>
      <w:r w:rsidRPr="00A446C4">
        <w:rPr>
          <w:rFonts w:ascii="Arial" w:hAnsi="Arial" w:cs="Arial"/>
        </w:rPr>
        <w:t xml:space="preserve"> </w:t>
      </w:r>
      <w:hyperlink r:id="rId27" w:history="1">
        <w:r w:rsidR="0048343F" w:rsidRPr="0068607C">
          <w:rPr>
            <w:rStyle w:val="Hyperlink"/>
            <w:rFonts w:ascii="Arial" w:hAnsi="Arial" w:cs="Arial"/>
          </w:rPr>
          <w:t>https://www.clean-hydrogen.europa.eu/system/files/2022-02/Clean%20Hydrogen%20JU%20SRIA%20-%20approved%20by%20GB%20-%20clean%20for%20publication%20%28ID%2013246486%29.pdf</w:t>
        </w:r>
      </w:hyperlink>
      <w:r w:rsidR="0048343F" w:rsidRPr="000A1D52">
        <w:rPr>
          <w:rFonts w:ascii="Arial" w:hAnsi="Arial" w:cs="Arial"/>
        </w:rPr>
        <w:t xml:space="preserve"> </w:t>
      </w:r>
    </w:p>
  </w:footnote>
  <w:footnote w:id="41">
    <w:p w14:paraId="0E689DD8" w14:textId="77777777" w:rsidR="00DF2591" w:rsidRPr="00A446C4" w:rsidRDefault="00DF2591" w:rsidP="00E86B5F">
      <w:pPr>
        <w:pStyle w:val="FootnoteText"/>
        <w:rPr>
          <w:rFonts w:ascii="Arial" w:hAnsi="Arial" w:cs="Arial"/>
        </w:rPr>
      </w:pPr>
      <w:r w:rsidRPr="00A446C4">
        <w:rPr>
          <w:rStyle w:val="FootnoteReference"/>
          <w:rFonts w:ascii="Arial" w:hAnsi="Arial" w:cs="Arial"/>
        </w:rPr>
        <w:footnoteRef/>
      </w:r>
      <w:r w:rsidRPr="00A446C4">
        <w:rPr>
          <w:rFonts w:ascii="Arial" w:hAnsi="Arial" w:cs="Arial"/>
        </w:rPr>
        <w:t xml:space="preserve"> </w:t>
      </w:r>
      <w:hyperlink r:id="rId28" w:history="1">
        <w:r w:rsidRPr="00964661">
          <w:rPr>
            <w:rStyle w:val="Hyperlink"/>
            <w:rFonts w:ascii="Arial" w:hAnsi="Arial" w:cs="Arial"/>
          </w:rPr>
          <w:t>https://www.clean-hydrogen.europa.eu/get-involved/european-hydrogen-safety-panel-0/reference-documents-ehsp_en</w:t>
        </w:r>
      </w:hyperlink>
      <w:r>
        <w:rPr>
          <w:rFonts w:ascii="Arial" w:hAnsi="Arial" w:cs="Arial"/>
        </w:rPr>
        <w:t xml:space="preserve"> </w:t>
      </w:r>
    </w:p>
  </w:footnote>
  <w:footnote w:id="42">
    <w:p w14:paraId="5E7C1300" w14:textId="77777777" w:rsidR="00DF2591" w:rsidRPr="00A446C4" w:rsidRDefault="00DF2591" w:rsidP="00E86B5F">
      <w:pPr>
        <w:pStyle w:val="FootnoteText"/>
        <w:rPr>
          <w:rFonts w:ascii="Arial" w:hAnsi="Arial" w:cs="Arial"/>
        </w:rPr>
      </w:pPr>
      <w:r w:rsidRPr="00A446C4">
        <w:rPr>
          <w:rStyle w:val="FootnoteReference"/>
          <w:rFonts w:ascii="Arial" w:hAnsi="Arial" w:cs="Arial"/>
        </w:rPr>
        <w:footnoteRef/>
      </w:r>
      <w:r w:rsidRPr="00A446C4">
        <w:rPr>
          <w:rFonts w:ascii="Arial" w:hAnsi="Arial" w:cs="Arial"/>
        </w:rPr>
        <w:t xml:space="preserve"> </w:t>
      </w:r>
      <w:r w:rsidRPr="003E1624">
        <w:rPr>
          <w:rFonts w:ascii="Arial" w:hAnsi="Arial" w:cs="Arial"/>
        </w:rPr>
        <w:t>https://www.clean-hydrogen.europa.eu/system/files/2022-02/Clean%20Hydrogen%20JU%20SRIA%20-%20approved%20by%20GB%20-%20clean%20for%20publication%20%28ID%2013246486%29.pdf</w:t>
      </w:r>
    </w:p>
  </w:footnote>
  <w:footnote w:id="43">
    <w:p w14:paraId="58F1D54B" w14:textId="77777777" w:rsidR="00DF2591" w:rsidRPr="00A446C4" w:rsidRDefault="00DF2591" w:rsidP="00E86B5F">
      <w:pPr>
        <w:pStyle w:val="FootnoteText"/>
        <w:rPr>
          <w:rFonts w:ascii="Arial" w:hAnsi="Arial" w:cs="Arial"/>
        </w:rPr>
      </w:pPr>
      <w:r w:rsidRPr="00A446C4">
        <w:rPr>
          <w:rStyle w:val="FootnoteReference"/>
          <w:rFonts w:ascii="Arial" w:hAnsi="Arial" w:cs="Arial"/>
        </w:rPr>
        <w:footnoteRef/>
      </w:r>
      <w:r w:rsidRPr="00A446C4">
        <w:rPr>
          <w:rFonts w:ascii="Arial" w:hAnsi="Arial" w:cs="Arial"/>
        </w:rPr>
        <w:t xml:space="preserve"> </w:t>
      </w:r>
      <w:hyperlink r:id="rId29" w:history="1">
        <w:r w:rsidRPr="00964661">
          <w:rPr>
            <w:rStyle w:val="Hyperlink"/>
            <w:rFonts w:ascii="Arial" w:hAnsi="Arial" w:cs="Arial"/>
          </w:rPr>
          <w:t>https://www.clean-hydrogen.europa.eu/get-involved/european-hydrogen-safety-panel-0/reference-documents-ehsp_en</w:t>
        </w:r>
      </w:hyperlink>
      <w:r>
        <w:rPr>
          <w:rFonts w:ascii="Arial" w:hAnsi="Arial" w:cs="Arial"/>
        </w:rPr>
        <w:t xml:space="preserve"> </w:t>
      </w:r>
    </w:p>
  </w:footnote>
  <w:footnote w:id="44">
    <w:p w14:paraId="50908678" w14:textId="77777777" w:rsidR="00DF2591" w:rsidRPr="00A446C4" w:rsidRDefault="00DF2591" w:rsidP="00E86B5F">
      <w:pPr>
        <w:pStyle w:val="FootnoteText"/>
        <w:rPr>
          <w:rFonts w:ascii="Arial" w:hAnsi="Arial" w:cs="Arial"/>
        </w:rPr>
      </w:pPr>
      <w:r w:rsidRPr="00A446C4">
        <w:rPr>
          <w:rStyle w:val="FootnoteReference"/>
          <w:rFonts w:ascii="Arial" w:hAnsi="Arial" w:cs="Arial"/>
        </w:rPr>
        <w:footnoteRef/>
      </w:r>
      <w:r w:rsidRPr="00A446C4">
        <w:rPr>
          <w:rFonts w:ascii="Arial" w:hAnsi="Arial" w:cs="Arial"/>
        </w:rPr>
        <w:t xml:space="preserve"> </w:t>
      </w:r>
      <w:hyperlink r:id="rId30" w:history="1">
        <w:r w:rsidRPr="00964661">
          <w:rPr>
            <w:rStyle w:val="Hyperlink"/>
            <w:rFonts w:ascii="Arial" w:hAnsi="Arial" w:cs="Arial"/>
          </w:rPr>
          <w:t>https://www.clean-hydrogen.europa.eu/get-involved/european-hydrogen-safety-panel-0_en</w:t>
        </w:r>
      </w:hyperlink>
      <w:r>
        <w:rPr>
          <w:rFonts w:ascii="Arial" w:hAnsi="Arial" w:cs="Arial"/>
        </w:rPr>
        <w:t xml:space="preserve"> </w:t>
      </w:r>
    </w:p>
  </w:footnote>
  <w:footnote w:id="45">
    <w:p w14:paraId="53839CD5" w14:textId="77777777" w:rsidR="00DF2591" w:rsidRPr="00A446C4" w:rsidRDefault="00DF2591" w:rsidP="00E86B5F">
      <w:pPr>
        <w:pStyle w:val="FootnoteText"/>
        <w:rPr>
          <w:rFonts w:ascii="Arial" w:hAnsi="Arial" w:cs="Arial"/>
        </w:rPr>
      </w:pPr>
      <w:r w:rsidRPr="00A446C4">
        <w:rPr>
          <w:rStyle w:val="FootnoteReference"/>
          <w:rFonts w:ascii="Arial" w:hAnsi="Arial" w:cs="Arial"/>
        </w:rPr>
        <w:footnoteRef/>
      </w:r>
      <w:r w:rsidRPr="00A446C4">
        <w:rPr>
          <w:rFonts w:ascii="Arial" w:hAnsi="Arial" w:cs="Arial"/>
        </w:rPr>
        <w:t xml:space="preserve"> </w:t>
      </w:r>
      <w:hyperlink r:id="rId31" w:history="1">
        <w:r w:rsidRPr="00964661">
          <w:rPr>
            <w:rStyle w:val="Hyperlink"/>
            <w:rFonts w:ascii="Arial" w:hAnsi="Arial" w:cs="Arial"/>
          </w:rPr>
          <w:t>https://www.clean-hydrogen.europa.eu/knowledge-management/tools-innovation-monitoring-tim-0_en</w:t>
        </w:r>
      </w:hyperlink>
    </w:p>
  </w:footnote>
  <w:footnote w:id="46">
    <w:p w14:paraId="5E788070" w14:textId="77777777" w:rsidR="00DF2591" w:rsidRPr="004358F4" w:rsidRDefault="00DF2591" w:rsidP="001A58B6">
      <w:pPr>
        <w:pStyle w:val="FootnoteText"/>
      </w:pPr>
      <w:r>
        <w:rPr>
          <w:rStyle w:val="FootnoteReference"/>
        </w:rPr>
        <w:footnoteRef/>
      </w:r>
      <w:r>
        <w:t xml:space="preserve"> </w:t>
      </w:r>
      <w:hyperlink r:id="rId32" w:history="1">
        <w:r w:rsidRPr="003C628C">
          <w:rPr>
            <w:rStyle w:val="Hyperlink"/>
          </w:rPr>
          <w:t>https://www.etipbioenergy.eu/set4bio</w:t>
        </w:r>
      </w:hyperlink>
      <w:r>
        <w:t xml:space="preserve"> </w:t>
      </w:r>
    </w:p>
  </w:footnote>
  <w:footnote w:id="47">
    <w:p w14:paraId="4FE43E06" w14:textId="77777777" w:rsidR="00DF2591" w:rsidRPr="004358F4" w:rsidRDefault="00DF2591" w:rsidP="001A58B6">
      <w:pPr>
        <w:pStyle w:val="FootnoteText"/>
      </w:pPr>
      <w:r>
        <w:rPr>
          <w:rStyle w:val="FootnoteReference"/>
        </w:rPr>
        <w:footnoteRef/>
      </w:r>
      <w:r>
        <w:t xml:space="preserve"> </w:t>
      </w:r>
      <w:hyperlink r:id="rId33" w:history="1">
        <w:r w:rsidRPr="003C628C">
          <w:rPr>
            <w:rStyle w:val="Hyperlink"/>
          </w:rPr>
          <w:t>https://www.certifhy.eu/</w:t>
        </w:r>
      </w:hyperlink>
      <w:r>
        <w:t xml:space="preserve"> </w:t>
      </w:r>
    </w:p>
  </w:footnote>
  <w:footnote w:id="48">
    <w:p w14:paraId="7A1C21BD" w14:textId="77777777" w:rsidR="00DF2591" w:rsidRPr="0062228A" w:rsidRDefault="00DF2591" w:rsidP="001A58B6">
      <w:pPr>
        <w:pStyle w:val="FootnoteText"/>
      </w:pPr>
      <w:r>
        <w:rPr>
          <w:rStyle w:val="FootnoteReference"/>
        </w:rPr>
        <w:footnoteRef/>
      </w:r>
      <w:r>
        <w:t xml:space="preserve"> European Maritime Safety Agency: </w:t>
      </w:r>
      <w:hyperlink r:id="rId34" w:history="1">
        <w:r w:rsidRPr="003C628C">
          <w:rPr>
            <w:rStyle w:val="Hyperlink"/>
          </w:rPr>
          <w:t>http://www.emsa.europa.eu/</w:t>
        </w:r>
      </w:hyperlink>
      <w:r>
        <w:t xml:space="preserve"> </w:t>
      </w:r>
    </w:p>
  </w:footnote>
  <w:footnote w:id="49">
    <w:p w14:paraId="24475AA8" w14:textId="77777777" w:rsidR="00DF2591" w:rsidRPr="0085186A" w:rsidRDefault="00DF2591" w:rsidP="001A58B6">
      <w:pPr>
        <w:pStyle w:val="FootnoteText"/>
      </w:pPr>
      <w:r>
        <w:rPr>
          <w:rStyle w:val="FootnoteReference"/>
        </w:rPr>
        <w:footnoteRef/>
      </w:r>
      <w:r>
        <w:t xml:space="preserve"> </w:t>
      </w:r>
      <w:hyperlink r:id="rId35" w:history="1">
        <w:r w:rsidRPr="001F6A08">
          <w:rPr>
            <w:rStyle w:val="Hyperlink"/>
          </w:rPr>
          <w:t>https://www.clean-hydrogen.europa.eu/projects-repository/maranda_en</w:t>
        </w:r>
      </w:hyperlink>
      <w:r>
        <w:t xml:space="preserve"> </w:t>
      </w:r>
    </w:p>
  </w:footnote>
  <w:footnote w:id="50">
    <w:p w14:paraId="606DA756" w14:textId="77777777" w:rsidR="00DF2591" w:rsidRPr="0085186A" w:rsidRDefault="00DF2591" w:rsidP="001A58B6">
      <w:pPr>
        <w:pStyle w:val="FootnoteText"/>
      </w:pPr>
      <w:r>
        <w:rPr>
          <w:rStyle w:val="FootnoteReference"/>
        </w:rPr>
        <w:footnoteRef/>
      </w:r>
      <w:r>
        <w:t xml:space="preserve"> </w:t>
      </w:r>
      <w:hyperlink r:id="rId36" w:history="1">
        <w:r w:rsidRPr="001F6A08">
          <w:rPr>
            <w:rStyle w:val="Hyperlink"/>
          </w:rPr>
          <w:t>https://www.clean-hydrogen.europa.eu/projects-repository/flagships_en</w:t>
        </w:r>
      </w:hyperlink>
      <w:r>
        <w:t xml:space="preserve"> </w:t>
      </w:r>
    </w:p>
  </w:footnote>
  <w:footnote w:id="51">
    <w:p w14:paraId="69B972F2" w14:textId="77777777" w:rsidR="00DF2591" w:rsidRPr="0085186A" w:rsidRDefault="00DF2591" w:rsidP="001A58B6">
      <w:pPr>
        <w:pStyle w:val="FootnoteText"/>
      </w:pPr>
      <w:r>
        <w:rPr>
          <w:rStyle w:val="FootnoteReference"/>
        </w:rPr>
        <w:footnoteRef/>
      </w:r>
      <w:r>
        <w:t xml:space="preserve"> </w:t>
      </w:r>
      <w:hyperlink r:id="rId37" w:history="1">
        <w:r w:rsidRPr="001F6A08">
          <w:rPr>
            <w:rStyle w:val="Hyperlink"/>
          </w:rPr>
          <w:t>https://www.clean-hydrogen.europa.eu/projects-repository/e-shyips_en</w:t>
        </w:r>
      </w:hyperlink>
      <w:r>
        <w:t xml:space="preserve"> </w:t>
      </w:r>
    </w:p>
  </w:footnote>
  <w:footnote w:id="52">
    <w:p w14:paraId="0A7B8C8D" w14:textId="77777777" w:rsidR="00DF2591" w:rsidRPr="00D8451B" w:rsidRDefault="00DF2591" w:rsidP="001A58B6">
      <w:pPr>
        <w:pStyle w:val="FootnoteText"/>
      </w:pPr>
      <w:r>
        <w:rPr>
          <w:rStyle w:val="FootnoteReference"/>
        </w:rPr>
        <w:footnoteRef/>
      </w:r>
      <w:r>
        <w:t xml:space="preserve"> </w:t>
      </w:r>
      <w:r w:rsidRPr="00D8451B">
        <w:t xml:space="preserve">14 July 2021: </w:t>
      </w:r>
      <w:proofErr w:type="gramStart"/>
      <w:r w:rsidRPr="00D8451B">
        <w:t>COM(</w:t>
      </w:r>
      <w:proofErr w:type="gramEnd"/>
      <w:r w:rsidRPr="00D8451B">
        <w:t xml:space="preserve">2021) 550 final - </w:t>
      </w:r>
      <w:r w:rsidRPr="00D8451B">
        <w:rPr>
          <w:lang w:val="en-US"/>
        </w:rPr>
        <w:t>'Fit for 55': delivering the EU's 2030 Climate Target on the way to climate neutrality</w:t>
      </w:r>
      <w:r>
        <w:rPr>
          <w:lang w:val="en-US"/>
        </w:rPr>
        <w:t xml:space="preserve">. </w:t>
      </w:r>
      <w:hyperlink r:id="rId38" w:history="1">
        <w:r w:rsidRPr="00D77045">
          <w:rPr>
            <w:rStyle w:val="Hyperlink"/>
            <w:lang w:val="en-US"/>
          </w:rPr>
          <w:t>https://eur-lex.europa.eu/legal-content/EN/TXT/PDF/?uri=CELEX:52021DC0550&amp;from=EN</w:t>
        </w:r>
      </w:hyperlink>
      <w:r>
        <w:rPr>
          <w:lang w:val="en-US"/>
        </w:rPr>
        <w:t xml:space="preserve"> </w:t>
      </w:r>
    </w:p>
  </w:footnote>
  <w:footnote w:id="53">
    <w:p w14:paraId="40CBC082" w14:textId="77777777" w:rsidR="00DF2591" w:rsidRPr="00D8451B" w:rsidRDefault="00DF2591" w:rsidP="001A58B6">
      <w:pPr>
        <w:pStyle w:val="FootnoteText"/>
      </w:pPr>
      <w:r>
        <w:rPr>
          <w:rStyle w:val="FootnoteReference"/>
        </w:rPr>
        <w:footnoteRef/>
      </w:r>
      <w:r>
        <w:t xml:space="preserve"> </w:t>
      </w:r>
      <w:r w:rsidRPr="00D8451B">
        <w:t>15</w:t>
      </w:r>
      <w:r>
        <w:t xml:space="preserve"> December </w:t>
      </w:r>
      <w:r w:rsidRPr="00D8451B">
        <w:t>2021</w:t>
      </w:r>
      <w:r>
        <w:t xml:space="preserve">: </w:t>
      </w:r>
      <w:r w:rsidRPr="00D8451B">
        <w:t xml:space="preserve">Commission </w:t>
      </w:r>
      <w:r>
        <w:t xml:space="preserve">adopted </w:t>
      </w:r>
      <w:r w:rsidRPr="00C446AA">
        <w:t>legislative proposals to decarbonise the EU gas market by facilitating the uptake of renewable and low carbon gases, including hydrogen, and to ensure energy security for all citizens in Europe</w:t>
      </w:r>
      <w:r>
        <w:t xml:space="preserve">. </w:t>
      </w:r>
      <w:hyperlink r:id="rId39" w:history="1">
        <w:r w:rsidRPr="00D77045">
          <w:rPr>
            <w:rStyle w:val="Hyperlink"/>
          </w:rPr>
          <w:t>https://ec.europa.eu/commission/presscorner/detail/en/ip_21_6682</w:t>
        </w:r>
      </w:hyperlink>
      <w:r>
        <w:t xml:space="preserve"> </w:t>
      </w:r>
    </w:p>
  </w:footnote>
  <w:footnote w:id="54">
    <w:p w14:paraId="63A51969" w14:textId="77777777" w:rsidR="00DF2591" w:rsidRPr="002C2E8A" w:rsidRDefault="00DF2591" w:rsidP="001A58B6">
      <w:pPr>
        <w:pStyle w:val="FootnoteText"/>
      </w:pPr>
      <w:r>
        <w:rPr>
          <w:rStyle w:val="FootnoteReference"/>
        </w:rPr>
        <w:footnoteRef/>
      </w:r>
      <w:r>
        <w:t xml:space="preserve"> Including the </w:t>
      </w:r>
      <w:r w:rsidRPr="002C2E8A">
        <w:t>State Aid for Environmental protection and Energy – revised guidelines</w:t>
      </w:r>
      <w:r>
        <w:t xml:space="preserve"> (</w:t>
      </w:r>
      <w:hyperlink r:id="rId40" w:history="1">
        <w:r w:rsidRPr="00D77045">
          <w:rPr>
            <w:rStyle w:val="Hyperlink"/>
          </w:rPr>
          <w:t>https://ec.europa.eu/info/law/better-regulation/have-your-say/initiatives/12616-State-aid-for-environmental-protection-and-energy-revised-guidelines_en</w:t>
        </w:r>
      </w:hyperlink>
      <w:r>
        <w:t>); the r</w:t>
      </w:r>
      <w:r w:rsidRPr="002C2E8A">
        <w:t>eview of emission standards for Heavy</w:t>
      </w:r>
      <w:r>
        <w:softHyphen/>
      </w:r>
      <w:r>
        <w:softHyphen/>
        <w:t>-</w:t>
      </w:r>
      <w:r w:rsidRPr="002C2E8A">
        <w:t>Duty Vehicles</w:t>
      </w:r>
      <w:r>
        <w:t xml:space="preserve"> (</w:t>
      </w:r>
      <w:hyperlink r:id="rId41" w:history="1">
        <w:r w:rsidRPr="00D77045">
          <w:rPr>
            <w:rStyle w:val="Hyperlink"/>
          </w:rPr>
          <w:t>https://ec.europa.eu/info/law/better-regulation/have-your-say/initiatives/13168-Reducing-carbon-emissions-review-of-emission-standards-for-heavy-duty-vehicles_en</w:t>
        </w:r>
      </w:hyperlink>
      <w:r>
        <w:t xml:space="preserve">); or the </w:t>
      </w:r>
      <w:r w:rsidRPr="002C2E8A">
        <w:t>TEN-E – new rules for cross-border energy projects</w:t>
      </w:r>
      <w:r>
        <w:t xml:space="preserve"> (</w:t>
      </w:r>
      <w:hyperlink r:id="rId42" w:history="1">
        <w:r w:rsidRPr="00D77045">
          <w:rPr>
            <w:rStyle w:val="Hyperlink"/>
          </w:rPr>
          <w:t>https://www.consilium.europa.eu/en/press/press-releases/2021/12/22/ten-e-council-and-parliament-reach-provisional-agreement-on-new-rules-for-cross-border-energy-projects/</w:t>
        </w:r>
      </w:hyperlink>
      <w:r>
        <w:t xml:space="preserve">)  </w:t>
      </w:r>
    </w:p>
  </w:footnote>
  <w:footnote w:id="55">
    <w:p w14:paraId="4FCCB759" w14:textId="77777777" w:rsidR="00DF2591" w:rsidRPr="0062228A" w:rsidRDefault="00DF2591" w:rsidP="001A58B6">
      <w:pPr>
        <w:pStyle w:val="FootnoteText"/>
      </w:pPr>
      <w:r>
        <w:rPr>
          <w:rStyle w:val="FootnoteReference"/>
        </w:rPr>
        <w:footnoteRef/>
      </w:r>
      <w:r>
        <w:t xml:space="preserve"> </w:t>
      </w:r>
      <w:hyperlink r:id="rId43" w:history="1">
        <w:r w:rsidRPr="003C628C">
          <w:rPr>
            <w:rStyle w:val="Hyperlink"/>
          </w:rPr>
          <w:t>https://ec.europa.eu/international-partnerships/projects/eu-global-technical-assistance-facility-sustainable-energy-eu-gtaf_ro</w:t>
        </w:r>
      </w:hyperlink>
      <w:r>
        <w:t xml:space="preserve"> </w:t>
      </w:r>
    </w:p>
  </w:footnote>
  <w:footnote w:id="56">
    <w:p w14:paraId="145B093E" w14:textId="1DBE18F6" w:rsidR="00264800" w:rsidRPr="00351A36" w:rsidRDefault="00264800" w:rsidP="00264800">
      <w:pPr>
        <w:pStyle w:val="FootnoteText"/>
      </w:pPr>
      <w:r>
        <w:rPr>
          <w:rStyle w:val="FootnoteReference"/>
        </w:rPr>
        <w:footnoteRef/>
      </w:r>
      <w:r>
        <w:t xml:space="preserve"> </w:t>
      </w:r>
      <w:r>
        <w:tab/>
        <w:t>To foster cooperation with Africa, it was agreed that Clean Hydrogen JU would support a topic in</w:t>
      </w:r>
      <w:r w:rsidR="00351A36">
        <w:t xml:space="preserve"> its</w:t>
      </w:r>
      <w:r>
        <w:t xml:space="preserve"> Call 2022 aiming to create enabling conditions for the development of renewable hydrogen technology and market that would contribute to the social, </w:t>
      </w:r>
      <w:proofErr w:type="gramStart"/>
      <w:r>
        <w:t>economic</w:t>
      </w:r>
      <w:proofErr w:type="gramEnd"/>
      <w:r>
        <w:t xml:space="preserve"> and environmental transition of the </w:t>
      </w:r>
      <w:r w:rsidRPr="00264800">
        <w:t>African continent.</w:t>
      </w:r>
    </w:p>
  </w:footnote>
  <w:footnote w:id="57">
    <w:p w14:paraId="213E7FF5" w14:textId="04B84508" w:rsidR="00434424" w:rsidRDefault="00434424">
      <w:pPr>
        <w:pStyle w:val="FootnoteText"/>
      </w:pPr>
      <w:r>
        <w:rPr>
          <w:rStyle w:val="FootnoteReference"/>
        </w:rPr>
        <w:footnoteRef/>
      </w:r>
      <w:r>
        <w:t xml:space="preserve"> </w:t>
      </w:r>
      <w:r>
        <w:tab/>
      </w:r>
      <w:r w:rsidRPr="00434424">
        <w:t>The first one will lead to the deployment a minimum of 150 heavy-duty vehicles (trucks) across along the TEN-T corridors. This topic is calling for at least 3 original equipment manufacturers (OEM) and 6 operators to engage in this action. For waterborne applications the focus is on inland waterway vessels. The support will be provided for the deployment of a first of its kind sizeable fleet of at least 5 inland vessels with fuel power above 500kW and preferably at 1 MW scale.</w:t>
      </w:r>
    </w:p>
  </w:footnote>
  <w:footnote w:id="58">
    <w:p w14:paraId="227AFA7F" w14:textId="4326A74C" w:rsidR="00A93439" w:rsidRDefault="00A93439">
      <w:pPr>
        <w:pStyle w:val="FootnoteText"/>
      </w:pPr>
      <w:r>
        <w:rPr>
          <w:rStyle w:val="FootnoteReference"/>
        </w:rPr>
        <w:footnoteRef/>
      </w:r>
      <w:r>
        <w:t xml:space="preserve"> More details on the common Roadmaps can be found in Annex 7 of the Clean Hydrogen JU SRIA.</w:t>
      </w:r>
    </w:p>
  </w:footnote>
  <w:footnote w:id="59">
    <w:p w14:paraId="7BA2A1E0" w14:textId="77777777" w:rsidR="00DF2591" w:rsidRPr="009608A8" w:rsidRDefault="00DF2591" w:rsidP="001A58B6">
      <w:pPr>
        <w:pStyle w:val="FootnoteText"/>
      </w:pPr>
      <w:r>
        <w:rPr>
          <w:rStyle w:val="FootnoteReference"/>
        </w:rPr>
        <w:footnoteRef/>
      </w:r>
      <w:r w:rsidRPr="009608A8">
        <w:t xml:space="preserve"> </w:t>
      </w:r>
      <w:hyperlink r:id="rId44" w:history="1">
        <w:r w:rsidRPr="009608A8">
          <w:rPr>
            <w:rStyle w:val="Hyperlink"/>
          </w:rPr>
          <w:t>https://eda.europa.eu/</w:t>
        </w:r>
      </w:hyperlink>
      <w:r w:rsidRPr="009608A8">
        <w:t xml:space="preserve"> </w:t>
      </w:r>
    </w:p>
  </w:footnote>
  <w:footnote w:id="60">
    <w:p w14:paraId="292918B2" w14:textId="77777777" w:rsidR="00DF2591" w:rsidRPr="0062228A" w:rsidRDefault="00DF2591" w:rsidP="001A58B6">
      <w:pPr>
        <w:pStyle w:val="FootnoteText"/>
      </w:pPr>
      <w:r>
        <w:rPr>
          <w:rStyle w:val="FootnoteReference"/>
        </w:rPr>
        <w:footnoteRef/>
      </w:r>
      <w:r>
        <w:t xml:space="preserve"> More information at: </w:t>
      </w:r>
      <w:hyperlink r:id="rId45" w:history="1">
        <w:r w:rsidRPr="003C628C">
          <w:rPr>
            <w:rStyle w:val="Hyperlink"/>
          </w:rPr>
          <w:t>https://www.fch.europa.eu/page/fch-regions-hub</w:t>
        </w:r>
      </w:hyperlink>
    </w:p>
  </w:footnote>
  <w:footnote w:id="61">
    <w:p w14:paraId="28A52421" w14:textId="77777777" w:rsidR="00DF2591" w:rsidRPr="00FC060E" w:rsidRDefault="00DF2591" w:rsidP="001A58B6">
      <w:pPr>
        <w:pStyle w:val="FootnoteText"/>
      </w:pPr>
      <w:r>
        <w:rPr>
          <w:rStyle w:val="FootnoteReference"/>
        </w:rPr>
        <w:footnoteRef/>
      </w:r>
      <w:r>
        <w:t xml:space="preserve"> </w:t>
      </w:r>
      <w:hyperlink r:id="rId46" w:history="1">
        <w:r w:rsidRPr="003C628C">
          <w:rPr>
            <w:rStyle w:val="Hyperlink"/>
          </w:rPr>
          <w:t>https://s3platform.jrc.ec.europa.eu/hydrogen-valleys</w:t>
        </w:r>
      </w:hyperlink>
      <w:r>
        <w:t xml:space="preserve">  </w:t>
      </w:r>
    </w:p>
  </w:footnote>
  <w:footnote w:id="62">
    <w:p w14:paraId="6267DA0E" w14:textId="77777777" w:rsidR="00DF2591" w:rsidRPr="00DC4120" w:rsidRDefault="00DF2591" w:rsidP="001A58B6">
      <w:pPr>
        <w:pStyle w:val="FootnoteText"/>
      </w:pPr>
      <w:r>
        <w:rPr>
          <w:rStyle w:val="FootnoteReference"/>
        </w:rPr>
        <w:footnoteRef/>
      </w:r>
      <w:r>
        <w:t xml:space="preserve"> </w:t>
      </w:r>
      <w:hyperlink r:id="rId47" w:history="1">
        <w:r w:rsidRPr="003C628C">
          <w:rPr>
            <w:rStyle w:val="Hyperlink"/>
            <w:sz w:val="22"/>
            <w:szCs w:val="22"/>
          </w:rPr>
          <w:t>https://www.fch.europa.eu/page/fch-regions-hub</w:t>
        </w:r>
      </w:hyperlink>
      <w:r>
        <w:rPr>
          <w:sz w:val="22"/>
          <w:szCs w:val="22"/>
        </w:rPr>
        <w:t xml:space="preserve"> </w:t>
      </w:r>
    </w:p>
  </w:footnote>
  <w:footnote w:id="63">
    <w:p w14:paraId="452543A5" w14:textId="77777777" w:rsidR="00DF2591" w:rsidRPr="00FC060E" w:rsidRDefault="00DF2591" w:rsidP="001A58B6">
      <w:pPr>
        <w:pStyle w:val="FootnoteText"/>
      </w:pPr>
      <w:r>
        <w:rPr>
          <w:rStyle w:val="FootnoteReference"/>
        </w:rPr>
        <w:footnoteRef/>
      </w:r>
      <w:r>
        <w:t xml:space="preserve"> </w:t>
      </w:r>
      <w:hyperlink r:id="rId48" w:history="1">
        <w:r w:rsidRPr="003C628C">
          <w:rPr>
            <w:rStyle w:val="Hyperlink"/>
          </w:rPr>
          <w:t>https://www.fch.europa.eu/news/project-development-assistance-kicks-selected-regions</w:t>
        </w:r>
      </w:hyperlink>
      <w:r>
        <w:t xml:space="preserve"> </w:t>
      </w:r>
    </w:p>
  </w:footnote>
  <w:footnote w:id="64">
    <w:p w14:paraId="41A0F4BF" w14:textId="77777777" w:rsidR="00DF2591" w:rsidRPr="00D917F2" w:rsidRDefault="00DF2591" w:rsidP="001A58B6">
      <w:pPr>
        <w:pStyle w:val="FootnoteText"/>
      </w:pPr>
      <w:r>
        <w:rPr>
          <w:rStyle w:val="FootnoteReference"/>
        </w:rPr>
        <w:footnoteRef/>
      </w:r>
      <w:r>
        <w:t xml:space="preserve"> </w:t>
      </w:r>
      <w:hyperlink r:id="rId49" w:history="1">
        <w:r w:rsidRPr="00D77045">
          <w:rPr>
            <w:rStyle w:val="Hyperlink"/>
          </w:rPr>
          <w:t>https://www.clean-hydrogen.europa.eu/media/news/project-development-assistance-cities-and-regions-summary-report-now-available-2021-10-19_en</w:t>
        </w:r>
      </w:hyperlink>
      <w:r>
        <w:t xml:space="preserve"> </w:t>
      </w:r>
    </w:p>
  </w:footnote>
  <w:footnote w:id="65">
    <w:p w14:paraId="56DA1B20" w14:textId="77777777" w:rsidR="00DF2591" w:rsidRPr="00FC060E" w:rsidRDefault="00DF2591" w:rsidP="001A58B6">
      <w:pPr>
        <w:pStyle w:val="FootnoteText"/>
      </w:pPr>
      <w:r>
        <w:rPr>
          <w:rStyle w:val="FootnoteReference"/>
        </w:rPr>
        <w:footnoteRef/>
      </w:r>
      <w:r>
        <w:t xml:space="preserve"> </w:t>
      </w:r>
      <w:hyperlink r:id="rId50" w:history="1">
        <w:r w:rsidRPr="003C628C">
          <w:rPr>
            <w:rStyle w:val="Hyperlink"/>
          </w:rPr>
          <w:t>https://www.bighit.eu/</w:t>
        </w:r>
      </w:hyperlink>
      <w:r>
        <w:t xml:space="preserve"> </w:t>
      </w:r>
    </w:p>
  </w:footnote>
  <w:footnote w:id="66">
    <w:p w14:paraId="084F8F5E" w14:textId="77777777" w:rsidR="00DF2591" w:rsidRPr="00FC060E" w:rsidRDefault="00DF2591" w:rsidP="001A58B6">
      <w:pPr>
        <w:pStyle w:val="FootnoteText"/>
      </w:pPr>
      <w:r>
        <w:rPr>
          <w:rStyle w:val="FootnoteReference"/>
        </w:rPr>
        <w:footnoteRef/>
      </w:r>
      <w:r>
        <w:t xml:space="preserve"> </w:t>
      </w:r>
      <w:hyperlink r:id="rId51" w:anchor="HEAVENN" w:history="1">
        <w:r w:rsidRPr="003C628C">
          <w:rPr>
            <w:rStyle w:val="Hyperlink"/>
          </w:rPr>
          <w:t>https://www.fch.europa.eu/page/energy#HEAVENN</w:t>
        </w:r>
      </w:hyperlink>
    </w:p>
  </w:footnote>
  <w:footnote w:id="67">
    <w:p w14:paraId="6F3BBC79" w14:textId="77777777" w:rsidR="00DF2591" w:rsidRPr="00DC4120" w:rsidRDefault="00DF2591" w:rsidP="001A58B6">
      <w:pPr>
        <w:pStyle w:val="FootnoteText"/>
      </w:pPr>
      <w:r>
        <w:rPr>
          <w:rStyle w:val="FootnoteReference"/>
        </w:rPr>
        <w:footnoteRef/>
      </w:r>
      <w:r>
        <w:t xml:space="preserve"> </w:t>
      </w:r>
      <w:hyperlink r:id="rId52" w:anchor="GREEN%20HYSLAND" w:history="1">
        <w:r w:rsidRPr="003C628C">
          <w:rPr>
            <w:rStyle w:val="Hyperlink"/>
            <w:sz w:val="22"/>
            <w:szCs w:val="22"/>
          </w:rPr>
          <w:t>https://www.fch.europa.eu/page/energy#GREEN%20HYSLAND</w:t>
        </w:r>
      </w:hyperlink>
      <w:r>
        <w:rPr>
          <w:sz w:val="22"/>
          <w:szCs w:val="22"/>
        </w:rPr>
        <w:t xml:space="preserve"> </w:t>
      </w:r>
    </w:p>
  </w:footnote>
  <w:footnote w:id="68">
    <w:p w14:paraId="61BA580E" w14:textId="77777777" w:rsidR="00DF2591" w:rsidRPr="00DC4120" w:rsidRDefault="00DF2591" w:rsidP="001A58B6">
      <w:pPr>
        <w:pStyle w:val="FootnoteText"/>
      </w:pPr>
      <w:r>
        <w:rPr>
          <w:rStyle w:val="FootnoteReference"/>
        </w:rPr>
        <w:footnoteRef/>
      </w:r>
      <w:r>
        <w:t xml:space="preserve"> </w:t>
      </w:r>
      <w:hyperlink r:id="rId53" w:history="1">
        <w:r w:rsidRPr="003C628C">
          <w:rPr>
            <w:rStyle w:val="Hyperlink"/>
            <w:sz w:val="22"/>
            <w:szCs w:val="22"/>
          </w:rPr>
          <w:t>https://www.h2v.eu/</w:t>
        </w:r>
      </w:hyperlink>
      <w:r>
        <w:rPr>
          <w:sz w:val="22"/>
          <w:szCs w:val="22"/>
        </w:rPr>
        <w:t xml:space="preserve"> </w:t>
      </w:r>
    </w:p>
  </w:footnote>
  <w:footnote w:id="69">
    <w:p w14:paraId="44D0F2B8" w14:textId="77777777" w:rsidR="00DF2591" w:rsidRPr="00DC4120" w:rsidRDefault="00DF2591" w:rsidP="001A58B6">
      <w:pPr>
        <w:pStyle w:val="FootnoteText"/>
      </w:pPr>
      <w:r>
        <w:rPr>
          <w:rStyle w:val="FootnoteReference"/>
        </w:rPr>
        <w:footnoteRef/>
      </w:r>
      <w:r>
        <w:t xml:space="preserve"> </w:t>
      </w:r>
      <w:hyperlink r:id="rId54" w:history="1">
        <w:r w:rsidRPr="003C628C">
          <w:rPr>
            <w:rStyle w:val="Hyperlink"/>
            <w:sz w:val="22"/>
            <w:szCs w:val="22"/>
          </w:rPr>
          <w:t>https://www.fch.europa.eu/page/mission-innovation-hydrogen-valleys-platform</w:t>
        </w:r>
      </w:hyperlink>
      <w:r>
        <w:rPr>
          <w:sz w:val="22"/>
          <w:szCs w:val="22"/>
        </w:rPr>
        <w:t xml:space="preserve"> </w:t>
      </w:r>
    </w:p>
  </w:footnote>
  <w:footnote w:id="70">
    <w:p w14:paraId="1EFC4A52" w14:textId="77777777" w:rsidR="00DF2591" w:rsidRPr="00B62403" w:rsidRDefault="00DF2591" w:rsidP="001A58B6">
      <w:pPr>
        <w:pStyle w:val="FootnoteText"/>
      </w:pPr>
      <w:r>
        <w:rPr>
          <w:rStyle w:val="FootnoteReference"/>
        </w:rPr>
        <w:footnoteRef/>
      </w:r>
      <w:r>
        <w:t xml:space="preserve"> </w:t>
      </w:r>
      <w:r w:rsidRPr="002854D4">
        <w:t>Mission Innovation 2.0</w:t>
      </w:r>
      <w:r>
        <w:t xml:space="preserve"> was</w:t>
      </w:r>
      <w:r w:rsidRPr="002854D4">
        <w:t xml:space="preserve"> launched on 2 June 2021, catalysing a decade of action and investment in research, </w:t>
      </w:r>
      <w:proofErr w:type="gramStart"/>
      <w:r w:rsidRPr="002854D4">
        <w:t>development</w:t>
      </w:r>
      <w:proofErr w:type="gramEnd"/>
      <w:r w:rsidRPr="002854D4">
        <w:t xml:space="preserve"> and demonstration to make clean energy affordable, attractive and accessible for all.</w:t>
      </w:r>
      <w:r>
        <w:t xml:space="preserve"> </w:t>
      </w:r>
      <w:hyperlink r:id="rId55" w:history="1">
        <w:r w:rsidRPr="00D77045">
          <w:rPr>
            <w:rStyle w:val="Hyperlink"/>
          </w:rPr>
          <w:t>http://mission-innovation.net/missions/hydrogen/</w:t>
        </w:r>
      </w:hyperlink>
    </w:p>
  </w:footnote>
  <w:footnote w:id="71">
    <w:p w14:paraId="4FBBFE96" w14:textId="77777777" w:rsidR="00DF2591" w:rsidRPr="006D02A2" w:rsidRDefault="00DF2591" w:rsidP="001A58B6">
      <w:pPr>
        <w:pStyle w:val="FootnoteText"/>
      </w:pPr>
      <w:r>
        <w:rPr>
          <w:rStyle w:val="FootnoteReference"/>
        </w:rPr>
        <w:footnoteRef/>
      </w:r>
      <w:r>
        <w:t xml:space="preserve"> </w:t>
      </w:r>
      <w:hyperlink r:id="rId56" w:history="1">
        <w:r w:rsidRPr="006D02A2">
          <w:rPr>
            <w:rStyle w:val="Hyperlink"/>
          </w:rPr>
          <w:t>https://www.clean-hydrogen.europa.eu/media/news/research-and-innovation-priorities-clean-hydrogen-2022-02-28_en</w:t>
        </w:r>
      </w:hyperlink>
      <w:r>
        <w:t xml:space="preserve"> </w:t>
      </w:r>
    </w:p>
  </w:footnote>
  <w:footnote w:id="72">
    <w:p w14:paraId="1E3D4EA2" w14:textId="77777777" w:rsidR="00DF2591" w:rsidRPr="008A7806" w:rsidRDefault="00DF2591" w:rsidP="009519B8">
      <w:pPr>
        <w:pStyle w:val="FootnoteText"/>
        <w:rPr>
          <w:sz w:val="18"/>
          <w:szCs w:val="18"/>
        </w:rPr>
      </w:pPr>
      <w:r w:rsidRPr="008A7806">
        <w:rPr>
          <w:rStyle w:val="FootnoteReference"/>
          <w:sz w:val="18"/>
          <w:szCs w:val="18"/>
        </w:rPr>
        <w:footnoteRef/>
      </w:r>
      <w:r w:rsidRPr="008A7806">
        <w:rPr>
          <w:sz w:val="18"/>
          <w:szCs w:val="18"/>
        </w:rPr>
        <w:t xml:space="preserve"> </w:t>
      </w:r>
      <w:hyperlink r:id="rId57" w:history="1">
        <w:r w:rsidRPr="008A7806">
          <w:rPr>
            <w:rStyle w:val="Hyperlink"/>
            <w:sz w:val="18"/>
            <w:szCs w:val="18"/>
          </w:rPr>
          <w:t>https://ec.europa.eu/info/research-and-innovation/strategy/goals-research-and-innovation-policy/innovation-union_en</w:t>
        </w:r>
      </w:hyperlink>
      <w:r w:rsidRPr="008A7806">
        <w:rPr>
          <w:sz w:val="18"/>
          <w:szCs w:val="18"/>
        </w:rPr>
        <w:t xml:space="preserve"> </w:t>
      </w:r>
    </w:p>
  </w:footnote>
  <w:footnote w:id="73">
    <w:p w14:paraId="29C67C62" w14:textId="00DAD12D" w:rsidR="00DF2591" w:rsidRPr="008A7806" w:rsidRDefault="00DF2591" w:rsidP="009519B8">
      <w:pPr>
        <w:pStyle w:val="FootnoteText"/>
        <w:rPr>
          <w:sz w:val="18"/>
          <w:szCs w:val="18"/>
        </w:rPr>
      </w:pPr>
      <w:r w:rsidRPr="008A7806">
        <w:rPr>
          <w:rStyle w:val="FootnoteReference"/>
          <w:sz w:val="18"/>
          <w:szCs w:val="18"/>
        </w:rPr>
        <w:footnoteRef/>
      </w:r>
      <w:r>
        <w:rPr>
          <w:sz w:val="18"/>
          <w:szCs w:val="18"/>
        </w:rPr>
        <w:t xml:space="preserve"> </w:t>
      </w:r>
      <w:hyperlink r:id="rId58" w:history="1">
        <w:r w:rsidRPr="003133E7">
          <w:rPr>
            <w:rStyle w:val="Hyperlink"/>
            <w:sz w:val="18"/>
            <w:szCs w:val="18"/>
          </w:rPr>
          <w:t>https://ec.europa.eu/research/iscp/pdf/policy/com_2012_497_communication_from_commission_to_inst_en.pdf</w:t>
        </w:r>
      </w:hyperlink>
    </w:p>
  </w:footnote>
  <w:footnote w:id="74">
    <w:p w14:paraId="3E9E9152" w14:textId="77777777" w:rsidR="00DF2591" w:rsidRPr="008A7806" w:rsidRDefault="00DF2591" w:rsidP="009519B8">
      <w:pPr>
        <w:pStyle w:val="FootnoteText"/>
        <w:rPr>
          <w:sz w:val="18"/>
          <w:szCs w:val="18"/>
        </w:rPr>
      </w:pPr>
      <w:r w:rsidRPr="008A7806">
        <w:rPr>
          <w:rStyle w:val="FootnoteReference"/>
          <w:sz w:val="18"/>
          <w:szCs w:val="18"/>
        </w:rPr>
        <w:footnoteRef/>
      </w:r>
      <w:r w:rsidRPr="008A7806">
        <w:rPr>
          <w:sz w:val="18"/>
          <w:szCs w:val="18"/>
        </w:rPr>
        <w:t xml:space="preserve"> </w:t>
      </w:r>
      <w:hyperlink r:id="rId59" w:history="1">
        <w:r w:rsidRPr="008A7806">
          <w:rPr>
            <w:rStyle w:val="Hyperlink"/>
            <w:sz w:val="18"/>
            <w:szCs w:val="18"/>
          </w:rPr>
          <w:t>http://mission-innovation.net/our-work/innovation-challenges/renewable-and-clean-hydrogen/</w:t>
        </w:r>
      </w:hyperlink>
      <w:r w:rsidRPr="008A7806">
        <w:rPr>
          <w:sz w:val="18"/>
          <w:szCs w:val="18"/>
        </w:rPr>
        <w:t xml:space="preserve"> </w:t>
      </w:r>
    </w:p>
  </w:footnote>
  <w:footnote w:id="75">
    <w:p w14:paraId="2CA8D844" w14:textId="77777777" w:rsidR="00DF2591" w:rsidRPr="00031C08" w:rsidRDefault="00DF2591" w:rsidP="003D36A5">
      <w:pPr>
        <w:pStyle w:val="FootnoteText"/>
      </w:pPr>
      <w:r>
        <w:rPr>
          <w:rStyle w:val="FootnoteReference"/>
        </w:rPr>
        <w:footnoteRef/>
      </w:r>
      <w:r>
        <w:t xml:space="preserve"> </w:t>
      </w:r>
      <w:hyperlink r:id="rId60" w:history="1">
        <w:r w:rsidRPr="003C628C">
          <w:rPr>
            <w:rStyle w:val="Hyperlink"/>
          </w:rPr>
          <w:t>https://www.fch.europa.eu/page/mission-innovation-hydrogen-valleys-platform</w:t>
        </w:r>
      </w:hyperlink>
      <w:r>
        <w:t xml:space="preserve"> </w:t>
      </w:r>
    </w:p>
  </w:footnote>
  <w:footnote w:id="76">
    <w:p w14:paraId="36C433A8" w14:textId="7AE75BDA" w:rsidR="00DF2591" w:rsidRPr="008158D2" w:rsidRDefault="00DF2591" w:rsidP="009519B8">
      <w:pPr>
        <w:pStyle w:val="FootnoteText"/>
      </w:pPr>
      <w:r>
        <w:rPr>
          <w:rStyle w:val="FootnoteReference"/>
        </w:rPr>
        <w:footnoteRef/>
      </w:r>
      <w:r>
        <w:t xml:space="preserve"> </w:t>
      </w:r>
      <w:r w:rsidRPr="008158D2">
        <w:t xml:space="preserve">The JU hosted a Task 41 Definition Meeting </w:t>
      </w:r>
      <w:r>
        <w:t>(</w:t>
      </w:r>
      <w:r w:rsidRPr="008158D2">
        <w:t>Data and Mode</w:t>
      </w:r>
      <w:r>
        <w:t>l</w:t>
      </w:r>
      <w:r w:rsidRPr="008158D2">
        <w:t>ling</w:t>
      </w:r>
      <w:r>
        <w:t>)</w:t>
      </w:r>
      <w:r w:rsidRPr="008158D2">
        <w:t xml:space="preserve"> on 29 August 2019 in Brussels, Belgium. Topics of discussion included how to model </w:t>
      </w:r>
      <w:r>
        <w:t>h</w:t>
      </w:r>
      <w:r w:rsidRPr="008158D2">
        <w:t>ydrogen in the value chain and improve current methods, experiences from other tasks</w:t>
      </w:r>
      <w:r>
        <w:t>,</w:t>
      </w:r>
      <w:r w:rsidRPr="008158D2">
        <w:t xml:space="preserve"> and data consolidation of parameters describing </w:t>
      </w:r>
      <w:r>
        <w:t>h</w:t>
      </w:r>
      <w:r w:rsidRPr="008158D2">
        <w:t>ydrogen technologies.</w:t>
      </w:r>
    </w:p>
  </w:footnote>
  <w:footnote w:id="77">
    <w:p w14:paraId="3D6E3AA4" w14:textId="77777777" w:rsidR="00196C2E" w:rsidRDefault="00196C2E" w:rsidP="00196C2E">
      <w:pPr>
        <w:pStyle w:val="FootnoteText"/>
      </w:pPr>
      <w:r>
        <w:rPr>
          <w:rStyle w:val="FootnoteReference"/>
        </w:rPr>
        <w:footnoteRef/>
      </w:r>
      <w:r>
        <w:t xml:space="preserve"> March 2022. </w:t>
      </w:r>
    </w:p>
  </w:footnote>
  <w:footnote w:id="78">
    <w:p w14:paraId="48CC83B0" w14:textId="77B8861C" w:rsidR="00196C2E" w:rsidRDefault="00196C2E" w:rsidP="00196C2E">
      <w:pPr>
        <w:pStyle w:val="FootnoteText"/>
        <w:jc w:val="left"/>
      </w:pPr>
      <w:r>
        <w:rPr>
          <w:rStyle w:val="FootnoteReference"/>
        </w:rPr>
        <w:footnoteRef/>
      </w:r>
      <w:r>
        <w:t xml:space="preserve"> </w:t>
      </w:r>
      <w:r w:rsidR="005D5FE6">
        <w:t xml:space="preserve">Draft Report </w:t>
      </w:r>
      <w:r w:rsidR="005D5FE6" w:rsidRPr="00777C28">
        <w:t>2021/2153(</w:t>
      </w:r>
      <w:proofErr w:type="gramStart"/>
      <w:r w:rsidR="005D5FE6" w:rsidRPr="00777C28">
        <w:t>DEC</w:t>
      </w:r>
      <w:r w:rsidR="005D5FE6">
        <w:t xml:space="preserve"> )</w:t>
      </w:r>
      <w:proofErr w:type="gramEnd"/>
      <w:r w:rsidR="005D5FE6">
        <w:t xml:space="preserve"> </w:t>
      </w:r>
      <w:r>
        <w:t xml:space="preserve">available at:  </w:t>
      </w:r>
      <w:hyperlink r:id="rId61" w:history="1">
        <w:r w:rsidRPr="00F66C99">
          <w:rPr>
            <w:rStyle w:val="Hyperlink"/>
          </w:rPr>
          <w:t>https://www.europarl.europa.eu/doceo/document/CONT-PR-698996_EN.pdf</w:t>
        </w:r>
      </w:hyperlink>
      <w:r>
        <w:t xml:space="preserve"> </w:t>
      </w:r>
    </w:p>
  </w:footnote>
  <w:footnote w:id="79">
    <w:p w14:paraId="68E4D62B" w14:textId="77777777" w:rsidR="00196C2E" w:rsidRPr="001D52D8" w:rsidRDefault="00196C2E" w:rsidP="00196C2E">
      <w:pPr>
        <w:pStyle w:val="FootnoteText"/>
      </w:pPr>
      <w:r>
        <w:rPr>
          <w:rStyle w:val="FootnoteReference"/>
        </w:rPr>
        <w:footnoteRef/>
      </w:r>
      <w:r>
        <w:t xml:space="preserve"> March 2022. </w:t>
      </w:r>
    </w:p>
  </w:footnote>
  <w:footnote w:id="80">
    <w:p w14:paraId="2A1B6F64" w14:textId="77777777" w:rsidR="00777C28" w:rsidRDefault="00777C28" w:rsidP="00777C28">
      <w:pPr>
        <w:pStyle w:val="FootnoteText"/>
        <w:jc w:val="left"/>
      </w:pPr>
      <w:r>
        <w:rPr>
          <w:rStyle w:val="FootnoteReference"/>
        </w:rPr>
        <w:footnoteRef/>
      </w:r>
      <w:r>
        <w:t xml:space="preserve"> Draft Report </w:t>
      </w:r>
      <w:r w:rsidRPr="0067484E">
        <w:t>2021/2153(</w:t>
      </w:r>
      <w:proofErr w:type="gramStart"/>
      <w:r w:rsidRPr="0067484E">
        <w:t>DEC</w:t>
      </w:r>
      <w:r>
        <w:t xml:space="preserve"> )</w:t>
      </w:r>
      <w:proofErr w:type="gramEnd"/>
      <w:r>
        <w:t xml:space="preserve"> available at:  </w:t>
      </w:r>
      <w:hyperlink r:id="rId62" w:history="1">
        <w:r w:rsidRPr="00F66C99">
          <w:rPr>
            <w:rStyle w:val="Hyperlink"/>
          </w:rPr>
          <w:t>https://www.europarl.europa.eu/doceo/document/CONT-PR-698996_EN.pdf</w:t>
        </w:r>
      </w:hyperlink>
      <w:r>
        <w:t xml:space="preserve"> </w:t>
      </w:r>
    </w:p>
  </w:footnote>
  <w:footnote w:id="81">
    <w:p w14:paraId="4AE62C3F" w14:textId="77777777" w:rsidR="00196C2E" w:rsidRDefault="00196C2E" w:rsidP="00196C2E">
      <w:pPr>
        <w:pStyle w:val="FootnoteText"/>
      </w:pPr>
      <w:r>
        <w:rPr>
          <w:rStyle w:val="FootnoteReference"/>
        </w:rPr>
        <w:footnoteRef/>
      </w:r>
      <w:r>
        <w:t xml:space="preserve"> March 2022</w:t>
      </w:r>
    </w:p>
  </w:footnote>
  <w:footnote w:id="82">
    <w:p w14:paraId="29CCFD43" w14:textId="77777777" w:rsidR="00777C28" w:rsidRDefault="00777C28" w:rsidP="00777C28">
      <w:pPr>
        <w:pStyle w:val="FootnoteText"/>
        <w:jc w:val="left"/>
      </w:pPr>
      <w:r>
        <w:rPr>
          <w:rStyle w:val="FootnoteReference"/>
        </w:rPr>
        <w:footnoteRef/>
      </w:r>
      <w:r>
        <w:t xml:space="preserve"> Draft Report </w:t>
      </w:r>
      <w:r w:rsidRPr="0067484E">
        <w:t>2021/2153(</w:t>
      </w:r>
      <w:proofErr w:type="gramStart"/>
      <w:r w:rsidRPr="0067484E">
        <w:t>DEC</w:t>
      </w:r>
      <w:r>
        <w:t xml:space="preserve"> )</w:t>
      </w:r>
      <w:proofErr w:type="gramEnd"/>
      <w:r>
        <w:t xml:space="preserve"> available at:  </w:t>
      </w:r>
      <w:hyperlink r:id="rId63" w:history="1">
        <w:r w:rsidRPr="00F66C99">
          <w:rPr>
            <w:rStyle w:val="Hyperlink"/>
          </w:rPr>
          <w:t>https://www.europarl.europa.eu/doceo/document/CONT-PR-698996_EN.pdf</w:t>
        </w:r>
      </w:hyperlink>
      <w:r>
        <w:t xml:space="preserve"> </w:t>
      </w:r>
    </w:p>
  </w:footnote>
  <w:footnote w:id="83">
    <w:p w14:paraId="67D283FF" w14:textId="77777777" w:rsidR="00DF2591" w:rsidRDefault="00DF2591" w:rsidP="00D125E0">
      <w:pPr>
        <w:pStyle w:val="FootnoteText"/>
      </w:pPr>
      <w:r>
        <w:rPr>
          <w:rStyle w:val="FootnoteReference"/>
        </w:rPr>
        <w:footnoteRef/>
      </w:r>
      <w:r>
        <w:t xml:space="preserve"> </w:t>
      </w:r>
      <w:hyperlink r:id="rId64" w:history="1">
        <w:r w:rsidRPr="00FB1AB3">
          <w:rPr>
            <w:rStyle w:val="Hyperlink"/>
            <w:sz w:val="18"/>
            <w:szCs w:val="18"/>
          </w:rPr>
          <w:t>https://ec.europa.eu/research/participants/data/ref/h2020/other/mga/jtis/h2020-mga-fch_en.pdf</w:t>
        </w:r>
      </w:hyperlink>
    </w:p>
  </w:footnote>
  <w:footnote w:id="84">
    <w:p w14:paraId="121ECDD8" w14:textId="77777777" w:rsidR="00DF2591" w:rsidRDefault="00DF2591" w:rsidP="00D125E0">
      <w:pPr>
        <w:pStyle w:val="FootnoteText"/>
      </w:pPr>
      <w:r>
        <w:rPr>
          <w:rStyle w:val="FootnoteReference"/>
        </w:rPr>
        <w:footnoteRef/>
      </w:r>
      <w:r>
        <w:t xml:space="preserve"> </w:t>
      </w:r>
      <w:r w:rsidRPr="00812E67">
        <w:t>https://webgate.ec.europa.eu/fpfis/wikis/pages/viewpage.action?pageId=738755339&amp;preview=/738755339/741311561/Dissemination_and_exploitation_strategy_Horizon_Europe%20_%20Endorsed_Nov2020.pdf</w:t>
      </w:r>
    </w:p>
  </w:footnote>
  <w:footnote w:id="85">
    <w:p w14:paraId="42CB82C7" w14:textId="77777777" w:rsidR="00DF2591" w:rsidRDefault="00DF2591" w:rsidP="00D125E0">
      <w:pPr>
        <w:pStyle w:val="FootnoteText"/>
      </w:pPr>
      <w:r>
        <w:rPr>
          <w:rStyle w:val="FootnoteReference"/>
        </w:rPr>
        <w:footnoteRef/>
      </w:r>
      <w:r>
        <w:t xml:space="preserve"> </w:t>
      </w:r>
      <w:r w:rsidRPr="00BA5E44">
        <w:t>https://ec.europa.eu/info/funding-tenders/opportunities/portal/screen/opportunities/horizon-results-platform</w:t>
      </w:r>
    </w:p>
  </w:footnote>
  <w:footnote w:id="86">
    <w:p w14:paraId="1464E5AF" w14:textId="77777777" w:rsidR="00DF2591" w:rsidRDefault="00DF2591" w:rsidP="00D125E0">
      <w:pPr>
        <w:pStyle w:val="FootnoteText"/>
      </w:pPr>
      <w:r>
        <w:rPr>
          <w:rStyle w:val="FootnoteReference"/>
        </w:rPr>
        <w:footnoteRef/>
      </w:r>
      <w:r>
        <w:t xml:space="preserve"> </w:t>
      </w:r>
      <w:r w:rsidRPr="001A485F">
        <w:t xml:space="preserve">Furthermore, a new service, the </w:t>
      </w:r>
      <w:hyperlink r:id="rId65" w:history="1">
        <w:r w:rsidRPr="001A485F">
          <w:rPr>
            <w:rStyle w:val="Hyperlink"/>
          </w:rPr>
          <w:t>Dealflow.eu</w:t>
        </w:r>
      </w:hyperlink>
      <w:r w:rsidRPr="001A485F">
        <w:rPr>
          <w:vertAlign w:val="superscript"/>
        </w:rPr>
        <w:footnoteRef/>
      </w:r>
      <w:r w:rsidRPr="001A485F">
        <w:t>, is available to support the innovations/innovators in further exploitating their results, especially in commercializing their innovations (“go-to-Market”), by facilitating access to clients and investors and providing high-end coaching services (e.g. venture-building, preperation for fundraising, networking, pitching to possible investors, etc).</w:t>
      </w:r>
    </w:p>
  </w:footnote>
  <w:footnote w:id="87">
    <w:p w14:paraId="4F93CB14" w14:textId="18BBADD0" w:rsidR="00DF2591" w:rsidRPr="00957A99" w:rsidRDefault="00DF2591" w:rsidP="00B37CC0">
      <w:pPr>
        <w:pStyle w:val="FootnoteText"/>
      </w:pPr>
      <w:r w:rsidRPr="00957A99">
        <w:rPr>
          <w:rStyle w:val="FootnoteReference"/>
        </w:rPr>
        <w:footnoteRef/>
      </w:r>
      <w:r w:rsidRPr="00957A99">
        <w:t xml:space="preserve"> This legal framework was complemented by a methodology for both IKOP and IKAA agreed by the JU GB on 18 November 2015 and 9 December 2016, respectively.</w:t>
      </w:r>
    </w:p>
  </w:footnote>
  <w:footnote w:id="88">
    <w:p w14:paraId="6FDE2F57" w14:textId="77777777" w:rsidR="0088624C" w:rsidRPr="0048503B" w:rsidRDefault="0088624C" w:rsidP="0088624C">
      <w:pPr>
        <w:pStyle w:val="FootnoteText"/>
      </w:pPr>
      <w:r>
        <w:rPr>
          <w:rStyle w:val="FootnoteReference"/>
        </w:rPr>
        <w:footnoteRef/>
      </w:r>
      <w:r>
        <w:t xml:space="preserve"> Calculated as follows: for closed projects based on amount finally paid, for ongoing projects based on the committed amount and for finished projects for which final payment is not made until 31/12/2021 but cost claim received, based on the amounts paid in previous periods + amount received but not yet validated</w:t>
      </w:r>
    </w:p>
  </w:footnote>
  <w:footnote w:id="89">
    <w:p w14:paraId="39CB073B" w14:textId="77777777" w:rsidR="0088624C" w:rsidRPr="005B144E" w:rsidRDefault="0088624C" w:rsidP="0088624C">
      <w:pPr>
        <w:pStyle w:val="FootnoteText"/>
      </w:pPr>
      <w:r w:rsidRPr="00957A99">
        <w:rPr>
          <w:rStyle w:val="FootnoteReference"/>
        </w:rPr>
        <w:footnoteRef/>
      </w:r>
      <w:proofErr w:type="gramStart"/>
      <w:r w:rsidRPr="005B144E">
        <w:t>SWD(</w:t>
      </w:r>
      <w:proofErr w:type="gramEnd"/>
      <w:r w:rsidRPr="005B144E">
        <w:t>2017) 338 final, COMMISSION STAFF WORKING DOCUMENT</w:t>
      </w:r>
      <w:r>
        <w:t xml:space="preserve">, </w:t>
      </w:r>
      <w:r w:rsidRPr="005B144E">
        <w:t>INTERIM EVALUATION</w:t>
      </w:r>
      <w:r>
        <w:t xml:space="preserve"> </w:t>
      </w:r>
      <w:r w:rsidRPr="005B144E">
        <w:t>of the</w:t>
      </w:r>
      <w:r>
        <w:t xml:space="preserve"> </w:t>
      </w:r>
      <w:r w:rsidRPr="005B144E">
        <w:t>Joint Undertakings operating under Horizon 2020, page 44, Table 12.</w:t>
      </w:r>
    </w:p>
  </w:footnote>
  <w:footnote w:id="90">
    <w:p w14:paraId="627CC3CA" w14:textId="7D27077F" w:rsidR="00BB6E0C" w:rsidRPr="00BB6E0C" w:rsidRDefault="00BB6E0C">
      <w:pPr>
        <w:pStyle w:val="FootnoteText"/>
      </w:pPr>
      <w:r>
        <w:rPr>
          <w:rStyle w:val="FootnoteReference"/>
        </w:rPr>
        <w:footnoteRef/>
      </w:r>
      <w:r>
        <w:t xml:space="preserve"> Impression</w:t>
      </w:r>
      <w:r w:rsidR="00EF0E5C">
        <w:t xml:space="preserve">s are defined by the total number of </w:t>
      </w:r>
      <w:r w:rsidR="00003DE6">
        <w:t>times social media browsers have showed the content</w:t>
      </w:r>
      <w:r w:rsidR="00987A9B">
        <w:t>; impressions count exposure</w:t>
      </w:r>
      <w:r w:rsidR="00813127">
        <w:t>.</w:t>
      </w:r>
    </w:p>
  </w:footnote>
  <w:footnote w:id="91">
    <w:p w14:paraId="2E8F7AC3" w14:textId="5D578C85" w:rsidR="00987A9B" w:rsidRPr="00987A9B" w:rsidRDefault="00987A9B">
      <w:pPr>
        <w:pStyle w:val="FootnoteText"/>
      </w:pPr>
      <w:r>
        <w:rPr>
          <w:rStyle w:val="FootnoteReference"/>
        </w:rPr>
        <w:footnoteRef/>
      </w:r>
      <w:r>
        <w:t xml:space="preserve"> Reach, as performance indicator, refers to the number of users who choose to see the social media content and engage with it using ‘likes’, ‘comments’, or ‘</w:t>
      </w:r>
      <w:proofErr w:type="gramStart"/>
      <w:r>
        <w:t>shares’</w:t>
      </w:r>
      <w:proofErr w:type="gramEnd"/>
      <w:r w:rsidR="00813127">
        <w:t>.</w:t>
      </w:r>
    </w:p>
  </w:footnote>
  <w:footnote w:id="92">
    <w:p w14:paraId="225BABB0" w14:textId="22AD164F" w:rsidR="008005FC" w:rsidRDefault="008005FC">
      <w:pPr>
        <w:pStyle w:val="FootnoteText"/>
      </w:pPr>
      <w:r>
        <w:rPr>
          <w:rStyle w:val="FootnoteReference"/>
        </w:rPr>
        <w:footnoteRef/>
      </w:r>
      <w:r>
        <w:t xml:space="preserve"> </w:t>
      </w:r>
      <w:r w:rsidRPr="008005FC">
        <w:t>https://www.clean-hydrogen.europa.eu/get-involved/mission-innovation-hydrogen-valleys-platform_en</w:t>
      </w:r>
    </w:p>
  </w:footnote>
  <w:footnote w:id="93">
    <w:p w14:paraId="079A959F" w14:textId="0C6A8DBB" w:rsidR="008005FC" w:rsidRDefault="008005FC">
      <w:pPr>
        <w:pStyle w:val="FootnoteText"/>
      </w:pPr>
      <w:r>
        <w:rPr>
          <w:rStyle w:val="FootnoteReference"/>
        </w:rPr>
        <w:footnoteRef/>
      </w:r>
      <w:r>
        <w:t xml:space="preserve"> </w:t>
      </w:r>
      <w:r w:rsidRPr="008005FC">
        <w:t>https://www.clean-hydrogen.europa.eu/media/news/webinar-hydrogen-certification-2021-05-04_en</w:t>
      </w:r>
    </w:p>
  </w:footnote>
  <w:footnote w:id="94">
    <w:p w14:paraId="0F8767E0" w14:textId="5632F989" w:rsidR="008005FC" w:rsidRDefault="008005FC">
      <w:pPr>
        <w:pStyle w:val="FootnoteText"/>
      </w:pPr>
      <w:r>
        <w:rPr>
          <w:rStyle w:val="FootnoteReference"/>
        </w:rPr>
        <w:footnoteRef/>
      </w:r>
      <w:r>
        <w:t xml:space="preserve"> </w:t>
      </w:r>
      <w:hyperlink r:id="rId66" w:history="1">
        <w:r w:rsidRPr="008005FC">
          <w:rPr>
            <w:rStyle w:val="Hyperlink"/>
          </w:rPr>
          <w:t>https://www.clean-hydrogen.europa.eu/media/news/review-anion-exchange-membrane-electrolysers-webinar-2021-07-07_en</w:t>
        </w:r>
      </w:hyperlink>
    </w:p>
    <w:p w14:paraId="506BBCB8" w14:textId="77777777" w:rsidR="008005FC" w:rsidRDefault="008005FC">
      <w:pPr>
        <w:pStyle w:val="FootnoteText"/>
      </w:pPr>
    </w:p>
  </w:footnote>
  <w:footnote w:id="95">
    <w:p w14:paraId="05284672" w14:textId="7487720A" w:rsidR="008005FC" w:rsidRDefault="008005FC">
      <w:pPr>
        <w:pStyle w:val="FootnoteText"/>
      </w:pPr>
      <w:r>
        <w:rPr>
          <w:rStyle w:val="FootnoteReference"/>
        </w:rPr>
        <w:footnoteRef/>
      </w:r>
      <w:r>
        <w:t xml:space="preserve"> </w:t>
      </w:r>
      <w:r w:rsidRPr="008005FC">
        <w:t>https://www.clean-hydrogen.europa.eu/media/events/webinar-results-fch-jus-project-development-assistance-pda-regions_en</w:t>
      </w:r>
    </w:p>
  </w:footnote>
  <w:footnote w:id="96">
    <w:p w14:paraId="1AA5014C" w14:textId="3E4B53AF" w:rsidR="008005FC" w:rsidRDefault="008005FC">
      <w:pPr>
        <w:pStyle w:val="FootnoteText"/>
      </w:pPr>
      <w:r>
        <w:rPr>
          <w:rStyle w:val="FootnoteReference"/>
        </w:rPr>
        <w:footnoteRef/>
      </w:r>
      <w:r>
        <w:t xml:space="preserve"> </w:t>
      </w:r>
      <w:r w:rsidRPr="008005FC">
        <w:t>https://www.green-industrial-hydrogen.com/news-detail/fch-ju-meets-grinhy20-in-salzgitter</w:t>
      </w:r>
    </w:p>
  </w:footnote>
  <w:footnote w:id="97">
    <w:p w14:paraId="2248B3F3" w14:textId="2D5E5706" w:rsidR="008005FC" w:rsidRDefault="008005FC">
      <w:pPr>
        <w:pStyle w:val="FootnoteText"/>
      </w:pPr>
      <w:r>
        <w:rPr>
          <w:rStyle w:val="FootnoteReference"/>
        </w:rPr>
        <w:footnoteRef/>
      </w:r>
      <w:r>
        <w:t xml:space="preserve"> </w:t>
      </w:r>
      <w:r w:rsidRPr="008005FC">
        <w:t>https://www.clean-hydrogen.europa.eu/media/news/inauguration-europes-largest-pem-electrolysis-plant-refhyne-project-2021-07-02-0_en</w:t>
      </w:r>
    </w:p>
  </w:footnote>
  <w:footnote w:id="98">
    <w:p w14:paraId="7340E77B" w14:textId="3E395858" w:rsidR="00090DC4" w:rsidRPr="00B33680" w:rsidRDefault="00090DC4">
      <w:pPr>
        <w:pStyle w:val="FootnoteText"/>
      </w:pPr>
      <w:r>
        <w:rPr>
          <w:rStyle w:val="FootnoteReference"/>
        </w:rPr>
        <w:footnoteRef/>
      </w:r>
      <w:r>
        <w:t xml:space="preserve"> </w:t>
      </w:r>
      <w:hyperlink r:id="rId67" w:history="1">
        <w:r w:rsidRPr="00273316">
          <w:rPr>
            <w:rStyle w:val="Hyperlink"/>
          </w:rPr>
          <w:t>https://eusew.eu/extended-programme-sessions/hydrogen-and-its-potential-decarbonize-industrial-hubs-through-ports</w:t>
        </w:r>
      </w:hyperlink>
      <w:r>
        <w:t xml:space="preserve"> </w:t>
      </w:r>
    </w:p>
  </w:footnote>
  <w:footnote w:id="99">
    <w:p w14:paraId="3CF95248" w14:textId="7120F33C" w:rsidR="00090DC4" w:rsidRPr="00B33680" w:rsidRDefault="00090DC4">
      <w:pPr>
        <w:pStyle w:val="FootnoteText"/>
      </w:pPr>
      <w:r>
        <w:rPr>
          <w:rStyle w:val="FootnoteReference"/>
        </w:rPr>
        <w:footnoteRef/>
      </w:r>
      <w:r>
        <w:t xml:space="preserve"> </w:t>
      </w:r>
      <w:hyperlink r:id="rId68" w:history="1">
        <w:r w:rsidRPr="00273316">
          <w:rPr>
            <w:rStyle w:val="Hyperlink"/>
          </w:rPr>
          <w:t>https://eusew.eu/extended-programme-sessions/clean-steel-hydrogen</w:t>
        </w:r>
      </w:hyperlink>
      <w:r>
        <w:t xml:space="preserve"> </w:t>
      </w:r>
    </w:p>
  </w:footnote>
  <w:footnote w:id="100">
    <w:p w14:paraId="50CAE82F" w14:textId="19652793" w:rsidR="00825D61" w:rsidRPr="00B33680" w:rsidRDefault="00825D61">
      <w:pPr>
        <w:pStyle w:val="FootnoteText"/>
      </w:pPr>
      <w:r>
        <w:rPr>
          <w:rStyle w:val="FootnoteReference"/>
        </w:rPr>
        <w:footnoteRef/>
      </w:r>
      <w:r>
        <w:t xml:space="preserve"> </w:t>
      </w:r>
      <w:hyperlink r:id="rId69" w:history="1">
        <w:r w:rsidRPr="00273316">
          <w:rPr>
            <w:rStyle w:val="Hyperlink"/>
          </w:rPr>
          <w:t>https://eusew.eu/programme-sessions/key-role-european-regions-kick-starting-and-advancing-clean-hydrogen</w:t>
        </w:r>
      </w:hyperlink>
      <w:r>
        <w:t xml:space="preserve"> </w:t>
      </w:r>
    </w:p>
  </w:footnote>
  <w:footnote w:id="101">
    <w:p w14:paraId="348A00D3" w14:textId="6306D84B" w:rsidR="002729B9" w:rsidRPr="002729B9" w:rsidRDefault="002729B9">
      <w:pPr>
        <w:pStyle w:val="FootnoteText"/>
      </w:pPr>
      <w:r>
        <w:rPr>
          <w:rStyle w:val="FootnoteReference"/>
        </w:rPr>
        <w:footnoteRef/>
      </w:r>
      <w:r>
        <w:t xml:space="preserve"> </w:t>
      </w:r>
      <w:hyperlink r:id="rId70" w:history="1">
        <w:r w:rsidRPr="00273316">
          <w:rPr>
            <w:rStyle w:val="Hyperlink"/>
          </w:rPr>
          <w:t>https://eu.app.swapcard.com/event/eu-regions-week/planning/UGxhbm5pbmdfNjMxMzA3</w:t>
        </w:r>
      </w:hyperlink>
      <w:r>
        <w:t xml:space="preserve"> </w:t>
      </w:r>
    </w:p>
  </w:footnote>
  <w:footnote w:id="102">
    <w:p w14:paraId="3B50E063" w14:textId="2B139157" w:rsidR="002729B9" w:rsidRPr="002729B9" w:rsidRDefault="002729B9">
      <w:pPr>
        <w:pStyle w:val="FootnoteText"/>
      </w:pPr>
      <w:r>
        <w:rPr>
          <w:rStyle w:val="FootnoteReference"/>
        </w:rPr>
        <w:footnoteRef/>
      </w:r>
      <w:r>
        <w:t xml:space="preserve"> </w:t>
      </w:r>
      <w:hyperlink r:id="rId71" w:history="1">
        <w:r w:rsidRPr="00273316">
          <w:rPr>
            <w:rStyle w:val="Hyperlink"/>
          </w:rPr>
          <w:t>https://events.climateaction.org/2021/sustainable-innovation-forum/</w:t>
        </w:r>
      </w:hyperlink>
      <w:r>
        <w:t xml:space="preserve"> </w:t>
      </w:r>
    </w:p>
  </w:footnote>
  <w:footnote w:id="103">
    <w:p w14:paraId="131EBF64" w14:textId="389586B5" w:rsidR="002729B9" w:rsidRPr="002729B9" w:rsidRDefault="002729B9">
      <w:pPr>
        <w:pStyle w:val="FootnoteText"/>
      </w:pPr>
      <w:r>
        <w:rPr>
          <w:rStyle w:val="FootnoteReference"/>
        </w:rPr>
        <w:footnoteRef/>
      </w:r>
      <w:r>
        <w:t xml:space="preserve"> </w:t>
      </w:r>
      <w:hyperlink r:id="rId72" w:history="1">
        <w:r w:rsidRPr="00273316">
          <w:rPr>
            <w:rStyle w:val="Hyperlink"/>
          </w:rPr>
          <w:t>https://eu-green-deal-2020-research.eugcc-cleanergy.net/About.html</w:t>
        </w:r>
      </w:hyperlink>
      <w:r>
        <w:t xml:space="preserve"> </w:t>
      </w:r>
    </w:p>
  </w:footnote>
  <w:footnote w:id="104">
    <w:p w14:paraId="3A2DD5C0" w14:textId="3BC1A952" w:rsidR="00886492" w:rsidRPr="00886492" w:rsidRDefault="00886492">
      <w:pPr>
        <w:pStyle w:val="FootnoteText"/>
      </w:pPr>
      <w:r>
        <w:rPr>
          <w:rStyle w:val="FootnoteReference"/>
        </w:rPr>
        <w:footnoteRef/>
      </w:r>
      <w:r>
        <w:t xml:space="preserve"> </w:t>
      </w:r>
      <w:hyperlink r:id="rId73" w:history="1">
        <w:r w:rsidRPr="00273316">
          <w:rPr>
            <w:rStyle w:val="Hyperlink"/>
          </w:rPr>
          <w:t>https://setplan2021.eu/sideevents/fuel-cells-and-hydrogen-joint-undertaking-and-ecubes/</w:t>
        </w:r>
      </w:hyperlink>
      <w:r>
        <w:t xml:space="preserve"> </w:t>
      </w:r>
    </w:p>
  </w:footnote>
  <w:footnote w:id="105">
    <w:p w14:paraId="0530FB13" w14:textId="2012A222" w:rsidR="00886492" w:rsidRPr="00886492" w:rsidRDefault="00886492">
      <w:pPr>
        <w:pStyle w:val="FootnoteText"/>
      </w:pPr>
      <w:r>
        <w:rPr>
          <w:rStyle w:val="FootnoteReference"/>
        </w:rPr>
        <w:footnoteRef/>
      </w:r>
      <w:r>
        <w:t xml:space="preserve"> </w:t>
      </w:r>
      <w:hyperlink r:id="rId74" w:history="1">
        <w:r w:rsidRPr="00273316">
          <w:rPr>
            <w:rStyle w:val="Hyperlink"/>
          </w:rPr>
          <w:t>https://www.2021portugal.eu/en/events/high-level-conference-on-hydrogen-hydrogen-in-society-bridging-the-gaps/</w:t>
        </w:r>
      </w:hyperlink>
      <w:r>
        <w:t xml:space="preserve"> </w:t>
      </w:r>
    </w:p>
  </w:footnote>
  <w:footnote w:id="106">
    <w:p w14:paraId="3D57C851" w14:textId="77777777" w:rsidR="00DF2591" w:rsidRPr="00EC4D1F" w:rsidRDefault="00DF2591" w:rsidP="00147608">
      <w:pPr>
        <w:pStyle w:val="FootnoteText"/>
        <w:rPr>
          <w:lang w:val="es-ES"/>
        </w:rPr>
      </w:pPr>
      <w:r>
        <w:rPr>
          <w:rStyle w:val="FootnoteReference"/>
        </w:rPr>
        <w:footnoteRef/>
      </w:r>
      <w:r>
        <w:t xml:space="preserve"> Regulation (EU) 2018/1725 of the European Parliament and of the Council of 23 October 2018 on the protection of natural persons with regard to the processing of personal data by the Union institutions, bodies, offices and agencies and on the free movement of such </w:t>
      </w:r>
      <w:proofErr w:type="gramStart"/>
      <w:r>
        <w:t>data, and</w:t>
      </w:r>
      <w:proofErr w:type="gramEnd"/>
      <w:r>
        <w:t xml:space="preserve"> repealing Regulation (EC) No 45/2001 and Decision No 1247/2002/EC (Text with EEA relevance.). </w:t>
      </w:r>
      <w:r w:rsidRPr="00EC4D1F">
        <w:rPr>
          <w:lang w:val="es-ES"/>
        </w:rPr>
        <w:t>OJ L 295, 21.11.2018, p. 39–98</w:t>
      </w:r>
    </w:p>
  </w:footnote>
  <w:footnote w:id="107">
    <w:p w14:paraId="7738FB47" w14:textId="77777777" w:rsidR="00DF2591" w:rsidRPr="009C6592" w:rsidRDefault="00DF2591" w:rsidP="009C6592">
      <w:pPr>
        <w:pStyle w:val="FootnoteText"/>
        <w:rPr>
          <w:lang w:val="es-ES"/>
        </w:rPr>
      </w:pPr>
      <w:r>
        <w:rPr>
          <w:rStyle w:val="FootnoteReference"/>
        </w:rPr>
        <w:footnoteRef/>
      </w:r>
      <w:r w:rsidRPr="009C6592">
        <w:rPr>
          <w:lang w:val="es-ES"/>
        </w:rPr>
        <w:t xml:space="preserve"> </w:t>
      </w:r>
      <w:hyperlink r:id="rId75" w:history="1">
        <w:r w:rsidRPr="009C6592">
          <w:rPr>
            <w:rStyle w:val="Hyperlink"/>
            <w:lang w:val="es-ES"/>
          </w:rPr>
          <w:t>https://www.clean-hydrogen.europa.eu/about-us/organisation/stakeholders-group_en</w:t>
        </w:r>
      </w:hyperlink>
      <w:r w:rsidRPr="009C6592">
        <w:rPr>
          <w:lang w:val="es-ES"/>
        </w:rPr>
        <w:t xml:space="preserve"> </w:t>
      </w:r>
    </w:p>
  </w:footnote>
  <w:footnote w:id="108">
    <w:p w14:paraId="37F83C03" w14:textId="77777777" w:rsidR="00DF2591" w:rsidRDefault="00DF2591" w:rsidP="005E2196">
      <w:pPr>
        <w:pStyle w:val="FootnoteText"/>
      </w:pPr>
      <w:r>
        <w:rPr>
          <w:rStyle w:val="FootnoteReference"/>
        </w:rPr>
        <w:footnoteRef/>
      </w:r>
      <w:r>
        <w:t xml:space="preserve"> 62 reports for H2020, and additional 3 reports for the FP7 programme were assessed in total</w:t>
      </w:r>
    </w:p>
  </w:footnote>
  <w:footnote w:id="109">
    <w:p w14:paraId="49231F99" w14:textId="77777777" w:rsidR="00DF2591" w:rsidRDefault="00DF2591" w:rsidP="005E2196">
      <w:pPr>
        <w:pStyle w:val="FootnoteText"/>
      </w:pPr>
      <w:r>
        <w:rPr>
          <w:rStyle w:val="FootnoteReference"/>
        </w:rPr>
        <w:footnoteRef/>
      </w:r>
      <w:r>
        <w:t xml:space="preserve"> Due to COVID-19 restrictions, the meetings were organized online</w:t>
      </w:r>
    </w:p>
  </w:footnote>
  <w:footnote w:id="110">
    <w:p w14:paraId="077C69EC" w14:textId="25BB008D" w:rsidR="00DF2591" w:rsidRDefault="00DF2591" w:rsidP="00755F48">
      <w:pPr>
        <w:pStyle w:val="FootnoteText"/>
      </w:pPr>
      <w:r>
        <w:rPr>
          <w:rStyle w:val="FootnoteReference"/>
        </w:rPr>
        <w:footnoteRef/>
      </w:r>
      <w:r>
        <w:t xml:space="preserve"> Decision reference CleanHydrogen-GB-2021 -03 of the Governing Board of the Clean Hydrogen Joint Undertaking of 17/12/2021 adopting the transfer of decisions of the Fuel Cells and Hydrogen 2 Joint Undertaking’s Governing Board to Clean Hydrogen Joint Undertaking</w:t>
      </w:r>
    </w:p>
  </w:footnote>
  <w:footnote w:id="111">
    <w:p w14:paraId="48E8056E" w14:textId="5CD60A87" w:rsidR="00DF2591" w:rsidRPr="009E2934" w:rsidRDefault="00DF2591">
      <w:pPr>
        <w:pStyle w:val="FootnoteText"/>
        <w:rPr>
          <w:lang w:val="en-US"/>
        </w:rPr>
      </w:pPr>
      <w:r>
        <w:rPr>
          <w:rStyle w:val="FootnoteReference"/>
        </w:rPr>
        <w:footnoteRef/>
      </w:r>
      <w:r>
        <w:t xml:space="preserve"> </w:t>
      </w:r>
      <w:r>
        <w:rPr>
          <w:lang w:val="en-US"/>
        </w:rPr>
        <w:t xml:space="preserve">Average cost of temporary agent used for Legislative Financial Sheets as announced by DG BUDG in November 2021 is EUR 157 000 / year </w:t>
      </w:r>
    </w:p>
  </w:footnote>
  <w:footnote w:id="112">
    <w:p w14:paraId="06CF51C1" w14:textId="446B0D6E" w:rsidR="00DF2591" w:rsidRDefault="00DF2591">
      <w:pPr>
        <w:pStyle w:val="FootnoteText"/>
      </w:pPr>
      <w:r>
        <w:rPr>
          <w:rStyle w:val="FootnoteReference"/>
        </w:rPr>
        <w:footnoteRef/>
      </w:r>
      <w:r>
        <w:t xml:space="preserve"> All validated costs in 2021 for running projects as </w:t>
      </w:r>
      <w:proofErr w:type="gramStart"/>
      <w:r>
        <w:t>at</w:t>
      </w:r>
      <w:proofErr w:type="gramEnd"/>
      <w:r>
        <w:t xml:space="preserve"> 31 December 2021 for all running programs (both FP7 &amp; H2020) were considered</w:t>
      </w:r>
    </w:p>
  </w:footnote>
  <w:footnote w:id="113">
    <w:p w14:paraId="246F1757" w14:textId="77777777" w:rsidR="00DF2591" w:rsidRPr="00957A99" w:rsidRDefault="00DF2591" w:rsidP="00843A1D">
      <w:pPr>
        <w:pStyle w:val="FootnoteText"/>
      </w:pPr>
      <w:r w:rsidRPr="00957A99">
        <w:rPr>
          <w:rStyle w:val="FootnoteReference"/>
          <w:rFonts w:eastAsia="Calibri"/>
        </w:rPr>
        <w:footnoteRef/>
      </w:r>
      <w:r w:rsidRPr="00957A99">
        <w:t xml:space="preserve"> Ref. </w:t>
      </w:r>
      <w:proofErr w:type="gramStart"/>
      <w:r w:rsidRPr="00957A99">
        <w:t>Ares(</w:t>
      </w:r>
      <w:proofErr w:type="gramEnd"/>
      <w:r w:rsidRPr="00957A99">
        <w:t>2016)981660 - 25/02/2016, endorsed by the CSC Steering Board.</w:t>
      </w:r>
    </w:p>
  </w:footnote>
  <w:footnote w:id="114">
    <w:p w14:paraId="24E5B5D6" w14:textId="77777777" w:rsidR="00DF2591" w:rsidRPr="00957A99" w:rsidRDefault="00DF2591" w:rsidP="00547D0B">
      <w:pPr>
        <w:pStyle w:val="FootnoteText"/>
      </w:pPr>
      <w:r w:rsidRPr="00957A99">
        <w:rPr>
          <w:rStyle w:val="FootnoteReference"/>
          <w:rFonts w:eastAsia="Calibri"/>
        </w:rPr>
        <w:footnoteRef/>
      </w:r>
      <w:r w:rsidRPr="00957A99">
        <w:t xml:space="preserve"> Taken biannually for 162 participations; MUS sampling is applied; population is determined by the costs declared and paid by the beneficiaries through financial statements which form the basis for calculating the EU contribution.</w:t>
      </w:r>
    </w:p>
  </w:footnote>
  <w:footnote w:id="115">
    <w:p w14:paraId="1B7D8A1E" w14:textId="77777777" w:rsidR="00DF2591" w:rsidRPr="00957A99" w:rsidRDefault="00DF2591" w:rsidP="00547D0B">
      <w:pPr>
        <w:pStyle w:val="FootnoteText"/>
      </w:pPr>
      <w:r w:rsidRPr="00957A99">
        <w:rPr>
          <w:rStyle w:val="FootnoteReference"/>
          <w:rFonts w:eastAsia="Calibri"/>
        </w:rPr>
        <w:footnoteRef/>
      </w:r>
      <w:r w:rsidRPr="00957A99">
        <w:t xml:space="preserve"> Guidance H2020 </w:t>
      </w:r>
      <w:r w:rsidRPr="00957A99">
        <w:rPr>
          <w:i/>
        </w:rPr>
        <w:t>ex-ante</w:t>
      </w:r>
      <w:r w:rsidRPr="00957A99">
        <w:t xml:space="preserve"> controls on interim and final payments, version 1.0.</w:t>
      </w:r>
    </w:p>
  </w:footnote>
  <w:footnote w:id="116">
    <w:p w14:paraId="3A285D4B" w14:textId="77777777" w:rsidR="00DF2591" w:rsidRPr="00957A99" w:rsidRDefault="00DF2591" w:rsidP="00547D0B">
      <w:pPr>
        <w:pStyle w:val="FootnoteText"/>
      </w:pPr>
      <w:r w:rsidRPr="00957A99">
        <w:rPr>
          <w:rStyle w:val="FootnoteReference"/>
        </w:rPr>
        <w:footnoteRef/>
      </w:r>
      <w:r w:rsidRPr="00957A99">
        <w:t xml:space="preserve"> Based </w:t>
      </w:r>
      <w:r w:rsidRPr="00D06227">
        <w:t>on the 418 representative results out of the 62</w:t>
      </w:r>
      <w:r>
        <w:t>9</w:t>
      </w:r>
      <w:r w:rsidRPr="00D06227">
        <w:t xml:space="preserve"> expected</w:t>
      </w:r>
      <w:r w:rsidRPr="00957A99">
        <w:t xml:space="preserve"> in the</w:t>
      </w:r>
      <w:r>
        <w:t xml:space="preserve"> four</w:t>
      </w:r>
      <w:r w:rsidRPr="00957A99">
        <w:t xml:space="preserve"> Common Representative Samples.</w:t>
      </w:r>
    </w:p>
  </w:footnote>
  <w:footnote w:id="117">
    <w:p w14:paraId="398FC928" w14:textId="77777777" w:rsidR="00DF2591" w:rsidRDefault="00DF2591" w:rsidP="00547D0B">
      <w:pPr>
        <w:pStyle w:val="FootnoteText"/>
      </w:pPr>
      <w:r>
        <w:rPr>
          <w:rStyle w:val="FootnoteReference"/>
        </w:rPr>
        <w:footnoteRef/>
      </w:r>
      <w:r>
        <w:t xml:space="preserve"> It should be noted that in 2021 </w:t>
      </w:r>
      <w:proofErr w:type="gramStart"/>
      <w:r>
        <w:t>most  H</w:t>
      </w:r>
      <w:proofErr w:type="gramEnd"/>
      <w:r>
        <w:t>2020 grants managed by DG R&amp;I were transferred to Executive Agencies. Hence, this figure is based only on the actions that remained with DG R&amp;I at the end of 2021.</w:t>
      </w:r>
    </w:p>
  </w:footnote>
  <w:footnote w:id="118">
    <w:p w14:paraId="0C42FD8C" w14:textId="77777777" w:rsidR="00DF2591" w:rsidRPr="00957A99" w:rsidRDefault="00DF2591" w:rsidP="002021EB">
      <w:pPr>
        <w:pStyle w:val="FootnoteText"/>
      </w:pPr>
      <w:r w:rsidRPr="00957A99">
        <w:rPr>
          <w:rStyle w:val="FootnoteReference"/>
        </w:rPr>
        <w:footnoteRef/>
      </w:r>
      <w:r w:rsidRPr="00957A99">
        <w:t xml:space="preserve"> H2020 operational budget of EUR 70.280 million less EUR 6.696 million related to the EIT financial instruments and others.</w:t>
      </w:r>
    </w:p>
  </w:footnote>
  <w:footnote w:id="119">
    <w:p w14:paraId="4990FC21" w14:textId="77777777" w:rsidR="00DF2591" w:rsidRPr="00957A99" w:rsidRDefault="00DF2591" w:rsidP="00974B4D">
      <w:pPr>
        <w:pStyle w:val="footnotedescription"/>
        <w:spacing w:after="85" w:line="221" w:lineRule="auto"/>
        <w:ind w:left="0" w:right="10"/>
        <w:jc w:val="both"/>
        <w:rPr>
          <w:color w:val="auto"/>
          <w:sz w:val="20"/>
          <w:szCs w:val="20"/>
        </w:rPr>
      </w:pPr>
      <w:r w:rsidRPr="00957A99">
        <w:rPr>
          <w:rStyle w:val="footnotemark"/>
          <w:color w:val="auto"/>
          <w:sz w:val="20"/>
          <w:szCs w:val="20"/>
        </w:rPr>
        <w:footnoteRef/>
      </w:r>
    </w:p>
  </w:footnote>
  <w:footnote w:id="120">
    <w:p w14:paraId="5A256769" w14:textId="77777777" w:rsidR="00DF2591" w:rsidRPr="00957A99" w:rsidRDefault="00DF2591" w:rsidP="00974B4D">
      <w:pPr>
        <w:pStyle w:val="footnotedescription"/>
        <w:spacing w:line="221" w:lineRule="auto"/>
        <w:ind w:left="0" w:right="17"/>
        <w:jc w:val="both"/>
      </w:pPr>
    </w:p>
  </w:footnote>
  <w:footnote w:id="121">
    <w:p w14:paraId="05DE58BB" w14:textId="77777777" w:rsidR="00DF2591" w:rsidRPr="00957A99" w:rsidRDefault="00DF2591" w:rsidP="009C2A11">
      <w:pPr>
        <w:pStyle w:val="FootnoteText"/>
      </w:pPr>
      <w:r w:rsidRPr="00957A99">
        <w:rPr>
          <w:rStyle w:val="FootnoteReference"/>
        </w:rPr>
        <w:footnoteRef/>
      </w:r>
      <w:r w:rsidRPr="00957A99">
        <w:t xml:space="preserve"> </w:t>
      </w:r>
      <w:proofErr w:type="gramStart"/>
      <w:r w:rsidRPr="00957A99">
        <w:t>Ares(</w:t>
      </w:r>
      <w:proofErr w:type="gramEnd"/>
      <w:r w:rsidRPr="00957A99">
        <w:t>2019)6087752</w:t>
      </w:r>
    </w:p>
  </w:footnote>
  <w:footnote w:id="122">
    <w:p w14:paraId="3DFEC378" w14:textId="6AD76BD1" w:rsidR="00DF2591" w:rsidRPr="00957A99" w:rsidRDefault="00DF2591" w:rsidP="009C2A11">
      <w:pPr>
        <w:pStyle w:val="FootnoteText"/>
      </w:pPr>
      <w:r w:rsidRPr="00957A99">
        <w:rPr>
          <w:rStyle w:val="FootnoteReference"/>
        </w:rPr>
        <w:footnoteRef/>
      </w:r>
      <w:r w:rsidRPr="00957A99">
        <w:t xml:space="preserve"> Results announced with </w:t>
      </w:r>
      <w:proofErr w:type="gramStart"/>
      <w:r w:rsidRPr="00957A99">
        <w:t>Ares(</w:t>
      </w:r>
      <w:proofErr w:type="gramEnd"/>
      <w:r w:rsidRPr="00957A99">
        <w:t>202</w:t>
      </w:r>
      <w:r>
        <w:t>1</w:t>
      </w:r>
      <w:r w:rsidRPr="00957A99">
        <w:t>)</w:t>
      </w:r>
      <w:r>
        <w:t>7361583</w:t>
      </w:r>
    </w:p>
  </w:footnote>
  <w:footnote w:id="123">
    <w:p w14:paraId="3DA13BF3" w14:textId="371870CA" w:rsidR="00DF2591" w:rsidRDefault="00DF2591">
      <w:pPr>
        <w:pStyle w:val="FootnoteText"/>
      </w:pPr>
      <w:r>
        <w:rPr>
          <w:rStyle w:val="FootnoteReference"/>
        </w:rPr>
        <w:footnoteRef/>
      </w:r>
      <w:r>
        <w:t xml:space="preserve"> One specific outlier case which impact has been absorbed and cleaned in the subsequent residual error rate calculation. </w:t>
      </w:r>
    </w:p>
  </w:footnote>
  <w:footnote w:id="124">
    <w:p w14:paraId="1CDA3EAC" w14:textId="77777777" w:rsidR="00DF2591" w:rsidRPr="008819E6" w:rsidRDefault="00DF2591" w:rsidP="00265971">
      <w:pPr>
        <w:pStyle w:val="FootnoteText"/>
        <w:rPr>
          <w:rStyle w:val="FootnoteTextCharChar"/>
        </w:rPr>
      </w:pPr>
      <w:r w:rsidRPr="00E9125E">
        <w:rPr>
          <w:rStyle w:val="FootnoteReference"/>
        </w:rPr>
        <w:footnoteRef/>
      </w:r>
      <w:r w:rsidRPr="008819E6">
        <w:rPr>
          <w:rStyle w:val="FootnoteTextCharChar"/>
        </w:rPr>
        <w:tab/>
        <w:t xml:space="preserve">True and fair in this context means a reliable, </w:t>
      </w:r>
      <w:proofErr w:type="gramStart"/>
      <w:r w:rsidRPr="008819E6">
        <w:rPr>
          <w:rStyle w:val="FootnoteTextCharChar"/>
        </w:rPr>
        <w:t>complete</w:t>
      </w:r>
      <w:proofErr w:type="gramEnd"/>
      <w:r w:rsidRPr="008819E6">
        <w:rPr>
          <w:rStyle w:val="FootnoteTextCharChar"/>
        </w:rPr>
        <w:t xml:space="preserve"> and correct view on the state of affairs in the </w:t>
      </w:r>
      <w:r>
        <w:rPr>
          <w:rStyle w:val="FootnoteTextCharChar"/>
        </w:rPr>
        <w:t>Joint Undertaking</w:t>
      </w:r>
      <w:r w:rsidRPr="008819E6">
        <w:rPr>
          <w:rStyle w:val="FootnoteTextCharChar"/>
        </w:rPr>
        <w:t>.</w:t>
      </w:r>
    </w:p>
  </w:footnote>
  <w:footnote w:id="125">
    <w:p w14:paraId="2154158E" w14:textId="77777777" w:rsidR="00DF2591" w:rsidRPr="001824EF" w:rsidRDefault="00DF2591" w:rsidP="00BD154D">
      <w:pPr>
        <w:pStyle w:val="FootnoteText"/>
      </w:pPr>
      <w:r>
        <w:rPr>
          <w:rStyle w:val="FootnoteReference"/>
        </w:rPr>
        <w:footnoteRef/>
      </w:r>
      <w:r>
        <w:t xml:space="preserve"> </w:t>
      </w:r>
      <w:r>
        <w:rPr>
          <w:rFonts w:ascii="Times New Roman" w:hAnsi="Times New Roman"/>
          <w:sz w:val="18"/>
          <w:szCs w:val="18"/>
        </w:rPr>
        <w:t>B</w:t>
      </w:r>
      <w:r w:rsidRPr="00DD2D61">
        <w:rPr>
          <w:rFonts w:ascii="Times New Roman" w:hAnsi="Times New Roman"/>
          <w:sz w:val="18"/>
          <w:szCs w:val="18"/>
        </w:rPr>
        <w:t>ased on Annex II to Council Decision 2013</w:t>
      </w:r>
      <w:r>
        <w:rPr>
          <w:rFonts w:ascii="Times New Roman" w:hAnsi="Times New Roman"/>
          <w:sz w:val="18"/>
          <w:szCs w:val="18"/>
        </w:rPr>
        <w:t>/743/EU.</w:t>
      </w:r>
    </w:p>
  </w:footnote>
  <w:footnote w:id="126">
    <w:p w14:paraId="31CBB5EA" w14:textId="77777777" w:rsidR="00DF2591" w:rsidRDefault="00DF2591" w:rsidP="00BD154D">
      <w:pPr>
        <w:pStyle w:val="FootnoteText"/>
      </w:pPr>
      <w:r>
        <w:rPr>
          <w:rStyle w:val="FootnoteReference"/>
        </w:rPr>
        <w:footnoteRef/>
      </w:r>
      <w:r>
        <w:t xml:space="preserve"> </w:t>
      </w:r>
      <w:r w:rsidRPr="001817F9">
        <w:rPr>
          <w:rFonts w:cs="Calibri"/>
          <w:sz w:val="18"/>
          <w:szCs w:val="18"/>
        </w:rPr>
        <w:t xml:space="preserve">MAMA-MEA and THyGA </w:t>
      </w:r>
      <w:r>
        <w:rPr>
          <w:rFonts w:cs="Calibri"/>
          <w:sz w:val="18"/>
          <w:szCs w:val="18"/>
        </w:rPr>
        <w:t>account together for</w:t>
      </w:r>
      <w:r w:rsidRPr="001817F9">
        <w:rPr>
          <w:rFonts w:cs="Calibri"/>
          <w:sz w:val="18"/>
          <w:szCs w:val="18"/>
        </w:rPr>
        <w:t xml:space="preserve"> </w:t>
      </w:r>
      <w:r>
        <w:rPr>
          <w:rFonts w:cs="Calibri"/>
          <w:sz w:val="18"/>
          <w:szCs w:val="18"/>
        </w:rPr>
        <w:t>275 and 376 of the above numbers</w:t>
      </w:r>
      <w:r w:rsidRPr="001817F9">
        <w:rPr>
          <w:rFonts w:cs="Calibri"/>
          <w:sz w:val="18"/>
          <w:szCs w:val="18"/>
        </w:rPr>
        <w:t xml:space="preserve"> respectively.</w:t>
      </w:r>
    </w:p>
  </w:footnote>
  <w:footnote w:id="127">
    <w:p w14:paraId="6F0E96DD" w14:textId="77777777" w:rsidR="00DF2591" w:rsidRPr="00450C7B" w:rsidRDefault="00DF2591" w:rsidP="00BD154D">
      <w:pPr>
        <w:pStyle w:val="FootnoteText"/>
      </w:pPr>
      <w:r>
        <w:rPr>
          <w:rStyle w:val="FootnoteReference"/>
        </w:rPr>
        <w:footnoteRef/>
      </w:r>
      <w:r>
        <w:t xml:space="preserve"> </w:t>
      </w:r>
      <w:r w:rsidRPr="00B53DB0">
        <w:rPr>
          <w:rFonts w:ascii="Times New Roman" w:hAnsi="Times New Roman"/>
          <w:sz w:val="18"/>
          <w:szCs w:val="18"/>
        </w:rPr>
        <w:t>This indicator is not legally compulsory but covers several additional specific indicators requested for more societal challenges by the services in charge.</w:t>
      </w:r>
    </w:p>
  </w:footnote>
  <w:footnote w:id="128">
    <w:p w14:paraId="1DBE99B8" w14:textId="77777777" w:rsidR="00DF2591" w:rsidRPr="00413F28" w:rsidRDefault="00DF2591" w:rsidP="00BD154D">
      <w:pPr>
        <w:pStyle w:val="FootnoteText"/>
      </w:pPr>
      <w:r w:rsidRPr="00413F28">
        <w:rPr>
          <w:rStyle w:val="FootnoteReference"/>
        </w:rPr>
        <w:footnoteRef/>
      </w:r>
      <w:r w:rsidRPr="00413F28">
        <w:t xml:space="preserve">  </w:t>
      </w:r>
      <w:r>
        <w:rPr>
          <w:rFonts w:ascii="Times New Roman" w:hAnsi="Times New Roman"/>
          <w:sz w:val="18"/>
          <w:szCs w:val="18"/>
        </w:rPr>
        <w:t>B</w:t>
      </w:r>
      <w:r w:rsidRPr="00413F28">
        <w:rPr>
          <w:rFonts w:ascii="Times New Roman" w:hAnsi="Times New Roman"/>
          <w:sz w:val="18"/>
          <w:szCs w:val="18"/>
        </w:rPr>
        <w:t xml:space="preserve">ased on Annex III </w:t>
      </w:r>
      <w:r>
        <w:rPr>
          <w:rFonts w:ascii="Times New Roman" w:hAnsi="Times New Roman"/>
          <w:sz w:val="18"/>
          <w:szCs w:val="18"/>
        </w:rPr>
        <w:t>to Council Decision 2013/743/EU; source: CORDA, unless specified otherwise.</w:t>
      </w:r>
    </w:p>
  </w:footnote>
  <w:footnote w:id="129">
    <w:p w14:paraId="341BDE05" w14:textId="03B81292" w:rsidR="00DF2591" w:rsidRPr="000171BE" w:rsidRDefault="00DF2591" w:rsidP="00BD154D">
      <w:pPr>
        <w:pStyle w:val="FootnoteText"/>
        <w:rPr>
          <w:rFonts w:ascii="Times New Roman" w:hAnsi="Times New Roman"/>
          <w:sz w:val="18"/>
          <w:szCs w:val="18"/>
        </w:rPr>
      </w:pPr>
      <w:r>
        <w:rPr>
          <w:rStyle w:val="FootnoteReference"/>
        </w:rPr>
        <w:footnoteRef/>
      </w:r>
      <w:r>
        <w:t xml:space="preserve"> </w:t>
      </w:r>
      <w:r w:rsidRPr="000171BE">
        <w:rPr>
          <w:rFonts w:ascii="Times New Roman" w:hAnsi="Times New Roman"/>
          <w:sz w:val="18"/>
          <w:szCs w:val="18"/>
        </w:rPr>
        <w:t xml:space="preserve">The figures concern 133 </w:t>
      </w:r>
      <w:r w:rsidRPr="004821E4">
        <w:rPr>
          <w:rFonts w:ascii="Times New Roman" w:hAnsi="Times New Roman"/>
          <w:sz w:val="18"/>
          <w:szCs w:val="18"/>
        </w:rPr>
        <w:t>projects, not including ELECTROOU which was terminated early.</w:t>
      </w:r>
    </w:p>
  </w:footnote>
  <w:footnote w:id="130">
    <w:p w14:paraId="239D073E" w14:textId="4DE0BF87" w:rsidR="00DF2591" w:rsidRDefault="00DF2591">
      <w:pPr>
        <w:pStyle w:val="FootnoteText"/>
      </w:pPr>
      <w:r>
        <w:rPr>
          <w:rStyle w:val="FootnoteReference"/>
        </w:rPr>
        <w:footnoteRef/>
      </w:r>
      <w:r>
        <w:t xml:space="preserve"> As in 2021 both FCH 2 JU and Clean Hydrogen JU were operational, it was decided that the KPIs for both JUs should be presented here. Nevertheless, for the Clean Hydrogen JU only the baseline and targets can be reported.</w:t>
      </w:r>
    </w:p>
  </w:footnote>
  <w:footnote w:id="131">
    <w:p w14:paraId="2C2125CF" w14:textId="77777777" w:rsidR="00DF2591" w:rsidRDefault="00DF2591" w:rsidP="00BD154D">
      <w:pPr>
        <w:pStyle w:val="FootnoteText"/>
        <w:ind w:left="0" w:firstLine="0"/>
      </w:pPr>
      <w:r>
        <w:rPr>
          <w:rStyle w:val="FootnoteReference"/>
        </w:rPr>
        <w:footnoteRef/>
      </w:r>
      <w:r>
        <w:t xml:space="preserve"> Projects addressing topics related to renewable energy </w:t>
      </w:r>
      <w:r w:rsidRPr="0019112F">
        <w:t>integration (KPI 1</w:t>
      </w:r>
      <w:r>
        <w:t>.1</w:t>
      </w:r>
      <w:r w:rsidRPr="0019112F">
        <w:t xml:space="preserve">) and storage (KPI </w:t>
      </w:r>
      <w:r>
        <w:t>1.</w:t>
      </w:r>
      <w:r w:rsidRPr="0019112F">
        <w:t xml:space="preserve">4) are interrelated, </w:t>
      </w:r>
      <w:r>
        <w:t xml:space="preserve">in many cases </w:t>
      </w:r>
      <w:r w:rsidRPr="0019112F">
        <w:t xml:space="preserve">covering both aspects. Complementarily, a common KPI of 26 % </w:t>
      </w:r>
      <w:r>
        <w:t xml:space="preserve">can be </w:t>
      </w:r>
      <w:r w:rsidRPr="0019112F">
        <w:t>reported</w:t>
      </w:r>
      <w:r>
        <w:t xml:space="preserve"> for KPIs 1.1 and 1.4.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B42E53" w14:textId="77777777" w:rsidR="00DF2591" w:rsidRDefault="00DF259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2EA3EE" w14:textId="77777777" w:rsidR="00DF2591" w:rsidRDefault="00DF259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3FEBA0" w14:textId="77777777" w:rsidR="00DF2591" w:rsidRDefault="00DF259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856300"/>
    <w:multiLevelType w:val="multilevel"/>
    <w:tmpl w:val="6B0E80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0C2922"/>
    <w:multiLevelType w:val="hybridMultilevel"/>
    <w:tmpl w:val="A494435C"/>
    <w:lvl w:ilvl="0" w:tplc="7868A03C">
      <w:start w:val="2020"/>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0DA27D5"/>
    <w:multiLevelType w:val="hybridMultilevel"/>
    <w:tmpl w:val="866C56FE"/>
    <w:lvl w:ilvl="0" w:tplc="A998A7D4">
      <w:start w:val="1"/>
      <w:numFmt w:val="bullet"/>
      <w:lvlText w:val="•"/>
      <w:lvlJc w:val="left"/>
      <w:pPr>
        <w:tabs>
          <w:tab w:val="num" w:pos="720"/>
        </w:tabs>
        <w:ind w:left="720" w:hanging="360"/>
      </w:pPr>
      <w:rPr>
        <w:rFonts w:ascii="Arial" w:hAnsi="Arial" w:hint="default"/>
      </w:rPr>
    </w:lvl>
    <w:lvl w:ilvl="1" w:tplc="0882AA24" w:tentative="1">
      <w:start w:val="1"/>
      <w:numFmt w:val="bullet"/>
      <w:lvlText w:val="•"/>
      <w:lvlJc w:val="left"/>
      <w:pPr>
        <w:tabs>
          <w:tab w:val="num" w:pos="1440"/>
        </w:tabs>
        <w:ind w:left="1440" w:hanging="360"/>
      </w:pPr>
      <w:rPr>
        <w:rFonts w:ascii="Arial" w:hAnsi="Arial" w:hint="default"/>
      </w:rPr>
    </w:lvl>
    <w:lvl w:ilvl="2" w:tplc="90EE724A" w:tentative="1">
      <w:start w:val="1"/>
      <w:numFmt w:val="bullet"/>
      <w:lvlText w:val="•"/>
      <w:lvlJc w:val="left"/>
      <w:pPr>
        <w:tabs>
          <w:tab w:val="num" w:pos="2160"/>
        </w:tabs>
        <w:ind w:left="2160" w:hanging="360"/>
      </w:pPr>
      <w:rPr>
        <w:rFonts w:ascii="Arial" w:hAnsi="Arial" w:hint="default"/>
      </w:rPr>
    </w:lvl>
    <w:lvl w:ilvl="3" w:tplc="DE96C3C8" w:tentative="1">
      <w:start w:val="1"/>
      <w:numFmt w:val="bullet"/>
      <w:lvlText w:val="•"/>
      <w:lvlJc w:val="left"/>
      <w:pPr>
        <w:tabs>
          <w:tab w:val="num" w:pos="2880"/>
        </w:tabs>
        <w:ind w:left="2880" w:hanging="360"/>
      </w:pPr>
      <w:rPr>
        <w:rFonts w:ascii="Arial" w:hAnsi="Arial" w:hint="default"/>
      </w:rPr>
    </w:lvl>
    <w:lvl w:ilvl="4" w:tplc="62AE4424" w:tentative="1">
      <w:start w:val="1"/>
      <w:numFmt w:val="bullet"/>
      <w:lvlText w:val="•"/>
      <w:lvlJc w:val="left"/>
      <w:pPr>
        <w:tabs>
          <w:tab w:val="num" w:pos="3600"/>
        </w:tabs>
        <w:ind w:left="3600" w:hanging="360"/>
      </w:pPr>
      <w:rPr>
        <w:rFonts w:ascii="Arial" w:hAnsi="Arial" w:hint="default"/>
      </w:rPr>
    </w:lvl>
    <w:lvl w:ilvl="5" w:tplc="AAF4D0A6" w:tentative="1">
      <w:start w:val="1"/>
      <w:numFmt w:val="bullet"/>
      <w:lvlText w:val="•"/>
      <w:lvlJc w:val="left"/>
      <w:pPr>
        <w:tabs>
          <w:tab w:val="num" w:pos="4320"/>
        </w:tabs>
        <w:ind w:left="4320" w:hanging="360"/>
      </w:pPr>
      <w:rPr>
        <w:rFonts w:ascii="Arial" w:hAnsi="Arial" w:hint="default"/>
      </w:rPr>
    </w:lvl>
    <w:lvl w:ilvl="6" w:tplc="04A21BB4" w:tentative="1">
      <w:start w:val="1"/>
      <w:numFmt w:val="bullet"/>
      <w:lvlText w:val="•"/>
      <w:lvlJc w:val="left"/>
      <w:pPr>
        <w:tabs>
          <w:tab w:val="num" w:pos="5040"/>
        </w:tabs>
        <w:ind w:left="5040" w:hanging="360"/>
      </w:pPr>
      <w:rPr>
        <w:rFonts w:ascii="Arial" w:hAnsi="Arial" w:hint="default"/>
      </w:rPr>
    </w:lvl>
    <w:lvl w:ilvl="7" w:tplc="32042DE8" w:tentative="1">
      <w:start w:val="1"/>
      <w:numFmt w:val="bullet"/>
      <w:lvlText w:val="•"/>
      <w:lvlJc w:val="left"/>
      <w:pPr>
        <w:tabs>
          <w:tab w:val="num" w:pos="5760"/>
        </w:tabs>
        <w:ind w:left="5760" w:hanging="360"/>
      </w:pPr>
      <w:rPr>
        <w:rFonts w:ascii="Arial" w:hAnsi="Arial" w:hint="default"/>
      </w:rPr>
    </w:lvl>
    <w:lvl w:ilvl="8" w:tplc="8054960A"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57259BA"/>
    <w:multiLevelType w:val="hybridMultilevel"/>
    <w:tmpl w:val="887A12DC"/>
    <w:lvl w:ilvl="0" w:tplc="7ACC6984">
      <w:start w:val="1"/>
      <w:numFmt w:val="bullet"/>
      <w:pStyle w:val="AARTextbullets"/>
      <w:lvlText w:val=""/>
      <w:lvlJc w:val="left"/>
      <w:pPr>
        <w:ind w:left="720" w:hanging="360"/>
      </w:pPr>
      <w:rPr>
        <w:rFonts w:ascii="Symbol" w:hAnsi="Symbol" w:hint="default"/>
        <w:color w:val="548DD4"/>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D3249F9"/>
    <w:multiLevelType w:val="hybridMultilevel"/>
    <w:tmpl w:val="5B88E6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DB27240"/>
    <w:multiLevelType w:val="hybridMultilevel"/>
    <w:tmpl w:val="9954CC68"/>
    <w:lvl w:ilvl="0" w:tplc="544427C6">
      <w:start w:val="1"/>
      <w:numFmt w:val="bullet"/>
      <w:lvlText w:val="•"/>
      <w:lvlJc w:val="left"/>
      <w:pPr>
        <w:tabs>
          <w:tab w:val="num" w:pos="720"/>
        </w:tabs>
        <w:ind w:left="720" w:hanging="360"/>
      </w:pPr>
      <w:rPr>
        <w:rFonts w:ascii="Arial" w:hAnsi="Arial" w:hint="default"/>
      </w:rPr>
    </w:lvl>
    <w:lvl w:ilvl="1" w:tplc="2A705690" w:tentative="1">
      <w:start w:val="1"/>
      <w:numFmt w:val="bullet"/>
      <w:lvlText w:val="•"/>
      <w:lvlJc w:val="left"/>
      <w:pPr>
        <w:tabs>
          <w:tab w:val="num" w:pos="1440"/>
        </w:tabs>
        <w:ind w:left="1440" w:hanging="360"/>
      </w:pPr>
      <w:rPr>
        <w:rFonts w:ascii="Arial" w:hAnsi="Arial" w:hint="default"/>
      </w:rPr>
    </w:lvl>
    <w:lvl w:ilvl="2" w:tplc="5CEC5534" w:tentative="1">
      <w:start w:val="1"/>
      <w:numFmt w:val="bullet"/>
      <w:lvlText w:val="•"/>
      <w:lvlJc w:val="left"/>
      <w:pPr>
        <w:tabs>
          <w:tab w:val="num" w:pos="2160"/>
        </w:tabs>
        <w:ind w:left="2160" w:hanging="360"/>
      </w:pPr>
      <w:rPr>
        <w:rFonts w:ascii="Arial" w:hAnsi="Arial" w:hint="default"/>
      </w:rPr>
    </w:lvl>
    <w:lvl w:ilvl="3" w:tplc="2CE0E81A" w:tentative="1">
      <w:start w:val="1"/>
      <w:numFmt w:val="bullet"/>
      <w:lvlText w:val="•"/>
      <w:lvlJc w:val="left"/>
      <w:pPr>
        <w:tabs>
          <w:tab w:val="num" w:pos="2880"/>
        </w:tabs>
        <w:ind w:left="2880" w:hanging="360"/>
      </w:pPr>
      <w:rPr>
        <w:rFonts w:ascii="Arial" w:hAnsi="Arial" w:hint="default"/>
      </w:rPr>
    </w:lvl>
    <w:lvl w:ilvl="4" w:tplc="C3589C54" w:tentative="1">
      <w:start w:val="1"/>
      <w:numFmt w:val="bullet"/>
      <w:lvlText w:val="•"/>
      <w:lvlJc w:val="left"/>
      <w:pPr>
        <w:tabs>
          <w:tab w:val="num" w:pos="3600"/>
        </w:tabs>
        <w:ind w:left="3600" w:hanging="360"/>
      </w:pPr>
      <w:rPr>
        <w:rFonts w:ascii="Arial" w:hAnsi="Arial" w:hint="default"/>
      </w:rPr>
    </w:lvl>
    <w:lvl w:ilvl="5" w:tplc="D3EEFA76" w:tentative="1">
      <w:start w:val="1"/>
      <w:numFmt w:val="bullet"/>
      <w:lvlText w:val="•"/>
      <w:lvlJc w:val="left"/>
      <w:pPr>
        <w:tabs>
          <w:tab w:val="num" w:pos="4320"/>
        </w:tabs>
        <w:ind w:left="4320" w:hanging="360"/>
      </w:pPr>
      <w:rPr>
        <w:rFonts w:ascii="Arial" w:hAnsi="Arial" w:hint="default"/>
      </w:rPr>
    </w:lvl>
    <w:lvl w:ilvl="6" w:tplc="148CC518" w:tentative="1">
      <w:start w:val="1"/>
      <w:numFmt w:val="bullet"/>
      <w:lvlText w:val="•"/>
      <w:lvlJc w:val="left"/>
      <w:pPr>
        <w:tabs>
          <w:tab w:val="num" w:pos="5040"/>
        </w:tabs>
        <w:ind w:left="5040" w:hanging="360"/>
      </w:pPr>
      <w:rPr>
        <w:rFonts w:ascii="Arial" w:hAnsi="Arial" w:hint="default"/>
      </w:rPr>
    </w:lvl>
    <w:lvl w:ilvl="7" w:tplc="BCE41EDE" w:tentative="1">
      <w:start w:val="1"/>
      <w:numFmt w:val="bullet"/>
      <w:lvlText w:val="•"/>
      <w:lvlJc w:val="left"/>
      <w:pPr>
        <w:tabs>
          <w:tab w:val="num" w:pos="5760"/>
        </w:tabs>
        <w:ind w:left="5760" w:hanging="360"/>
      </w:pPr>
      <w:rPr>
        <w:rFonts w:ascii="Arial" w:hAnsi="Arial" w:hint="default"/>
      </w:rPr>
    </w:lvl>
    <w:lvl w:ilvl="8" w:tplc="7EDC556E"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DEF0989"/>
    <w:multiLevelType w:val="hybridMultilevel"/>
    <w:tmpl w:val="E834DA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26A68D4"/>
    <w:multiLevelType w:val="multilevel"/>
    <w:tmpl w:val="D3F057C6"/>
    <w:lvl w:ilvl="0">
      <w:start w:val="1"/>
      <w:numFmt w:val="decimal"/>
      <w:lvlText w:val="%1."/>
      <w:lvlJc w:val="left"/>
      <w:pPr>
        <w:ind w:left="360" w:hanging="360"/>
      </w:pPr>
    </w:lvl>
    <w:lvl w:ilvl="1">
      <w:start w:val="1"/>
      <w:numFmt w:val="decimal"/>
      <w:lvlText w:val="%1.%2."/>
      <w:lvlJc w:val="left"/>
      <w:pPr>
        <w:ind w:left="1000" w:hanging="432"/>
      </w:pPr>
      <w:rPr>
        <w:b/>
        <w:sz w:val="26"/>
        <w:szCs w:val="26"/>
      </w:rPr>
    </w:lvl>
    <w:lvl w:ilvl="2">
      <w:start w:val="1"/>
      <w:numFmt w:val="decimal"/>
      <w:lvlText w:val="%1.%2.%3."/>
      <w:lvlJc w:val="left"/>
      <w:pPr>
        <w:ind w:left="1224" w:hanging="504"/>
      </w:pPr>
      <w:rPr>
        <w:rFonts w:asciiTheme="minorHAnsi" w:hAnsiTheme="minorHAnsi" w:hint="default"/>
        <w:b/>
        <w:color w:val="auto"/>
        <w:sz w:val="26"/>
        <w:szCs w:val="26"/>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25E86194"/>
    <w:multiLevelType w:val="hybridMultilevel"/>
    <w:tmpl w:val="349A47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95E2C1A"/>
    <w:multiLevelType w:val="hybridMultilevel"/>
    <w:tmpl w:val="38709C34"/>
    <w:lvl w:ilvl="0" w:tplc="08090001">
      <w:start w:val="1"/>
      <w:numFmt w:val="bullet"/>
      <w:lvlText w:val=""/>
      <w:lvlJc w:val="left"/>
      <w:pPr>
        <w:ind w:left="712" w:hanging="360"/>
      </w:pPr>
      <w:rPr>
        <w:rFonts w:ascii="Symbol" w:hAnsi="Symbol" w:hint="default"/>
      </w:rPr>
    </w:lvl>
    <w:lvl w:ilvl="1" w:tplc="08090003" w:tentative="1">
      <w:start w:val="1"/>
      <w:numFmt w:val="bullet"/>
      <w:lvlText w:val="o"/>
      <w:lvlJc w:val="left"/>
      <w:pPr>
        <w:ind w:left="1432" w:hanging="360"/>
      </w:pPr>
      <w:rPr>
        <w:rFonts w:ascii="Courier New" w:hAnsi="Courier New" w:cs="Courier New" w:hint="default"/>
      </w:rPr>
    </w:lvl>
    <w:lvl w:ilvl="2" w:tplc="08090005" w:tentative="1">
      <w:start w:val="1"/>
      <w:numFmt w:val="bullet"/>
      <w:lvlText w:val=""/>
      <w:lvlJc w:val="left"/>
      <w:pPr>
        <w:ind w:left="2152" w:hanging="360"/>
      </w:pPr>
      <w:rPr>
        <w:rFonts w:ascii="Wingdings" w:hAnsi="Wingdings" w:hint="default"/>
      </w:rPr>
    </w:lvl>
    <w:lvl w:ilvl="3" w:tplc="08090001" w:tentative="1">
      <w:start w:val="1"/>
      <w:numFmt w:val="bullet"/>
      <w:lvlText w:val=""/>
      <w:lvlJc w:val="left"/>
      <w:pPr>
        <w:ind w:left="2872" w:hanging="360"/>
      </w:pPr>
      <w:rPr>
        <w:rFonts w:ascii="Symbol" w:hAnsi="Symbol" w:hint="default"/>
      </w:rPr>
    </w:lvl>
    <w:lvl w:ilvl="4" w:tplc="08090003" w:tentative="1">
      <w:start w:val="1"/>
      <w:numFmt w:val="bullet"/>
      <w:lvlText w:val="o"/>
      <w:lvlJc w:val="left"/>
      <w:pPr>
        <w:ind w:left="3592" w:hanging="360"/>
      </w:pPr>
      <w:rPr>
        <w:rFonts w:ascii="Courier New" w:hAnsi="Courier New" w:cs="Courier New" w:hint="default"/>
      </w:rPr>
    </w:lvl>
    <w:lvl w:ilvl="5" w:tplc="08090005" w:tentative="1">
      <w:start w:val="1"/>
      <w:numFmt w:val="bullet"/>
      <w:lvlText w:val=""/>
      <w:lvlJc w:val="left"/>
      <w:pPr>
        <w:ind w:left="4312" w:hanging="360"/>
      </w:pPr>
      <w:rPr>
        <w:rFonts w:ascii="Wingdings" w:hAnsi="Wingdings" w:hint="default"/>
      </w:rPr>
    </w:lvl>
    <w:lvl w:ilvl="6" w:tplc="08090001" w:tentative="1">
      <w:start w:val="1"/>
      <w:numFmt w:val="bullet"/>
      <w:lvlText w:val=""/>
      <w:lvlJc w:val="left"/>
      <w:pPr>
        <w:ind w:left="5032" w:hanging="360"/>
      </w:pPr>
      <w:rPr>
        <w:rFonts w:ascii="Symbol" w:hAnsi="Symbol" w:hint="default"/>
      </w:rPr>
    </w:lvl>
    <w:lvl w:ilvl="7" w:tplc="08090003" w:tentative="1">
      <w:start w:val="1"/>
      <w:numFmt w:val="bullet"/>
      <w:lvlText w:val="o"/>
      <w:lvlJc w:val="left"/>
      <w:pPr>
        <w:ind w:left="5752" w:hanging="360"/>
      </w:pPr>
      <w:rPr>
        <w:rFonts w:ascii="Courier New" w:hAnsi="Courier New" w:cs="Courier New" w:hint="default"/>
      </w:rPr>
    </w:lvl>
    <w:lvl w:ilvl="8" w:tplc="08090005" w:tentative="1">
      <w:start w:val="1"/>
      <w:numFmt w:val="bullet"/>
      <w:lvlText w:val=""/>
      <w:lvlJc w:val="left"/>
      <w:pPr>
        <w:ind w:left="6472" w:hanging="360"/>
      </w:pPr>
      <w:rPr>
        <w:rFonts w:ascii="Wingdings" w:hAnsi="Wingdings" w:hint="default"/>
      </w:rPr>
    </w:lvl>
  </w:abstractNum>
  <w:abstractNum w:abstractNumId="10" w15:restartNumberingAfterBreak="0">
    <w:nsid w:val="29944BA6"/>
    <w:multiLevelType w:val="multilevel"/>
    <w:tmpl w:val="D3BC6D0C"/>
    <w:lvl w:ilvl="0">
      <w:start w:val="1"/>
      <w:numFmt w:val="decimal"/>
      <w:lvlText w:val="%1"/>
      <w:lvlJc w:val="left"/>
      <w:pPr>
        <w:ind w:left="555" w:hanging="555"/>
      </w:pPr>
      <w:rPr>
        <w:rFonts w:hint="default"/>
      </w:rPr>
    </w:lvl>
    <w:lvl w:ilvl="1">
      <w:start w:val="2"/>
      <w:numFmt w:val="decimal"/>
      <w:lvlText w:val="%1.%2"/>
      <w:lvlJc w:val="left"/>
      <w:pPr>
        <w:ind w:left="555" w:hanging="55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DD90B71"/>
    <w:multiLevelType w:val="hybridMultilevel"/>
    <w:tmpl w:val="6B0ABEA8"/>
    <w:lvl w:ilvl="0" w:tplc="1DB63E4C">
      <w:start w:val="1"/>
      <w:numFmt w:val="upperLetter"/>
      <w:lvlText w:val="(%1)"/>
      <w:lvlJc w:val="left"/>
      <w:pPr>
        <w:ind w:left="647" w:hanging="360"/>
      </w:pPr>
      <w:rPr>
        <w:rFonts w:hint="default"/>
      </w:rPr>
    </w:lvl>
    <w:lvl w:ilvl="1" w:tplc="08090019" w:tentative="1">
      <w:start w:val="1"/>
      <w:numFmt w:val="lowerLetter"/>
      <w:lvlText w:val="%2."/>
      <w:lvlJc w:val="left"/>
      <w:pPr>
        <w:ind w:left="1367" w:hanging="360"/>
      </w:pPr>
    </w:lvl>
    <w:lvl w:ilvl="2" w:tplc="0809001B" w:tentative="1">
      <w:start w:val="1"/>
      <w:numFmt w:val="lowerRoman"/>
      <w:lvlText w:val="%3."/>
      <w:lvlJc w:val="right"/>
      <w:pPr>
        <w:ind w:left="2087" w:hanging="180"/>
      </w:pPr>
    </w:lvl>
    <w:lvl w:ilvl="3" w:tplc="0809000F" w:tentative="1">
      <w:start w:val="1"/>
      <w:numFmt w:val="decimal"/>
      <w:lvlText w:val="%4."/>
      <w:lvlJc w:val="left"/>
      <w:pPr>
        <w:ind w:left="2807" w:hanging="360"/>
      </w:pPr>
    </w:lvl>
    <w:lvl w:ilvl="4" w:tplc="08090019" w:tentative="1">
      <w:start w:val="1"/>
      <w:numFmt w:val="lowerLetter"/>
      <w:lvlText w:val="%5."/>
      <w:lvlJc w:val="left"/>
      <w:pPr>
        <w:ind w:left="3527" w:hanging="360"/>
      </w:pPr>
    </w:lvl>
    <w:lvl w:ilvl="5" w:tplc="0809001B" w:tentative="1">
      <w:start w:val="1"/>
      <w:numFmt w:val="lowerRoman"/>
      <w:lvlText w:val="%6."/>
      <w:lvlJc w:val="right"/>
      <w:pPr>
        <w:ind w:left="4247" w:hanging="180"/>
      </w:pPr>
    </w:lvl>
    <w:lvl w:ilvl="6" w:tplc="0809000F" w:tentative="1">
      <w:start w:val="1"/>
      <w:numFmt w:val="decimal"/>
      <w:lvlText w:val="%7."/>
      <w:lvlJc w:val="left"/>
      <w:pPr>
        <w:ind w:left="4967" w:hanging="360"/>
      </w:pPr>
    </w:lvl>
    <w:lvl w:ilvl="7" w:tplc="08090019" w:tentative="1">
      <w:start w:val="1"/>
      <w:numFmt w:val="lowerLetter"/>
      <w:lvlText w:val="%8."/>
      <w:lvlJc w:val="left"/>
      <w:pPr>
        <w:ind w:left="5687" w:hanging="360"/>
      </w:pPr>
    </w:lvl>
    <w:lvl w:ilvl="8" w:tplc="0809001B" w:tentative="1">
      <w:start w:val="1"/>
      <w:numFmt w:val="lowerRoman"/>
      <w:lvlText w:val="%9."/>
      <w:lvlJc w:val="right"/>
      <w:pPr>
        <w:ind w:left="6407" w:hanging="180"/>
      </w:pPr>
    </w:lvl>
  </w:abstractNum>
  <w:abstractNum w:abstractNumId="12" w15:restartNumberingAfterBreak="0">
    <w:nsid w:val="314B5752"/>
    <w:multiLevelType w:val="hybridMultilevel"/>
    <w:tmpl w:val="6CF6A0A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3" w15:restartNumberingAfterBreak="0">
    <w:nsid w:val="32941DD5"/>
    <w:multiLevelType w:val="hybridMultilevel"/>
    <w:tmpl w:val="4BCE88F8"/>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2D601BD"/>
    <w:multiLevelType w:val="hybridMultilevel"/>
    <w:tmpl w:val="01208E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355091B"/>
    <w:multiLevelType w:val="hybridMultilevel"/>
    <w:tmpl w:val="B6FC6A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6DB1DF3"/>
    <w:multiLevelType w:val="hybridMultilevel"/>
    <w:tmpl w:val="145693E2"/>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8C17B38"/>
    <w:multiLevelType w:val="hybridMultilevel"/>
    <w:tmpl w:val="CA5E1B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A807A13"/>
    <w:multiLevelType w:val="hybridMultilevel"/>
    <w:tmpl w:val="65865384"/>
    <w:lvl w:ilvl="0" w:tplc="82069374">
      <w:start w:val="1"/>
      <w:numFmt w:val="decimal"/>
      <w:lvlText w:val="%1."/>
      <w:lvlJc w:val="left"/>
      <w:pPr>
        <w:ind w:left="370" w:hanging="360"/>
      </w:pPr>
      <w:rPr>
        <w:rFonts w:hint="default"/>
      </w:rPr>
    </w:lvl>
    <w:lvl w:ilvl="1" w:tplc="08090019" w:tentative="1">
      <w:start w:val="1"/>
      <w:numFmt w:val="lowerLetter"/>
      <w:lvlText w:val="%2."/>
      <w:lvlJc w:val="left"/>
      <w:pPr>
        <w:ind w:left="1090" w:hanging="360"/>
      </w:pPr>
    </w:lvl>
    <w:lvl w:ilvl="2" w:tplc="0809001B" w:tentative="1">
      <w:start w:val="1"/>
      <w:numFmt w:val="lowerRoman"/>
      <w:lvlText w:val="%3."/>
      <w:lvlJc w:val="right"/>
      <w:pPr>
        <w:ind w:left="1810" w:hanging="180"/>
      </w:pPr>
    </w:lvl>
    <w:lvl w:ilvl="3" w:tplc="0809000F" w:tentative="1">
      <w:start w:val="1"/>
      <w:numFmt w:val="decimal"/>
      <w:lvlText w:val="%4."/>
      <w:lvlJc w:val="left"/>
      <w:pPr>
        <w:ind w:left="2530" w:hanging="360"/>
      </w:pPr>
    </w:lvl>
    <w:lvl w:ilvl="4" w:tplc="08090019" w:tentative="1">
      <w:start w:val="1"/>
      <w:numFmt w:val="lowerLetter"/>
      <w:lvlText w:val="%5."/>
      <w:lvlJc w:val="left"/>
      <w:pPr>
        <w:ind w:left="3250" w:hanging="360"/>
      </w:pPr>
    </w:lvl>
    <w:lvl w:ilvl="5" w:tplc="0809001B" w:tentative="1">
      <w:start w:val="1"/>
      <w:numFmt w:val="lowerRoman"/>
      <w:lvlText w:val="%6."/>
      <w:lvlJc w:val="right"/>
      <w:pPr>
        <w:ind w:left="3970" w:hanging="180"/>
      </w:pPr>
    </w:lvl>
    <w:lvl w:ilvl="6" w:tplc="0809000F" w:tentative="1">
      <w:start w:val="1"/>
      <w:numFmt w:val="decimal"/>
      <w:lvlText w:val="%7."/>
      <w:lvlJc w:val="left"/>
      <w:pPr>
        <w:ind w:left="4690" w:hanging="360"/>
      </w:pPr>
    </w:lvl>
    <w:lvl w:ilvl="7" w:tplc="08090019" w:tentative="1">
      <w:start w:val="1"/>
      <w:numFmt w:val="lowerLetter"/>
      <w:lvlText w:val="%8."/>
      <w:lvlJc w:val="left"/>
      <w:pPr>
        <w:ind w:left="5410" w:hanging="360"/>
      </w:pPr>
    </w:lvl>
    <w:lvl w:ilvl="8" w:tplc="0809001B" w:tentative="1">
      <w:start w:val="1"/>
      <w:numFmt w:val="lowerRoman"/>
      <w:lvlText w:val="%9."/>
      <w:lvlJc w:val="right"/>
      <w:pPr>
        <w:ind w:left="6130" w:hanging="180"/>
      </w:pPr>
    </w:lvl>
  </w:abstractNum>
  <w:abstractNum w:abstractNumId="19" w15:restartNumberingAfterBreak="0">
    <w:nsid w:val="3B6553E6"/>
    <w:multiLevelType w:val="hybridMultilevel"/>
    <w:tmpl w:val="A4B65B2C"/>
    <w:lvl w:ilvl="0" w:tplc="42006B10">
      <w:start w:val="6"/>
      <w:numFmt w:val="decimal"/>
      <w:lvlText w:val="%1."/>
      <w:lvlJc w:val="left"/>
      <w:pPr>
        <w:ind w:left="360" w:hanging="360"/>
      </w:pPr>
      <w:rPr>
        <w:rFonts w:hint="default"/>
        <w:b/>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3E340385"/>
    <w:multiLevelType w:val="hybridMultilevel"/>
    <w:tmpl w:val="7E5AAFB8"/>
    <w:lvl w:ilvl="0" w:tplc="C0809FA0">
      <w:start w:val="1"/>
      <w:numFmt w:val="decimal"/>
      <w:lvlText w:val="%1."/>
      <w:lvlJc w:val="left"/>
      <w:pPr>
        <w:ind w:left="720" w:hanging="360"/>
      </w:pPr>
      <w:rPr>
        <w:rFonts w:asciiTheme="minorHAnsi" w:hAnsiTheme="minorHAnsi" w:hint="default"/>
        <w:b/>
        <w:color w:val="auto"/>
        <w:sz w:val="28"/>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FAD0EF8"/>
    <w:multiLevelType w:val="hybridMultilevel"/>
    <w:tmpl w:val="C748A2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13259E4"/>
    <w:multiLevelType w:val="hybridMultilevel"/>
    <w:tmpl w:val="B46642F4"/>
    <w:lvl w:ilvl="0" w:tplc="08090001">
      <w:start w:val="1"/>
      <w:numFmt w:val="bullet"/>
      <w:lvlText w:val=""/>
      <w:lvlJc w:val="left"/>
      <w:pPr>
        <w:ind w:left="712" w:hanging="360"/>
      </w:pPr>
      <w:rPr>
        <w:rFonts w:ascii="Symbol" w:hAnsi="Symbol" w:hint="default"/>
      </w:rPr>
    </w:lvl>
    <w:lvl w:ilvl="1" w:tplc="08090003" w:tentative="1">
      <w:start w:val="1"/>
      <w:numFmt w:val="bullet"/>
      <w:lvlText w:val="o"/>
      <w:lvlJc w:val="left"/>
      <w:pPr>
        <w:ind w:left="1432" w:hanging="360"/>
      </w:pPr>
      <w:rPr>
        <w:rFonts w:ascii="Courier New" w:hAnsi="Courier New" w:cs="Courier New" w:hint="default"/>
      </w:rPr>
    </w:lvl>
    <w:lvl w:ilvl="2" w:tplc="08090005" w:tentative="1">
      <w:start w:val="1"/>
      <w:numFmt w:val="bullet"/>
      <w:lvlText w:val=""/>
      <w:lvlJc w:val="left"/>
      <w:pPr>
        <w:ind w:left="2152" w:hanging="360"/>
      </w:pPr>
      <w:rPr>
        <w:rFonts w:ascii="Wingdings" w:hAnsi="Wingdings" w:hint="default"/>
      </w:rPr>
    </w:lvl>
    <w:lvl w:ilvl="3" w:tplc="08090001" w:tentative="1">
      <w:start w:val="1"/>
      <w:numFmt w:val="bullet"/>
      <w:lvlText w:val=""/>
      <w:lvlJc w:val="left"/>
      <w:pPr>
        <w:ind w:left="2872" w:hanging="360"/>
      </w:pPr>
      <w:rPr>
        <w:rFonts w:ascii="Symbol" w:hAnsi="Symbol" w:hint="default"/>
      </w:rPr>
    </w:lvl>
    <w:lvl w:ilvl="4" w:tplc="08090003" w:tentative="1">
      <w:start w:val="1"/>
      <w:numFmt w:val="bullet"/>
      <w:lvlText w:val="o"/>
      <w:lvlJc w:val="left"/>
      <w:pPr>
        <w:ind w:left="3592" w:hanging="360"/>
      </w:pPr>
      <w:rPr>
        <w:rFonts w:ascii="Courier New" w:hAnsi="Courier New" w:cs="Courier New" w:hint="default"/>
      </w:rPr>
    </w:lvl>
    <w:lvl w:ilvl="5" w:tplc="08090005" w:tentative="1">
      <w:start w:val="1"/>
      <w:numFmt w:val="bullet"/>
      <w:lvlText w:val=""/>
      <w:lvlJc w:val="left"/>
      <w:pPr>
        <w:ind w:left="4312" w:hanging="360"/>
      </w:pPr>
      <w:rPr>
        <w:rFonts w:ascii="Wingdings" w:hAnsi="Wingdings" w:hint="default"/>
      </w:rPr>
    </w:lvl>
    <w:lvl w:ilvl="6" w:tplc="08090001" w:tentative="1">
      <w:start w:val="1"/>
      <w:numFmt w:val="bullet"/>
      <w:lvlText w:val=""/>
      <w:lvlJc w:val="left"/>
      <w:pPr>
        <w:ind w:left="5032" w:hanging="360"/>
      </w:pPr>
      <w:rPr>
        <w:rFonts w:ascii="Symbol" w:hAnsi="Symbol" w:hint="default"/>
      </w:rPr>
    </w:lvl>
    <w:lvl w:ilvl="7" w:tplc="08090003" w:tentative="1">
      <w:start w:val="1"/>
      <w:numFmt w:val="bullet"/>
      <w:lvlText w:val="o"/>
      <w:lvlJc w:val="left"/>
      <w:pPr>
        <w:ind w:left="5752" w:hanging="360"/>
      </w:pPr>
      <w:rPr>
        <w:rFonts w:ascii="Courier New" w:hAnsi="Courier New" w:cs="Courier New" w:hint="default"/>
      </w:rPr>
    </w:lvl>
    <w:lvl w:ilvl="8" w:tplc="08090005" w:tentative="1">
      <w:start w:val="1"/>
      <w:numFmt w:val="bullet"/>
      <w:lvlText w:val=""/>
      <w:lvlJc w:val="left"/>
      <w:pPr>
        <w:ind w:left="6472" w:hanging="360"/>
      </w:pPr>
      <w:rPr>
        <w:rFonts w:ascii="Wingdings" w:hAnsi="Wingdings" w:hint="default"/>
      </w:rPr>
    </w:lvl>
  </w:abstractNum>
  <w:abstractNum w:abstractNumId="23" w15:restartNumberingAfterBreak="0">
    <w:nsid w:val="414A7712"/>
    <w:multiLevelType w:val="hybridMultilevel"/>
    <w:tmpl w:val="E5B259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2DA627B"/>
    <w:multiLevelType w:val="hybridMultilevel"/>
    <w:tmpl w:val="E6807B74"/>
    <w:lvl w:ilvl="0" w:tplc="08090015">
      <w:start w:val="1"/>
      <w:numFmt w:val="upperLetter"/>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3A2683E"/>
    <w:multiLevelType w:val="hybridMultilevel"/>
    <w:tmpl w:val="C4CEBE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48B546E"/>
    <w:multiLevelType w:val="hybridMultilevel"/>
    <w:tmpl w:val="B1802CB6"/>
    <w:lvl w:ilvl="0" w:tplc="0809000D">
      <w:start w:val="1"/>
      <w:numFmt w:val="bullet"/>
      <w:lvlText w:val=""/>
      <w:lvlJc w:val="left"/>
      <w:pPr>
        <w:ind w:left="730" w:hanging="360"/>
      </w:pPr>
      <w:rPr>
        <w:rFonts w:ascii="Wingdings" w:hAnsi="Wingdings" w:hint="default"/>
      </w:rPr>
    </w:lvl>
    <w:lvl w:ilvl="1" w:tplc="08090003" w:tentative="1">
      <w:start w:val="1"/>
      <w:numFmt w:val="bullet"/>
      <w:lvlText w:val="o"/>
      <w:lvlJc w:val="left"/>
      <w:pPr>
        <w:ind w:left="1450" w:hanging="360"/>
      </w:pPr>
      <w:rPr>
        <w:rFonts w:ascii="Courier New" w:hAnsi="Courier New" w:cs="Courier New" w:hint="default"/>
      </w:rPr>
    </w:lvl>
    <w:lvl w:ilvl="2" w:tplc="08090005" w:tentative="1">
      <w:start w:val="1"/>
      <w:numFmt w:val="bullet"/>
      <w:lvlText w:val=""/>
      <w:lvlJc w:val="left"/>
      <w:pPr>
        <w:ind w:left="2170" w:hanging="360"/>
      </w:pPr>
      <w:rPr>
        <w:rFonts w:ascii="Wingdings" w:hAnsi="Wingdings" w:hint="default"/>
      </w:rPr>
    </w:lvl>
    <w:lvl w:ilvl="3" w:tplc="08090001" w:tentative="1">
      <w:start w:val="1"/>
      <w:numFmt w:val="bullet"/>
      <w:lvlText w:val=""/>
      <w:lvlJc w:val="left"/>
      <w:pPr>
        <w:ind w:left="2890" w:hanging="360"/>
      </w:pPr>
      <w:rPr>
        <w:rFonts w:ascii="Symbol" w:hAnsi="Symbol" w:hint="default"/>
      </w:rPr>
    </w:lvl>
    <w:lvl w:ilvl="4" w:tplc="08090003" w:tentative="1">
      <w:start w:val="1"/>
      <w:numFmt w:val="bullet"/>
      <w:lvlText w:val="o"/>
      <w:lvlJc w:val="left"/>
      <w:pPr>
        <w:ind w:left="3610" w:hanging="360"/>
      </w:pPr>
      <w:rPr>
        <w:rFonts w:ascii="Courier New" w:hAnsi="Courier New" w:cs="Courier New" w:hint="default"/>
      </w:rPr>
    </w:lvl>
    <w:lvl w:ilvl="5" w:tplc="08090005" w:tentative="1">
      <w:start w:val="1"/>
      <w:numFmt w:val="bullet"/>
      <w:lvlText w:val=""/>
      <w:lvlJc w:val="left"/>
      <w:pPr>
        <w:ind w:left="4330" w:hanging="360"/>
      </w:pPr>
      <w:rPr>
        <w:rFonts w:ascii="Wingdings" w:hAnsi="Wingdings" w:hint="default"/>
      </w:rPr>
    </w:lvl>
    <w:lvl w:ilvl="6" w:tplc="08090001" w:tentative="1">
      <w:start w:val="1"/>
      <w:numFmt w:val="bullet"/>
      <w:lvlText w:val=""/>
      <w:lvlJc w:val="left"/>
      <w:pPr>
        <w:ind w:left="5050" w:hanging="360"/>
      </w:pPr>
      <w:rPr>
        <w:rFonts w:ascii="Symbol" w:hAnsi="Symbol" w:hint="default"/>
      </w:rPr>
    </w:lvl>
    <w:lvl w:ilvl="7" w:tplc="08090003" w:tentative="1">
      <w:start w:val="1"/>
      <w:numFmt w:val="bullet"/>
      <w:lvlText w:val="o"/>
      <w:lvlJc w:val="left"/>
      <w:pPr>
        <w:ind w:left="5770" w:hanging="360"/>
      </w:pPr>
      <w:rPr>
        <w:rFonts w:ascii="Courier New" w:hAnsi="Courier New" w:cs="Courier New" w:hint="default"/>
      </w:rPr>
    </w:lvl>
    <w:lvl w:ilvl="8" w:tplc="08090005" w:tentative="1">
      <w:start w:val="1"/>
      <w:numFmt w:val="bullet"/>
      <w:lvlText w:val=""/>
      <w:lvlJc w:val="left"/>
      <w:pPr>
        <w:ind w:left="6490" w:hanging="360"/>
      </w:pPr>
      <w:rPr>
        <w:rFonts w:ascii="Wingdings" w:hAnsi="Wingdings" w:hint="default"/>
      </w:rPr>
    </w:lvl>
  </w:abstractNum>
  <w:abstractNum w:abstractNumId="27" w15:restartNumberingAfterBreak="0">
    <w:nsid w:val="45866FAD"/>
    <w:multiLevelType w:val="hybridMultilevel"/>
    <w:tmpl w:val="263AEA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5CF4F4B"/>
    <w:multiLevelType w:val="hybridMultilevel"/>
    <w:tmpl w:val="692069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9B566DB"/>
    <w:multiLevelType w:val="hybridMultilevel"/>
    <w:tmpl w:val="4A564F7C"/>
    <w:lvl w:ilvl="0" w:tplc="7AA463B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49DC4F58"/>
    <w:multiLevelType w:val="hybridMultilevel"/>
    <w:tmpl w:val="41CEC9B4"/>
    <w:lvl w:ilvl="0" w:tplc="08090001">
      <w:start w:val="1"/>
      <w:numFmt w:val="bullet"/>
      <w:lvlText w:val=""/>
      <w:lvlJc w:val="left"/>
      <w:pPr>
        <w:tabs>
          <w:tab w:val="num" w:pos="720"/>
        </w:tabs>
        <w:ind w:left="720" w:hanging="360"/>
      </w:pPr>
      <w:rPr>
        <w:rFonts w:ascii="Symbol" w:hAnsi="Symbol" w:hint="default"/>
      </w:rPr>
    </w:lvl>
    <w:lvl w:ilvl="1" w:tplc="4B6E1A36" w:tentative="1">
      <w:start w:val="1"/>
      <w:numFmt w:val="bullet"/>
      <w:lvlText w:val="-"/>
      <w:lvlJc w:val="left"/>
      <w:pPr>
        <w:tabs>
          <w:tab w:val="num" w:pos="1440"/>
        </w:tabs>
        <w:ind w:left="1440" w:hanging="360"/>
      </w:pPr>
      <w:rPr>
        <w:rFonts w:ascii="Times New Roman" w:hAnsi="Times New Roman" w:hint="default"/>
      </w:rPr>
    </w:lvl>
    <w:lvl w:ilvl="2" w:tplc="04FCA636" w:tentative="1">
      <w:start w:val="1"/>
      <w:numFmt w:val="bullet"/>
      <w:lvlText w:val="-"/>
      <w:lvlJc w:val="left"/>
      <w:pPr>
        <w:tabs>
          <w:tab w:val="num" w:pos="2160"/>
        </w:tabs>
        <w:ind w:left="2160" w:hanging="360"/>
      </w:pPr>
      <w:rPr>
        <w:rFonts w:ascii="Times New Roman" w:hAnsi="Times New Roman" w:hint="default"/>
      </w:rPr>
    </w:lvl>
    <w:lvl w:ilvl="3" w:tplc="D8640D8A" w:tentative="1">
      <w:start w:val="1"/>
      <w:numFmt w:val="bullet"/>
      <w:lvlText w:val="-"/>
      <w:lvlJc w:val="left"/>
      <w:pPr>
        <w:tabs>
          <w:tab w:val="num" w:pos="2880"/>
        </w:tabs>
        <w:ind w:left="2880" w:hanging="360"/>
      </w:pPr>
      <w:rPr>
        <w:rFonts w:ascii="Times New Roman" w:hAnsi="Times New Roman" w:hint="default"/>
      </w:rPr>
    </w:lvl>
    <w:lvl w:ilvl="4" w:tplc="B1D6D216" w:tentative="1">
      <w:start w:val="1"/>
      <w:numFmt w:val="bullet"/>
      <w:lvlText w:val="-"/>
      <w:lvlJc w:val="left"/>
      <w:pPr>
        <w:tabs>
          <w:tab w:val="num" w:pos="3600"/>
        </w:tabs>
        <w:ind w:left="3600" w:hanging="360"/>
      </w:pPr>
      <w:rPr>
        <w:rFonts w:ascii="Times New Roman" w:hAnsi="Times New Roman" w:hint="default"/>
      </w:rPr>
    </w:lvl>
    <w:lvl w:ilvl="5" w:tplc="2EB65422" w:tentative="1">
      <w:start w:val="1"/>
      <w:numFmt w:val="bullet"/>
      <w:lvlText w:val="-"/>
      <w:lvlJc w:val="left"/>
      <w:pPr>
        <w:tabs>
          <w:tab w:val="num" w:pos="4320"/>
        </w:tabs>
        <w:ind w:left="4320" w:hanging="360"/>
      </w:pPr>
      <w:rPr>
        <w:rFonts w:ascii="Times New Roman" w:hAnsi="Times New Roman" w:hint="default"/>
      </w:rPr>
    </w:lvl>
    <w:lvl w:ilvl="6" w:tplc="14821854" w:tentative="1">
      <w:start w:val="1"/>
      <w:numFmt w:val="bullet"/>
      <w:lvlText w:val="-"/>
      <w:lvlJc w:val="left"/>
      <w:pPr>
        <w:tabs>
          <w:tab w:val="num" w:pos="5040"/>
        </w:tabs>
        <w:ind w:left="5040" w:hanging="360"/>
      </w:pPr>
      <w:rPr>
        <w:rFonts w:ascii="Times New Roman" w:hAnsi="Times New Roman" w:hint="default"/>
      </w:rPr>
    </w:lvl>
    <w:lvl w:ilvl="7" w:tplc="ADAACA7A" w:tentative="1">
      <w:start w:val="1"/>
      <w:numFmt w:val="bullet"/>
      <w:lvlText w:val="-"/>
      <w:lvlJc w:val="left"/>
      <w:pPr>
        <w:tabs>
          <w:tab w:val="num" w:pos="5760"/>
        </w:tabs>
        <w:ind w:left="5760" w:hanging="360"/>
      </w:pPr>
      <w:rPr>
        <w:rFonts w:ascii="Times New Roman" w:hAnsi="Times New Roman" w:hint="default"/>
      </w:rPr>
    </w:lvl>
    <w:lvl w:ilvl="8" w:tplc="540E0CE0" w:tentative="1">
      <w:start w:val="1"/>
      <w:numFmt w:val="bullet"/>
      <w:lvlText w:val="-"/>
      <w:lvlJc w:val="left"/>
      <w:pPr>
        <w:tabs>
          <w:tab w:val="num" w:pos="6480"/>
        </w:tabs>
        <w:ind w:left="6480" w:hanging="360"/>
      </w:pPr>
      <w:rPr>
        <w:rFonts w:ascii="Times New Roman" w:hAnsi="Times New Roman" w:hint="default"/>
      </w:rPr>
    </w:lvl>
  </w:abstractNum>
  <w:abstractNum w:abstractNumId="31" w15:restartNumberingAfterBreak="0">
    <w:nsid w:val="4A6F4359"/>
    <w:multiLevelType w:val="hybridMultilevel"/>
    <w:tmpl w:val="C4C43C8A"/>
    <w:lvl w:ilvl="0" w:tplc="84866CBE">
      <w:start w:val="1"/>
      <w:numFmt w:val="bullet"/>
      <w:lvlText w:val="-"/>
      <w:lvlJc w:val="left"/>
      <w:pPr>
        <w:ind w:left="720" w:hanging="360"/>
      </w:pPr>
      <w:rPr>
        <w:rFonts w:ascii="Courier New" w:hAnsi="Courier New"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06B5206"/>
    <w:multiLevelType w:val="hybridMultilevel"/>
    <w:tmpl w:val="DB3E8FC8"/>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start w:val="1"/>
      <w:numFmt w:val="bullet"/>
      <w:lvlText w:val="o"/>
      <w:lvlJc w:val="left"/>
      <w:pPr>
        <w:ind w:left="3600" w:hanging="360"/>
      </w:pPr>
      <w:rPr>
        <w:rFonts w:ascii="Courier New" w:hAnsi="Courier New" w:cs="Courier New" w:hint="default"/>
      </w:rPr>
    </w:lvl>
    <w:lvl w:ilvl="5" w:tplc="08130005">
      <w:start w:val="1"/>
      <w:numFmt w:val="bullet"/>
      <w:lvlText w:val=""/>
      <w:lvlJc w:val="left"/>
      <w:pPr>
        <w:ind w:left="4320" w:hanging="360"/>
      </w:pPr>
      <w:rPr>
        <w:rFonts w:ascii="Wingdings" w:hAnsi="Wingdings" w:hint="default"/>
      </w:rPr>
    </w:lvl>
    <w:lvl w:ilvl="6" w:tplc="08130001">
      <w:start w:val="1"/>
      <w:numFmt w:val="bullet"/>
      <w:lvlText w:val=""/>
      <w:lvlJc w:val="left"/>
      <w:pPr>
        <w:ind w:left="5040" w:hanging="360"/>
      </w:pPr>
      <w:rPr>
        <w:rFonts w:ascii="Symbol" w:hAnsi="Symbol" w:hint="default"/>
      </w:rPr>
    </w:lvl>
    <w:lvl w:ilvl="7" w:tplc="08130003">
      <w:start w:val="1"/>
      <w:numFmt w:val="bullet"/>
      <w:lvlText w:val="o"/>
      <w:lvlJc w:val="left"/>
      <w:pPr>
        <w:ind w:left="5760" w:hanging="360"/>
      </w:pPr>
      <w:rPr>
        <w:rFonts w:ascii="Courier New" w:hAnsi="Courier New" w:cs="Courier New" w:hint="default"/>
      </w:rPr>
    </w:lvl>
    <w:lvl w:ilvl="8" w:tplc="08130005">
      <w:start w:val="1"/>
      <w:numFmt w:val="bullet"/>
      <w:lvlText w:val=""/>
      <w:lvlJc w:val="left"/>
      <w:pPr>
        <w:ind w:left="6480" w:hanging="360"/>
      </w:pPr>
      <w:rPr>
        <w:rFonts w:ascii="Wingdings" w:hAnsi="Wingdings" w:hint="default"/>
      </w:rPr>
    </w:lvl>
  </w:abstractNum>
  <w:abstractNum w:abstractNumId="33" w15:restartNumberingAfterBreak="0">
    <w:nsid w:val="525E1B11"/>
    <w:multiLevelType w:val="hybridMultilevel"/>
    <w:tmpl w:val="3EFA731A"/>
    <w:lvl w:ilvl="0" w:tplc="08090001">
      <w:start w:val="1"/>
      <w:numFmt w:val="bullet"/>
      <w:lvlText w:val=""/>
      <w:lvlJc w:val="left"/>
      <w:pPr>
        <w:ind w:left="730" w:hanging="360"/>
      </w:pPr>
      <w:rPr>
        <w:rFonts w:ascii="Symbol" w:hAnsi="Symbol" w:hint="default"/>
      </w:rPr>
    </w:lvl>
    <w:lvl w:ilvl="1" w:tplc="08090003" w:tentative="1">
      <w:start w:val="1"/>
      <w:numFmt w:val="bullet"/>
      <w:lvlText w:val="o"/>
      <w:lvlJc w:val="left"/>
      <w:pPr>
        <w:ind w:left="1450" w:hanging="360"/>
      </w:pPr>
      <w:rPr>
        <w:rFonts w:ascii="Courier New" w:hAnsi="Courier New" w:cs="Courier New" w:hint="default"/>
      </w:rPr>
    </w:lvl>
    <w:lvl w:ilvl="2" w:tplc="08090005" w:tentative="1">
      <w:start w:val="1"/>
      <w:numFmt w:val="bullet"/>
      <w:lvlText w:val=""/>
      <w:lvlJc w:val="left"/>
      <w:pPr>
        <w:ind w:left="2170" w:hanging="360"/>
      </w:pPr>
      <w:rPr>
        <w:rFonts w:ascii="Wingdings" w:hAnsi="Wingdings" w:hint="default"/>
      </w:rPr>
    </w:lvl>
    <w:lvl w:ilvl="3" w:tplc="08090001" w:tentative="1">
      <w:start w:val="1"/>
      <w:numFmt w:val="bullet"/>
      <w:lvlText w:val=""/>
      <w:lvlJc w:val="left"/>
      <w:pPr>
        <w:ind w:left="2890" w:hanging="360"/>
      </w:pPr>
      <w:rPr>
        <w:rFonts w:ascii="Symbol" w:hAnsi="Symbol" w:hint="default"/>
      </w:rPr>
    </w:lvl>
    <w:lvl w:ilvl="4" w:tplc="08090003" w:tentative="1">
      <w:start w:val="1"/>
      <w:numFmt w:val="bullet"/>
      <w:lvlText w:val="o"/>
      <w:lvlJc w:val="left"/>
      <w:pPr>
        <w:ind w:left="3610" w:hanging="360"/>
      </w:pPr>
      <w:rPr>
        <w:rFonts w:ascii="Courier New" w:hAnsi="Courier New" w:cs="Courier New" w:hint="default"/>
      </w:rPr>
    </w:lvl>
    <w:lvl w:ilvl="5" w:tplc="08090005" w:tentative="1">
      <w:start w:val="1"/>
      <w:numFmt w:val="bullet"/>
      <w:lvlText w:val=""/>
      <w:lvlJc w:val="left"/>
      <w:pPr>
        <w:ind w:left="4330" w:hanging="360"/>
      </w:pPr>
      <w:rPr>
        <w:rFonts w:ascii="Wingdings" w:hAnsi="Wingdings" w:hint="default"/>
      </w:rPr>
    </w:lvl>
    <w:lvl w:ilvl="6" w:tplc="08090001" w:tentative="1">
      <w:start w:val="1"/>
      <w:numFmt w:val="bullet"/>
      <w:lvlText w:val=""/>
      <w:lvlJc w:val="left"/>
      <w:pPr>
        <w:ind w:left="5050" w:hanging="360"/>
      </w:pPr>
      <w:rPr>
        <w:rFonts w:ascii="Symbol" w:hAnsi="Symbol" w:hint="default"/>
      </w:rPr>
    </w:lvl>
    <w:lvl w:ilvl="7" w:tplc="08090003" w:tentative="1">
      <w:start w:val="1"/>
      <w:numFmt w:val="bullet"/>
      <w:lvlText w:val="o"/>
      <w:lvlJc w:val="left"/>
      <w:pPr>
        <w:ind w:left="5770" w:hanging="360"/>
      </w:pPr>
      <w:rPr>
        <w:rFonts w:ascii="Courier New" w:hAnsi="Courier New" w:cs="Courier New" w:hint="default"/>
      </w:rPr>
    </w:lvl>
    <w:lvl w:ilvl="8" w:tplc="08090005" w:tentative="1">
      <w:start w:val="1"/>
      <w:numFmt w:val="bullet"/>
      <w:lvlText w:val=""/>
      <w:lvlJc w:val="left"/>
      <w:pPr>
        <w:ind w:left="6490" w:hanging="360"/>
      </w:pPr>
      <w:rPr>
        <w:rFonts w:ascii="Wingdings" w:hAnsi="Wingdings" w:hint="default"/>
      </w:rPr>
    </w:lvl>
  </w:abstractNum>
  <w:abstractNum w:abstractNumId="34" w15:restartNumberingAfterBreak="0">
    <w:nsid w:val="52A95997"/>
    <w:multiLevelType w:val="hybridMultilevel"/>
    <w:tmpl w:val="8AE60D4E"/>
    <w:lvl w:ilvl="0" w:tplc="08090001">
      <w:start w:val="1"/>
      <w:numFmt w:val="bullet"/>
      <w:lvlText w:val=""/>
      <w:lvlJc w:val="left"/>
      <w:pPr>
        <w:ind w:left="770" w:hanging="360"/>
      </w:pPr>
      <w:rPr>
        <w:rFonts w:ascii="Symbol" w:hAnsi="Symbol" w:hint="default"/>
      </w:rPr>
    </w:lvl>
    <w:lvl w:ilvl="1" w:tplc="08090003" w:tentative="1">
      <w:start w:val="1"/>
      <w:numFmt w:val="bullet"/>
      <w:lvlText w:val="o"/>
      <w:lvlJc w:val="left"/>
      <w:pPr>
        <w:ind w:left="1490" w:hanging="360"/>
      </w:pPr>
      <w:rPr>
        <w:rFonts w:ascii="Courier New" w:hAnsi="Courier New" w:cs="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35" w15:restartNumberingAfterBreak="0">
    <w:nsid w:val="593C196B"/>
    <w:multiLevelType w:val="hybridMultilevel"/>
    <w:tmpl w:val="145693E2"/>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59525A01"/>
    <w:multiLevelType w:val="hybridMultilevel"/>
    <w:tmpl w:val="2D5EECA2"/>
    <w:lvl w:ilvl="0" w:tplc="A2122898">
      <w:start w:val="1"/>
      <w:numFmt w:val="decimal"/>
      <w:lvlText w:val="%1."/>
      <w:lvlJc w:val="left"/>
      <w:pPr>
        <w:tabs>
          <w:tab w:val="num" w:pos="720"/>
        </w:tabs>
        <w:ind w:left="720" w:hanging="360"/>
      </w:pPr>
    </w:lvl>
    <w:lvl w:ilvl="1" w:tplc="92F8BC0A" w:tentative="1">
      <w:start w:val="1"/>
      <w:numFmt w:val="decimal"/>
      <w:lvlText w:val="%2."/>
      <w:lvlJc w:val="left"/>
      <w:pPr>
        <w:tabs>
          <w:tab w:val="num" w:pos="1440"/>
        </w:tabs>
        <w:ind w:left="1440" w:hanging="360"/>
      </w:pPr>
    </w:lvl>
    <w:lvl w:ilvl="2" w:tplc="54CEE320" w:tentative="1">
      <w:start w:val="1"/>
      <w:numFmt w:val="decimal"/>
      <w:lvlText w:val="%3."/>
      <w:lvlJc w:val="left"/>
      <w:pPr>
        <w:tabs>
          <w:tab w:val="num" w:pos="2160"/>
        </w:tabs>
        <w:ind w:left="2160" w:hanging="360"/>
      </w:pPr>
    </w:lvl>
    <w:lvl w:ilvl="3" w:tplc="03A2DBCC" w:tentative="1">
      <w:start w:val="1"/>
      <w:numFmt w:val="decimal"/>
      <w:lvlText w:val="%4."/>
      <w:lvlJc w:val="left"/>
      <w:pPr>
        <w:tabs>
          <w:tab w:val="num" w:pos="2880"/>
        </w:tabs>
        <w:ind w:left="2880" w:hanging="360"/>
      </w:pPr>
    </w:lvl>
    <w:lvl w:ilvl="4" w:tplc="9E36EE3A" w:tentative="1">
      <w:start w:val="1"/>
      <w:numFmt w:val="decimal"/>
      <w:lvlText w:val="%5."/>
      <w:lvlJc w:val="left"/>
      <w:pPr>
        <w:tabs>
          <w:tab w:val="num" w:pos="3600"/>
        </w:tabs>
        <w:ind w:left="3600" w:hanging="360"/>
      </w:pPr>
    </w:lvl>
    <w:lvl w:ilvl="5" w:tplc="B6A6773A" w:tentative="1">
      <w:start w:val="1"/>
      <w:numFmt w:val="decimal"/>
      <w:lvlText w:val="%6."/>
      <w:lvlJc w:val="left"/>
      <w:pPr>
        <w:tabs>
          <w:tab w:val="num" w:pos="4320"/>
        </w:tabs>
        <w:ind w:left="4320" w:hanging="360"/>
      </w:pPr>
    </w:lvl>
    <w:lvl w:ilvl="6" w:tplc="7B2E23C4" w:tentative="1">
      <w:start w:val="1"/>
      <w:numFmt w:val="decimal"/>
      <w:lvlText w:val="%7."/>
      <w:lvlJc w:val="left"/>
      <w:pPr>
        <w:tabs>
          <w:tab w:val="num" w:pos="5040"/>
        </w:tabs>
        <w:ind w:left="5040" w:hanging="360"/>
      </w:pPr>
    </w:lvl>
    <w:lvl w:ilvl="7" w:tplc="952884BA" w:tentative="1">
      <w:start w:val="1"/>
      <w:numFmt w:val="decimal"/>
      <w:lvlText w:val="%8."/>
      <w:lvlJc w:val="left"/>
      <w:pPr>
        <w:tabs>
          <w:tab w:val="num" w:pos="5760"/>
        </w:tabs>
        <w:ind w:left="5760" w:hanging="360"/>
      </w:pPr>
    </w:lvl>
    <w:lvl w:ilvl="8" w:tplc="58147DDC" w:tentative="1">
      <w:start w:val="1"/>
      <w:numFmt w:val="decimal"/>
      <w:lvlText w:val="%9."/>
      <w:lvlJc w:val="left"/>
      <w:pPr>
        <w:tabs>
          <w:tab w:val="num" w:pos="6480"/>
        </w:tabs>
        <w:ind w:left="6480" w:hanging="360"/>
      </w:pPr>
    </w:lvl>
  </w:abstractNum>
  <w:abstractNum w:abstractNumId="37" w15:restartNumberingAfterBreak="0">
    <w:nsid w:val="5A4C5B38"/>
    <w:multiLevelType w:val="hybridMultilevel"/>
    <w:tmpl w:val="6750F1F6"/>
    <w:lvl w:ilvl="0" w:tplc="105AB820">
      <w:start w:val="1"/>
      <w:numFmt w:val="bullet"/>
      <w:lvlText w:val="•"/>
      <w:lvlJc w:val="left"/>
      <w:pPr>
        <w:ind w:left="647"/>
      </w:pPr>
      <w:rPr>
        <w:rFonts w:ascii="Calibri" w:eastAsia="Calibri" w:hAnsi="Calibri" w:cs="Calibri"/>
        <w:b/>
        <w:bCs/>
        <w:i w:val="0"/>
        <w:strike w:val="0"/>
        <w:dstrike w:val="0"/>
        <w:color w:val="3A5FAC"/>
        <w:sz w:val="20"/>
        <w:szCs w:val="20"/>
        <w:u w:val="none" w:color="000000"/>
        <w:bdr w:val="none" w:sz="0" w:space="0" w:color="auto"/>
        <w:shd w:val="clear" w:color="auto" w:fill="auto"/>
        <w:vertAlign w:val="baseline"/>
      </w:rPr>
    </w:lvl>
    <w:lvl w:ilvl="1" w:tplc="34983B70">
      <w:start w:val="1"/>
      <w:numFmt w:val="bullet"/>
      <w:lvlText w:val="o"/>
      <w:lvlJc w:val="left"/>
      <w:pPr>
        <w:ind w:left="1367"/>
      </w:pPr>
      <w:rPr>
        <w:rFonts w:ascii="Calibri" w:eastAsia="Calibri" w:hAnsi="Calibri" w:cs="Calibri"/>
        <w:b/>
        <w:bCs/>
        <w:i w:val="0"/>
        <w:strike w:val="0"/>
        <w:dstrike w:val="0"/>
        <w:color w:val="3A5FAC"/>
        <w:sz w:val="20"/>
        <w:szCs w:val="20"/>
        <w:u w:val="none" w:color="000000"/>
        <w:bdr w:val="none" w:sz="0" w:space="0" w:color="auto"/>
        <w:shd w:val="clear" w:color="auto" w:fill="auto"/>
        <w:vertAlign w:val="baseline"/>
      </w:rPr>
    </w:lvl>
    <w:lvl w:ilvl="2" w:tplc="8D2A3158">
      <w:start w:val="1"/>
      <w:numFmt w:val="bullet"/>
      <w:lvlText w:val="▪"/>
      <w:lvlJc w:val="left"/>
      <w:pPr>
        <w:ind w:left="2087"/>
      </w:pPr>
      <w:rPr>
        <w:rFonts w:ascii="Calibri" w:eastAsia="Calibri" w:hAnsi="Calibri" w:cs="Calibri"/>
        <w:b/>
        <w:bCs/>
        <w:i w:val="0"/>
        <w:strike w:val="0"/>
        <w:dstrike w:val="0"/>
        <w:color w:val="3A5FAC"/>
        <w:sz w:val="20"/>
        <w:szCs w:val="20"/>
        <w:u w:val="none" w:color="000000"/>
        <w:bdr w:val="none" w:sz="0" w:space="0" w:color="auto"/>
        <w:shd w:val="clear" w:color="auto" w:fill="auto"/>
        <w:vertAlign w:val="baseline"/>
      </w:rPr>
    </w:lvl>
    <w:lvl w:ilvl="3" w:tplc="7D06C1EC">
      <w:start w:val="1"/>
      <w:numFmt w:val="bullet"/>
      <w:lvlText w:val="•"/>
      <w:lvlJc w:val="left"/>
      <w:pPr>
        <w:ind w:left="2807"/>
      </w:pPr>
      <w:rPr>
        <w:rFonts w:ascii="Calibri" w:eastAsia="Calibri" w:hAnsi="Calibri" w:cs="Calibri"/>
        <w:b/>
        <w:bCs/>
        <w:i w:val="0"/>
        <w:strike w:val="0"/>
        <w:dstrike w:val="0"/>
        <w:color w:val="3A5FAC"/>
        <w:sz w:val="20"/>
        <w:szCs w:val="20"/>
        <w:u w:val="none" w:color="000000"/>
        <w:bdr w:val="none" w:sz="0" w:space="0" w:color="auto"/>
        <w:shd w:val="clear" w:color="auto" w:fill="auto"/>
        <w:vertAlign w:val="baseline"/>
      </w:rPr>
    </w:lvl>
    <w:lvl w:ilvl="4" w:tplc="188E6404">
      <w:start w:val="1"/>
      <w:numFmt w:val="bullet"/>
      <w:lvlText w:val="o"/>
      <w:lvlJc w:val="left"/>
      <w:pPr>
        <w:ind w:left="3527"/>
      </w:pPr>
      <w:rPr>
        <w:rFonts w:ascii="Calibri" w:eastAsia="Calibri" w:hAnsi="Calibri" w:cs="Calibri"/>
        <w:b/>
        <w:bCs/>
        <w:i w:val="0"/>
        <w:strike w:val="0"/>
        <w:dstrike w:val="0"/>
        <w:color w:val="3A5FAC"/>
        <w:sz w:val="20"/>
        <w:szCs w:val="20"/>
        <w:u w:val="none" w:color="000000"/>
        <w:bdr w:val="none" w:sz="0" w:space="0" w:color="auto"/>
        <w:shd w:val="clear" w:color="auto" w:fill="auto"/>
        <w:vertAlign w:val="baseline"/>
      </w:rPr>
    </w:lvl>
    <w:lvl w:ilvl="5" w:tplc="8D8E1C6A">
      <w:start w:val="1"/>
      <w:numFmt w:val="bullet"/>
      <w:lvlText w:val="▪"/>
      <w:lvlJc w:val="left"/>
      <w:pPr>
        <w:ind w:left="4247"/>
      </w:pPr>
      <w:rPr>
        <w:rFonts w:ascii="Calibri" w:eastAsia="Calibri" w:hAnsi="Calibri" w:cs="Calibri"/>
        <w:b/>
        <w:bCs/>
        <w:i w:val="0"/>
        <w:strike w:val="0"/>
        <w:dstrike w:val="0"/>
        <w:color w:val="3A5FAC"/>
        <w:sz w:val="20"/>
        <w:szCs w:val="20"/>
        <w:u w:val="none" w:color="000000"/>
        <w:bdr w:val="none" w:sz="0" w:space="0" w:color="auto"/>
        <w:shd w:val="clear" w:color="auto" w:fill="auto"/>
        <w:vertAlign w:val="baseline"/>
      </w:rPr>
    </w:lvl>
    <w:lvl w:ilvl="6" w:tplc="89446F92">
      <w:start w:val="1"/>
      <w:numFmt w:val="bullet"/>
      <w:lvlText w:val="•"/>
      <w:lvlJc w:val="left"/>
      <w:pPr>
        <w:ind w:left="4967"/>
      </w:pPr>
      <w:rPr>
        <w:rFonts w:ascii="Calibri" w:eastAsia="Calibri" w:hAnsi="Calibri" w:cs="Calibri"/>
        <w:b/>
        <w:bCs/>
        <w:i w:val="0"/>
        <w:strike w:val="0"/>
        <w:dstrike w:val="0"/>
        <w:color w:val="3A5FAC"/>
        <w:sz w:val="20"/>
        <w:szCs w:val="20"/>
        <w:u w:val="none" w:color="000000"/>
        <w:bdr w:val="none" w:sz="0" w:space="0" w:color="auto"/>
        <w:shd w:val="clear" w:color="auto" w:fill="auto"/>
        <w:vertAlign w:val="baseline"/>
      </w:rPr>
    </w:lvl>
    <w:lvl w:ilvl="7" w:tplc="9D4603D0">
      <w:start w:val="1"/>
      <w:numFmt w:val="bullet"/>
      <w:lvlText w:val="o"/>
      <w:lvlJc w:val="left"/>
      <w:pPr>
        <w:ind w:left="5687"/>
      </w:pPr>
      <w:rPr>
        <w:rFonts w:ascii="Calibri" w:eastAsia="Calibri" w:hAnsi="Calibri" w:cs="Calibri"/>
        <w:b/>
        <w:bCs/>
        <w:i w:val="0"/>
        <w:strike w:val="0"/>
        <w:dstrike w:val="0"/>
        <w:color w:val="3A5FAC"/>
        <w:sz w:val="20"/>
        <w:szCs w:val="20"/>
        <w:u w:val="none" w:color="000000"/>
        <w:bdr w:val="none" w:sz="0" w:space="0" w:color="auto"/>
        <w:shd w:val="clear" w:color="auto" w:fill="auto"/>
        <w:vertAlign w:val="baseline"/>
      </w:rPr>
    </w:lvl>
    <w:lvl w:ilvl="8" w:tplc="B1D0EF8E">
      <w:start w:val="1"/>
      <w:numFmt w:val="bullet"/>
      <w:lvlText w:val="▪"/>
      <w:lvlJc w:val="left"/>
      <w:pPr>
        <w:ind w:left="6407"/>
      </w:pPr>
      <w:rPr>
        <w:rFonts w:ascii="Calibri" w:eastAsia="Calibri" w:hAnsi="Calibri" w:cs="Calibri"/>
        <w:b/>
        <w:bCs/>
        <w:i w:val="0"/>
        <w:strike w:val="0"/>
        <w:dstrike w:val="0"/>
        <w:color w:val="3A5FAC"/>
        <w:sz w:val="20"/>
        <w:szCs w:val="20"/>
        <w:u w:val="none" w:color="000000"/>
        <w:bdr w:val="none" w:sz="0" w:space="0" w:color="auto"/>
        <w:shd w:val="clear" w:color="auto" w:fill="auto"/>
        <w:vertAlign w:val="baseline"/>
      </w:rPr>
    </w:lvl>
  </w:abstractNum>
  <w:abstractNum w:abstractNumId="38" w15:restartNumberingAfterBreak="0">
    <w:nsid w:val="5A4E3154"/>
    <w:multiLevelType w:val="hybridMultilevel"/>
    <w:tmpl w:val="7AC2028E"/>
    <w:lvl w:ilvl="0" w:tplc="08090001">
      <w:start w:val="1"/>
      <w:numFmt w:val="bullet"/>
      <w:lvlText w:val=""/>
      <w:lvlJc w:val="left"/>
      <w:pPr>
        <w:ind w:left="730" w:hanging="360"/>
      </w:pPr>
      <w:rPr>
        <w:rFonts w:ascii="Symbol" w:hAnsi="Symbol" w:hint="default"/>
      </w:rPr>
    </w:lvl>
    <w:lvl w:ilvl="1" w:tplc="7806F6CA">
      <w:numFmt w:val="bullet"/>
      <w:lvlText w:val="•"/>
      <w:lvlJc w:val="left"/>
      <w:pPr>
        <w:ind w:left="1795" w:hanging="705"/>
      </w:pPr>
      <w:rPr>
        <w:rFonts w:ascii="Calibri" w:eastAsia="Calibri" w:hAnsi="Calibri" w:cs="Calibri" w:hint="default"/>
      </w:rPr>
    </w:lvl>
    <w:lvl w:ilvl="2" w:tplc="08090005" w:tentative="1">
      <w:start w:val="1"/>
      <w:numFmt w:val="bullet"/>
      <w:lvlText w:val=""/>
      <w:lvlJc w:val="left"/>
      <w:pPr>
        <w:ind w:left="2170" w:hanging="360"/>
      </w:pPr>
      <w:rPr>
        <w:rFonts w:ascii="Wingdings" w:hAnsi="Wingdings" w:hint="default"/>
      </w:rPr>
    </w:lvl>
    <w:lvl w:ilvl="3" w:tplc="08090001" w:tentative="1">
      <w:start w:val="1"/>
      <w:numFmt w:val="bullet"/>
      <w:lvlText w:val=""/>
      <w:lvlJc w:val="left"/>
      <w:pPr>
        <w:ind w:left="2890" w:hanging="360"/>
      </w:pPr>
      <w:rPr>
        <w:rFonts w:ascii="Symbol" w:hAnsi="Symbol" w:hint="default"/>
      </w:rPr>
    </w:lvl>
    <w:lvl w:ilvl="4" w:tplc="08090003" w:tentative="1">
      <w:start w:val="1"/>
      <w:numFmt w:val="bullet"/>
      <w:lvlText w:val="o"/>
      <w:lvlJc w:val="left"/>
      <w:pPr>
        <w:ind w:left="3610" w:hanging="360"/>
      </w:pPr>
      <w:rPr>
        <w:rFonts w:ascii="Courier New" w:hAnsi="Courier New" w:cs="Courier New" w:hint="default"/>
      </w:rPr>
    </w:lvl>
    <w:lvl w:ilvl="5" w:tplc="08090005" w:tentative="1">
      <w:start w:val="1"/>
      <w:numFmt w:val="bullet"/>
      <w:lvlText w:val=""/>
      <w:lvlJc w:val="left"/>
      <w:pPr>
        <w:ind w:left="4330" w:hanging="360"/>
      </w:pPr>
      <w:rPr>
        <w:rFonts w:ascii="Wingdings" w:hAnsi="Wingdings" w:hint="default"/>
      </w:rPr>
    </w:lvl>
    <w:lvl w:ilvl="6" w:tplc="08090001" w:tentative="1">
      <w:start w:val="1"/>
      <w:numFmt w:val="bullet"/>
      <w:lvlText w:val=""/>
      <w:lvlJc w:val="left"/>
      <w:pPr>
        <w:ind w:left="5050" w:hanging="360"/>
      </w:pPr>
      <w:rPr>
        <w:rFonts w:ascii="Symbol" w:hAnsi="Symbol" w:hint="default"/>
      </w:rPr>
    </w:lvl>
    <w:lvl w:ilvl="7" w:tplc="08090003" w:tentative="1">
      <w:start w:val="1"/>
      <w:numFmt w:val="bullet"/>
      <w:lvlText w:val="o"/>
      <w:lvlJc w:val="left"/>
      <w:pPr>
        <w:ind w:left="5770" w:hanging="360"/>
      </w:pPr>
      <w:rPr>
        <w:rFonts w:ascii="Courier New" w:hAnsi="Courier New" w:cs="Courier New" w:hint="default"/>
      </w:rPr>
    </w:lvl>
    <w:lvl w:ilvl="8" w:tplc="08090005" w:tentative="1">
      <w:start w:val="1"/>
      <w:numFmt w:val="bullet"/>
      <w:lvlText w:val=""/>
      <w:lvlJc w:val="left"/>
      <w:pPr>
        <w:ind w:left="6490" w:hanging="360"/>
      </w:pPr>
      <w:rPr>
        <w:rFonts w:ascii="Wingdings" w:hAnsi="Wingdings" w:hint="default"/>
      </w:rPr>
    </w:lvl>
  </w:abstractNum>
  <w:abstractNum w:abstractNumId="39" w15:restartNumberingAfterBreak="0">
    <w:nsid w:val="5A9B47D6"/>
    <w:multiLevelType w:val="hybridMultilevel"/>
    <w:tmpl w:val="4F46C12C"/>
    <w:lvl w:ilvl="0" w:tplc="47C4C284">
      <w:start w:val="1"/>
      <w:numFmt w:val="bullet"/>
      <w:lvlText w:val="•"/>
      <w:lvlJc w:val="left"/>
      <w:pPr>
        <w:ind w:left="647"/>
      </w:pPr>
      <w:rPr>
        <w:rFonts w:ascii="Calibri" w:eastAsia="Calibri" w:hAnsi="Calibri" w:cs="Calibri"/>
        <w:b/>
        <w:bCs/>
        <w:i w:val="0"/>
        <w:strike w:val="0"/>
        <w:dstrike w:val="0"/>
        <w:color w:val="3A5FAC"/>
        <w:sz w:val="20"/>
        <w:szCs w:val="20"/>
        <w:u w:val="none" w:color="000000"/>
        <w:bdr w:val="none" w:sz="0" w:space="0" w:color="auto"/>
        <w:shd w:val="clear" w:color="auto" w:fill="auto"/>
        <w:vertAlign w:val="baseline"/>
      </w:rPr>
    </w:lvl>
    <w:lvl w:ilvl="1" w:tplc="DB7A77FC">
      <w:start w:val="1"/>
      <w:numFmt w:val="bullet"/>
      <w:lvlText w:val="o"/>
      <w:lvlJc w:val="left"/>
      <w:pPr>
        <w:ind w:left="1367"/>
      </w:pPr>
      <w:rPr>
        <w:rFonts w:ascii="Calibri" w:eastAsia="Calibri" w:hAnsi="Calibri" w:cs="Calibri"/>
        <w:b/>
        <w:bCs/>
        <w:i w:val="0"/>
        <w:strike w:val="0"/>
        <w:dstrike w:val="0"/>
        <w:color w:val="3A5FAC"/>
        <w:sz w:val="20"/>
        <w:szCs w:val="20"/>
        <w:u w:val="none" w:color="000000"/>
        <w:bdr w:val="none" w:sz="0" w:space="0" w:color="auto"/>
        <w:shd w:val="clear" w:color="auto" w:fill="auto"/>
        <w:vertAlign w:val="baseline"/>
      </w:rPr>
    </w:lvl>
    <w:lvl w:ilvl="2" w:tplc="9A3C72C0">
      <w:start w:val="1"/>
      <w:numFmt w:val="bullet"/>
      <w:lvlText w:val="▪"/>
      <w:lvlJc w:val="left"/>
      <w:pPr>
        <w:ind w:left="2087"/>
      </w:pPr>
      <w:rPr>
        <w:rFonts w:ascii="Calibri" w:eastAsia="Calibri" w:hAnsi="Calibri" w:cs="Calibri"/>
        <w:b/>
        <w:bCs/>
        <w:i w:val="0"/>
        <w:strike w:val="0"/>
        <w:dstrike w:val="0"/>
        <w:color w:val="3A5FAC"/>
        <w:sz w:val="20"/>
        <w:szCs w:val="20"/>
        <w:u w:val="none" w:color="000000"/>
        <w:bdr w:val="none" w:sz="0" w:space="0" w:color="auto"/>
        <w:shd w:val="clear" w:color="auto" w:fill="auto"/>
        <w:vertAlign w:val="baseline"/>
      </w:rPr>
    </w:lvl>
    <w:lvl w:ilvl="3" w:tplc="8D800F24">
      <w:start w:val="1"/>
      <w:numFmt w:val="bullet"/>
      <w:lvlText w:val="•"/>
      <w:lvlJc w:val="left"/>
      <w:pPr>
        <w:ind w:left="2807"/>
      </w:pPr>
      <w:rPr>
        <w:rFonts w:ascii="Calibri" w:eastAsia="Calibri" w:hAnsi="Calibri" w:cs="Calibri"/>
        <w:b/>
        <w:bCs/>
        <w:i w:val="0"/>
        <w:strike w:val="0"/>
        <w:dstrike w:val="0"/>
        <w:color w:val="3A5FAC"/>
        <w:sz w:val="20"/>
        <w:szCs w:val="20"/>
        <w:u w:val="none" w:color="000000"/>
        <w:bdr w:val="none" w:sz="0" w:space="0" w:color="auto"/>
        <w:shd w:val="clear" w:color="auto" w:fill="auto"/>
        <w:vertAlign w:val="baseline"/>
      </w:rPr>
    </w:lvl>
    <w:lvl w:ilvl="4" w:tplc="18584D92">
      <w:start w:val="1"/>
      <w:numFmt w:val="bullet"/>
      <w:lvlText w:val="o"/>
      <w:lvlJc w:val="left"/>
      <w:pPr>
        <w:ind w:left="3527"/>
      </w:pPr>
      <w:rPr>
        <w:rFonts w:ascii="Calibri" w:eastAsia="Calibri" w:hAnsi="Calibri" w:cs="Calibri"/>
        <w:b/>
        <w:bCs/>
        <w:i w:val="0"/>
        <w:strike w:val="0"/>
        <w:dstrike w:val="0"/>
        <w:color w:val="3A5FAC"/>
        <w:sz w:val="20"/>
        <w:szCs w:val="20"/>
        <w:u w:val="none" w:color="000000"/>
        <w:bdr w:val="none" w:sz="0" w:space="0" w:color="auto"/>
        <w:shd w:val="clear" w:color="auto" w:fill="auto"/>
        <w:vertAlign w:val="baseline"/>
      </w:rPr>
    </w:lvl>
    <w:lvl w:ilvl="5" w:tplc="71E61990">
      <w:start w:val="1"/>
      <w:numFmt w:val="bullet"/>
      <w:lvlText w:val="▪"/>
      <w:lvlJc w:val="left"/>
      <w:pPr>
        <w:ind w:left="4247"/>
      </w:pPr>
      <w:rPr>
        <w:rFonts w:ascii="Calibri" w:eastAsia="Calibri" w:hAnsi="Calibri" w:cs="Calibri"/>
        <w:b/>
        <w:bCs/>
        <w:i w:val="0"/>
        <w:strike w:val="0"/>
        <w:dstrike w:val="0"/>
        <w:color w:val="3A5FAC"/>
        <w:sz w:val="20"/>
        <w:szCs w:val="20"/>
        <w:u w:val="none" w:color="000000"/>
        <w:bdr w:val="none" w:sz="0" w:space="0" w:color="auto"/>
        <w:shd w:val="clear" w:color="auto" w:fill="auto"/>
        <w:vertAlign w:val="baseline"/>
      </w:rPr>
    </w:lvl>
    <w:lvl w:ilvl="6" w:tplc="33AE1948">
      <w:start w:val="1"/>
      <w:numFmt w:val="bullet"/>
      <w:lvlText w:val="•"/>
      <w:lvlJc w:val="left"/>
      <w:pPr>
        <w:ind w:left="4967"/>
      </w:pPr>
      <w:rPr>
        <w:rFonts w:ascii="Calibri" w:eastAsia="Calibri" w:hAnsi="Calibri" w:cs="Calibri"/>
        <w:b/>
        <w:bCs/>
        <w:i w:val="0"/>
        <w:strike w:val="0"/>
        <w:dstrike w:val="0"/>
        <w:color w:val="3A5FAC"/>
        <w:sz w:val="20"/>
        <w:szCs w:val="20"/>
        <w:u w:val="none" w:color="000000"/>
        <w:bdr w:val="none" w:sz="0" w:space="0" w:color="auto"/>
        <w:shd w:val="clear" w:color="auto" w:fill="auto"/>
        <w:vertAlign w:val="baseline"/>
      </w:rPr>
    </w:lvl>
    <w:lvl w:ilvl="7" w:tplc="1FAED5BC">
      <w:start w:val="1"/>
      <w:numFmt w:val="bullet"/>
      <w:lvlText w:val="o"/>
      <w:lvlJc w:val="left"/>
      <w:pPr>
        <w:ind w:left="5687"/>
      </w:pPr>
      <w:rPr>
        <w:rFonts w:ascii="Calibri" w:eastAsia="Calibri" w:hAnsi="Calibri" w:cs="Calibri"/>
        <w:b/>
        <w:bCs/>
        <w:i w:val="0"/>
        <w:strike w:val="0"/>
        <w:dstrike w:val="0"/>
        <w:color w:val="3A5FAC"/>
        <w:sz w:val="20"/>
        <w:szCs w:val="20"/>
        <w:u w:val="none" w:color="000000"/>
        <w:bdr w:val="none" w:sz="0" w:space="0" w:color="auto"/>
        <w:shd w:val="clear" w:color="auto" w:fill="auto"/>
        <w:vertAlign w:val="baseline"/>
      </w:rPr>
    </w:lvl>
    <w:lvl w:ilvl="8" w:tplc="0ED8B50C">
      <w:start w:val="1"/>
      <w:numFmt w:val="bullet"/>
      <w:lvlText w:val="▪"/>
      <w:lvlJc w:val="left"/>
      <w:pPr>
        <w:ind w:left="6407"/>
      </w:pPr>
      <w:rPr>
        <w:rFonts w:ascii="Calibri" w:eastAsia="Calibri" w:hAnsi="Calibri" w:cs="Calibri"/>
        <w:b/>
        <w:bCs/>
        <w:i w:val="0"/>
        <w:strike w:val="0"/>
        <w:dstrike w:val="0"/>
        <w:color w:val="3A5FAC"/>
        <w:sz w:val="20"/>
        <w:szCs w:val="20"/>
        <w:u w:val="none" w:color="000000"/>
        <w:bdr w:val="none" w:sz="0" w:space="0" w:color="auto"/>
        <w:shd w:val="clear" w:color="auto" w:fill="auto"/>
        <w:vertAlign w:val="baseline"/>
      </w:rPr>
    </w:lvl>
  </w:abstractNum>
  <w:abstractNum w:abstractNumId="40" w15:restartNumberingAfterBreak="0">
    <w:nsid w:val="61AC4B21"/>
    <w:multiLevelType w:val="hybridMultilevel"/>
    <w:tmpl w:val="D414805E"/>
    <w:lvl w:ilvl="0" w:tplc="224C0392">
      <w:start w:val="1"/>
      <w:numFmt w:val="decimal"/>
      <w:lvlText w:val="%1."/>
      <w:lvlJc w:val="left"/>
      <w:pPr>
        <w:tabs>
          <w:tab w:val="num" w:pos="720"/>
        </w:tabs>
        <w:ind w:left="720" w:hanging="360"/>
      </w:pPr>
    </w:lvl>
    <w:lvl w:ilvl="1" w:tplc="5F84C2C4" w:tentative="1">
      <w:start w:val="1"/>
      <w:numFmt w:val="decimal"/>
      <w:lvlText w:val="%2."/>
      <w:lvlJc w:val="left"/>
      <w:pPr>
        <w:tabs>
          <w:tab w:val="num" w:pos="1440"/>
        </w:tabs>
        <w:ind w:left="1440" w:hanging="360"/>
      </w:pPr>
    </w:lvl>
    <w:lvl w:ilvl="2" w:tplc="633EDEA2" w:tentative="1">
      <w:start w:val="1"/>
      <w:numFmt w:val="decimal"/>
      <w:lvlText w:val="%3."/>
      <w:lvlJc w:val="left"/>
      <w:pPr>
        <w:tabs>
          <w:tab w:val="num" w:pos="2160"/>
        </w:tabs>
        <w:ind w:left="2160" w:hanging="360"/>
      </w:pPr>
    </w:lvl>
    <w:lvl w:ilvl="3" w:tplc="AF1AF854" w:tentative="1">
      <w:start w:val="1"/>
      <w:numFmt w:val="decimal"/>
      <w:lvlText w:val="%4."/>
      <w:lvlJc w:val="left"/>
      <w:pPr>
        <w:tabs>
          <w:tab w:val="num" w:pos="2880"/>
        </w:tabs>
        <w:ind w:left="2880" w:hanging="360"/>
      </w:pPr>
    </w:lvl>
    <w:lvl w:ilvl="4" w:tplc="66E265EA" w:tentative="1">
      <w:start w:val="1"/>
      <w:numFmt w:val="decimal"/>
      <w:lvlText w:val="%5."/>
      <w:lvlJc w:val="left"/>
      <w:pPr>
        <w:tabs>
          <w:tab w:val="num" w:pos="3600"/>
        </w:tabs>
        <w:ind w:left="3600" w:hanging="360"/>
      </w:pPr>
    </w:lvl>
    <w:lvl w:ilvl="5" w:tplc="4278645C" w:tentative="1">
      <w:start w:val="1"/>
      <w:numFmt w:val="decimal"/>
      <w:lvlText w:val="%6."/>
      <w:lvlJc w:val="left"/>
      <w:pPr>
        <w:tabs>
          <w:tab w:val="num" w:pos="4320"/>
        </w:tabs>
        <w:ind w:left="4320" w:hanging="360"/>
      </w:pPr>
    </w:lvl>
    <w:lvl w:ilvl="6" w:tplc="9B9C39F2" w:tentative="1">
      <w:start w:val="1"/>
      <w:numFmt w:val="decimal"/>
      <w:lvlText w:val="%7."/>
      <w:lvlJc w:val="left"/>
      <w:pPr>
        <w:tabs>
          <w:tab w:val="num" w:pos="5040"/>
        </w:tabs>
        <w:ind w:left="5040" w:hanging="360"/>
      </w:pPr>
    </w:lvl>
    <w:lvl w:ilvl="7" w:tplc="48C2A338" w:tentative="1">
      <w:start w:val="1"/>
      <w:numFmt w:val="decimal"/>
      <w:lvlText w:val="%8."/>
      <w:lvlJc w:val="left"/>
      <w:pPr>
        <w:tabs>
          <w:tab w:val="num" w:pos="5760"/>
        </w:tabs>
        <w:ind w:left="5760" w:hanging="360"/>
      </w:pPr>
    </w:lvl>
    <w:lvl w:ilvl="8" w:tplc="403A4B28" w:tentative="1">
      <w:start w:val="1"/>
      <w:numFmt w:val="decimal"/>
      <w:lvlText w:val="%9."/>
      <w:lvlJc w:val="left"/>
      <w:pPr>
        <w:tabs>
          <w:tab w:val="num" w:pos="6480"/>
        </w:tabs>
        <w:ind w:left="6480" w:hanging="360"/>
      </w:pPr>
    </w:lvl>
  </w:abstractNum>
  <w:abstractNum w:abstractNumId="41" w15:restartNumberingAfterBreak="0">
    <w:nsid w:val="674A4813"/>
    <w:multiLevelType w:val="hybridMultilevel"/>
    <w:tmpl w:val="AB1246EA"/>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67BF67CA"/>
    <w:multiLevelType w:val="hybridMultilevel"/>
    <w:tmpl w:val="073858C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67CD5ECA"/>
    <w:multiLevelType w:val="hybridMultilevel"/>
    <w:tmpl w:val="8DCE86C8"/>
    <w:lvl w:ilvl="0" w:tplc="08090001">
      <w:start w:val="1"/>
      <w:numFmt w:val="bullet"/>
      <w:lvlText w:val=""/>
      <w:lvlJc w:val="left"/>
      <w:pPr>
        <w:ind w:left="712" w:hanging="360"/>
      </w:pPr>
      <w:rPr>
        <w:rFonts w:ascii="Symbol" w:hAnsi="Symbol" w:hint="default"/>
      </w:rPr>
    </w:lvl>
    <w:lvl w:ilvl="1" w:tplc="08090003" w:tentative="1">
      <w:start w:val="1"/>
      <w:numFmt w:val="bullet"/>
      <w:lvlText w:val="o"/>
      <w:lvlJc w:val="left"/>
      <w:pPr>
        <w:ind w:left="1432" w:hanging="360"/>
      </w:pPr>
      <w:rPr>
        <w:rFonts w:ascii="Courier New" w:hAnsi="Courier New" w:cs="Courier New" w:hint="default"/>
      </w:rPr>
    </w:lvl>
    <w:lvl w:ilvl="2" w:tplc="08090005" w:tentative="1">
      <w:start w:val="1"/>
      <w:numFmt w:val="bullet"/>
      <w:lvlText w:val=""/>
      <w:lvlJc w:val="left"/>
      <w:pPr>
        <w:ind w:left="2152" w:hanging="360"/>
      </w:pPr>
      <w:rPr>
        <w:rFonts w:ascii="Wingdings" w:hAnsi="Wingdings" w:hint="default"/>
      </w:rPr>
    </w:lvl>
    <w:lvl w:ilvl="3" w:tplc="08090001" w:tentative="1">
      <w:start w:val="1"/>
      <w:numFmt w:val="bullet"/>
      <w:lvlText w:val=""/>
      <w:lvlJc w:val="left"/>
      <w:pPr>
        <w:ind w:left="2872" w:hanging="360"/>
      </w:pPr>
      <w:rPr>
        <w:rFonts w:ascii="Symbol" w:hAnsi="Symbol" w:hint="default"/>
      </w:rPr>
    </w:lvl>
    <w:lvl w:ilvl="4" w:tplc="08090003" w:tentative="1">
      <w:start w:val="1"/>
      <w:numFmt w:val="bullet"/>
      <w:lvlText w:val="o"/>
      <w:lvlJc w:val="left"/>
      <w:pPr>
        <w:ind w:left="3592" w:hanging="360"/>
      </w:pPr>
      <w:rPr>
        <w:rFonts w:ascii="Courier New" w:hAnsi="Courier New" w:cs="Courier New" w:hint="default"/>
      </w:rPr>
    </w:lvl>
    <w:lvl w:ilvl="5" w:tplc="08090005" w:tentative="1">
      <w:start w:val="1"/>
      <w:numFmt w:val="bullet"/>
      <w:lvlText w:val=""/>
      <w:lvlJc w:val="left"/>
      <w:pPr>
        <w:ind w:left="4312" w:hanging="360"/>
      </w:pPr>
      <w:rPr>
        <w:rFonts w:ascii="Wingdings" w:hAnsi="Wingdings" w:hint="default"/>
      </w:rPr>
    </w:lvl>
    <w:lvl w:ilvl="6" w:tplc="08090001" w:tentative="1">
      <w:start w:val="1"/>
      <w:numFmt w:val="bullet"/>
      <w:lvlText w:val=""/>
      <w:lvlJc w:val="left"/>
      <w:pPr>
        <w:ind w:left="5032" w:hanging="360"/>
      </w:pPr>
      <w:rPr>
        <w:rFonts w:ascii="Symbol" w:hAnsi="Symbol" w:hint="default"/>
      </w:rPr>
    </w:lvl>
    <w:lvl w:ilvl="7" w:tplc="08090003" w:tentative="1">
      <w:start w:val="1"/>
      <w:numFmt w:val="bullet"/>
      <w:lvlText w:val="o"/>
      <w:lvlJc w:val="left"/>
      <w:pPr>
        <w:ind w:left="5752" w:hanging="360"/>
      </w:pPr>
      <w:rPr>
        <w:rFonts w:ascii="Courier New" w:hAnsi="Courier New" w:cs="Courier New" w:hint="default"/>
      </w:rPr>
    </w:lvl>
    <w:lvl w:ilvl="8" w:tplc="08090005" w:tentative="1">
      <w:start w:val="1"/>
      <w:numFmt w:val="bullet"/>
      <w:lvlText w:val=""/>
      <w:lvlJc w:val="left"/>
      <w:pPr>
        <w:ind w:left="6472" w:hanging="360"/>
      </w:pPr>
      <w:rPr>
        <w:rFonts w:ascii="Wingdings" w:hAnsi="Wingdings" w:hint="default"/>
      </w:rPr>
    </w:lvl>
  </w:abstractNum>
  <w:abstractNum w:abstractNumId="44" w15:restartNumberingAfterBreak="0">
    <w:nsid w:val="6A383B5C"/>
    <w:multiLevelType w:val="hybridMultilevel"/>
    <w:tmpl w:val="F72260D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5" w15:restartNumberingAfterBreak="0">
    <w:nsid w:val="6B5154FC"/>
    <w:multiLevelType w:val="hybridMultilevel"/>
    <w:tmpl w:val="235E448C"/>
    <w:lvl w:ilvl="0" w:tplc="44943BC6">
      <w:start w:val="1"/>
      <w:numFmt w:val="bullet"/>
      <w:lvlText w:val="•"/>
      <w:lvlJc w:val="left"/>
      <w:pPr>
        <w:tabs>
          <w:tab w:val="num" w:pos="720"/>
        </w:tabs>
        <w:ind w:left="720" w:hanging="360"/>
      </w:pPr>
      <w:rPr>
        <w:rFonts w:ascii="Arial" w:hAnsi="Arial" w:hint="default"/>
      </w:rPr>
    </w:lvl>
    <w:lvl w:ilvl="1" w:tplc="6BC27162" w:tentative="1">
      <w:start w:val="1"/>
      <w:numFmt w:val="bullet"/>
      <w:lvlText w:val="•"/>
      <w:lvlJc w:val="left"/>
      <w:pPr>
        <w:tabs>
          <w:tab w:val="num" w:pos="1440"/>
        </w:tabs>
        <w:ind w:left="1440" w:hanging="360"/>
      </w:pPr>
      <w:rPr>
        <w:rFonts w:ascii="Arial" w:hAnsi="Arial" w:hint="default"/>
      </w:rPr>
    </w:lvl>
    <w:lvl w:ilvl="2" w:tplc="44FCE034" w:tentative="1">
      <w:start w:val="1"/>
      <w:numFmt w:val="bullet"/>
      <w:lvlText w:val="•"/>
      <w:lvlJc w:val="left"/>
      <w:pPr>
        <w:tabs>
          <w:tab w:val="num" w:pos="2160"/>
        </w:tabs>
        <w:ind w:left="2160" w:hanging="360"/>
      </w:pPr>
      <w:rPr>
        <w:rFonts w:ascii="Arial" w:hAnsi="Arial" w:hint="default"/>
      </w:rPr>
    </w:lvl>
    <w:lvl w:ilvl="3" w:tplc="EA86D15C" w:tentative="1">
      <w:start w:val="1"/>
      <w:numFmt w:val="bullet"/>
      <w:lvlText w:val="•"/>
      <w:lvlJc w:val="left"/>
      <w:pPr>
        <w:tabs>
          <w:tab w:val="num" w:pos="2880"/>
        </w:tabs>
        <w:ind w:left="2880" w:hanging="360"/>
      </w:pPr>
      <w:rPr>
        <w:rFonts w:ascii="Arial" w:hAnsi="Arial" w:hint="default"/>
      </w:rPr>
    </w:lvl>
    <w:lvl w:ilvl="4" w:tplc="5C768704" w:tentative="1">
      <w:start w:val="1"/>
      <w:numFmt w:val="bullet"/>
      <w:lvlText w:val="•"/>
      <w:lvlJc w:val="left"/>
      <w:pPr>
        <w:tabs>
          <w:tab w:val="num" w:pos="3600"/>
        </w:tabs>
        <w:ind w:left="3600" w:hanging="360"/>
      </w:pPr>
      <w:rPr>
        <w:rFonts w:ascii="Arial" w:hAnsi="Arial" w:hint="default"/>
      </w:rPr>
    </w:lvl>
    <w:lvl w:ilvl="5" w:tplc="0786D8E4" w:tentative="1">
      <w:start w:val="1"/>
      <w:numFmt w:val="bullet"/>
      <w:lvlText w:val="•"/>
      <w:lvlJc w:val="left"/>
      <w:pPr>
        <w:tabs>
          <w:tab w:val="num" w:pos="4320"/>
        </w:tabs>
        <w:ind w:left="4320" w:hanging="360"/>
      </w:pPr>
      <w:rPr>
        <w:rFonts w:ascii="Arial" w:hAnsi="Arial" w:hint="default"/>
      </w:rPr>
    </w:lvl>
    <w:lvl w:ilvl="6" w:tplc="5C665182" w:tentative="1">
      <w:start w:val="1"/>
      <w:numFmt w:val="bullet"/>
      <w:lvlText w:val="•"/>
      <w:lvlJc w:val="left"/>
      <w:pPr>
        <w:tabs>
          <w:tab w:val="num" w:pos="5040"/>
        </w:tabs>
        <w:ind w:left="5040" w:hanging="360"/>
      </w:pPr>
      <w:rPr>
        <w:rFonts w:ascii="Arial" w:hAnsi="Arial" w:hint="default"/>
      </w:rPr>
    </w:lvl>
    <w:lvl w:ilvl="7" w:tplc="6BECB43E" w:tentative="1">
      <w:start w:val="1"/>
      <w:numFmt w:val="bullet"/>
      <w:lvlText w:val="•"/>
      <w:lvlJc w:val="left"/>
      <w:pPr>
        <w:tabs>
          <w:tab w:val="num" w:pos="5760"/>
        </w:tabs>
        <w:ind w:left="5760" w:hanging="360"/>
      </w:pPr>
      <w:rPr>
        <w:rFonts w:ascii="Arial" w:hAnsi="Arial" w:hint="default"/>
      </w:rPr>
    </w:lvl>
    <w:lvl w:ilvl="8" w:tplc="52669E5A"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6CF010F3"/>
    <w:multiLevelType w:val="hybridMultilevel"/>
    <w:tmpl w:val="F8BA9B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6E2A058E"/>
    <w:multiLevelType w:val="multilevel"/>
    <w:tmpl w:val="8AF2EC98"/>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8" w15:restartNumberingAfterBreak="0">
    <w:nsid w:val="6F4746B4"/>
    <w:multiLevelType w:val="hybridMultilevel"/>
    <w:tmpl w:val="372C2438"/>
    <w:lvl w:ilvl="0" w:tplc="C7D48D92">
      <w:start w:val="1"/>
      <w:numFmt w:val="bullet"/>
      <w:lvlText w:val="•"/>
      <w:lvlJc w:val="left"/>
      <w:pPr>
        <w:ind w:left="441"/>
      </w:pPr>
      <w:rPr>
        <w:rFonts w:ascii="Calibri" w:eastAsia="Calibri" w:hAnsi="Calibri" w:cs="Calibri"/>
        <w:b w:val="0"/>
        <w:i w:val="0"/>
        <w:strike w:val="0"/>
        <w:dstrike w:val="0"/>
        <w:color w:val="4D4D4F"/>
        <w:sz w:val="20"/>
        <w:szCs w:val="20"/>
        <w:u w:val="none" w:color="000000"/>
        <w:bdr w:val="none" w:sz="0" w:space="0" w:color="auto"/>
        <w:shd w:val="clear" w:color="auto" w:fill="auto"/>
        <w:vertAlign w:val="baseline"/>
      </w:rPr>
    </w:lvl>
    <w:lvl w:ilvl="1" w:tplc="9C980E30">
      <w:start w:val="1"/>
      <w:numFmt w:val="bullet"/>
      <w:lvlText w:val="o"/>
      <w:lvlJc w:val="left"/>
      <w:pPr>
        <w:ind w:left="1307"/>
      </w:pPr>
      <w:rPr>
        <w:rFonts w:ascii="Calibri" w:eastAsia="Calibri" w:hAnsi="Calibri" w:cs="Calibri"/>
        <w:b w:val="0"/>
        <w:i w:val="0"/>
        <w:strike w:val="0"/>
        <w:dstrike w:val="0"/>
        <w:color w:val="4D4D4F"/>
        <w:sz w:val="20"/>
        <w:szCs w:val="20"/>
        <w:u w:val="none" w:color="000000"/>
        <w:bdr w:val="none" w:sz="0" w:space="0" w:color="auto"/>
        <w:shd w:val="clear" w:color="auto" w:fill="auto"/>
        <w:vertAlign w:val="baseline"/>
      </w:rPr>
    </w:lvl>
    <w:lvl w:ilvl="2" w:tplc="90FEE124">
      <w:start w:val="1"/>
      <w:numFmt w:val="bullet"/>
      <w:lvlText w:val="▪"/>
      <w:lvlJc w:val="left"/>
      <w:pPr>
        <w:ind w:left="2027"/>
      </w:pPr>
      <w:rPr>
        <w:rFonts w:ascii="Calibri" w:eastAsia="Calibri" w:hAnsi="Calibri" w:cs="Calibri"/>
        <w:b w:val="0"/>
        <w:i w:val="0"/>
        <w:strike w:val="0"/>
        <w:dstrike w:val="0"/>
        <w:color w:val="4D4D4F"/>
        <w:sz w:val="20"/>
        <w:szCs w:val="20"/>
        <w:u w:val="none" w:color="000000"/>
        <w:bdr w:val="none" w:sz="0" w:space="0" w:color="auto"/>
        <w:shd w:val="clear" w:color="auto" w:fill="auto"/>
        <w:vertAlign w:val="baseline"/>
      </w:rPr>
    </w:lvl>
    <w:lvl w:ilvl="3" w:tplc="C79C3E4A">
      <w:start w:val="1"/>
      <w:numFmt w:val="bullet"/>
      <w:lvlText w:val="•"/>
      <w:lvlJc w:val="left"/>
      <w:pPr>
        <w:ind w:left="2747"/>
      </w:pPr>
      <w:rPr>
        <w:rFonts w:ascii="Calibri" w:eastAsia="Calibri" w:hAnsi="Calibri" w:cs="Calibri"/>
        <w:b w:val="0"/>
        <w:i w:val="0"/>
        <w:strike w:val="0"/>
        <w:dstrike w:val="0"/>
        <w:color w:val="4D4D4F"/>
        <w:sz w:val="20"/>
        <w:szCs w:val="20"/>
        <w:u w:val="none" w:color="000000"/>
        <w:bdr w:val="none" w:sz="0" w:space="0" w:color="auto"/>
        <w:shd w:val="clear" w:color="auto" w:fill="auto"/>
        <w:vertAlign w:val="baseline"/>
      </w:rPr>
    </w:lvl>
    <w:lvl w:ilvl="4" w:tplc="05AC060E">
      <w:start w:val="1"/>
      <w:numFmt w:val="bullet"/>
      <w:lvlText w:val="o"/>
      <w:lvlJc w:val="left"/>
      <w:pPr>
        <w:ind w:left="3467"/>
      </w:pPr>
      <w:rPr>
        <w:rFonts w:ascii="Calibri" w:eastAsia="Calibri" w:hAnsi="Calibri" w:cs="Calibri"/>
        <w:b w:val="0"/>
        <w:i w:val="0"/>
        <w:strike w:val="0"/>
        <w:dstrike w:val="0"/>
        <w:color w:val="4D4D4F"/>
        <w:sz w:val="20"/>
        <w:szCs w:val="20"/>
        <w:u w:val="none" w:color="000000"/>
        <w:bdr w:val="none" w:sz="0" w:space="0" w:color="auto"/>
        <w:shd w:val="clear" w:color="auto" w:fill="auto"/>
        <w:vertAlign w:val="baseline"/>
      </w:rPr>
    </w:lvl>
    <w:lvl w:ilvl="5" w:tplc="8D4AD330">
      <w:start w:val="1"/>
      <w:numFmt w:val="bullet"/>
      <w:lvlText w:val="▪"/>
      <w:lvlJc w:val="left"/>
      <w:pPr>
        <w:ind w:left="4187"/>
      </w:pPr>
      <w:rPr>
        <w:rFonts w:ascii="Calibri" w:eastAsia="Calibri" w:hAnsi="Calibri" w:cs="Calibri"/>
        <w:b w:val="0"/>
        <w:i w:val="0"/>
        <w:strike w:val="0"/>
        <w:dstrike w:val="0"/>
        <w:color w:val="4D4D4F"/>
        <w:sz w:val="20"/>
        <w:szCs w:val="20"/>
        <w:u w:val="none" w:color="000000"/>
        <w:bdr w:val="none" w:sz="0" w:space="0" w:color="auto"/>
        <w:shd w:val="clear" w:color="auto" w:fill="auto"/>
        <w:vertAlign w:val="baseline"/>
      </w:rPr>
    </w:lvl>
    <w:lvl w:ilvl="6" w:tplc="8690CAAE">
      <w:start w:val="1"/>
      <w:numFmt w:val="bullet"/>
      <w:lvlText w:val="•"/>
      <w:lvlJc w:val="left"/>
      <w:pPr>
        <w:ind w:left="4907"/>
      </w:pPr>
      <w:rPr>
        <w:rFonts w:ascii="Calibri" w:eastAsia="Calibri" w:hAnsi="Calibri" w:cs="Calibri"/>
        <w:b w:val="0"/>
        <w:i w:val="0"/>
        <w:strike w:val="0"/>
        <w:dstrike w:val="0"/>
        <w:color w:val="4D4D4F"/>
        <w:sz w:val="20"/>
        <w:szCs w:val="20"/>
        <w:u w:val="none" w:color="000000"/>
        <w:bdr w:val="none" w:sz="0" w:space="0" w:color="auto"/>
        <w:shd w:val="clear" w:color="auto" w:fill="auto"/>
        <w:vertAlign w:val="baseline"/>
      </w:rPr>
    </w:lvl>
    <w:lvl w:ilvl="7" w:tplc="E862AB00">
      <w:start w:val="1"/>
      <w:numFmt w:val="bullet"/>
      <w:lvlText w:val="o"/>
      <w:lvlJc w:val="left"/>
      <w:pPr>
        <w:ind w:left="5627"/>
      </w:pPr>
      <w:rPr>
        <w:rFonts w:ascii="Calibri" w:eastAsia="Calibri" w:hAnsi="Calibri" w:cs="Calibri"/>
        <w:b w:val="0"/>
        <w:i w:val="0"/>
        <w:strike w:val="0"/>
        <w:dstrike w:val="0"/>
        <w:color w:val="4D4D4F"/>
        <w:sz w:val="20"/>
        <w:szCs w:val="20"/>
        <w:u w:val="none" w:color="000000"/>
        <w:bdr w:val="none" w:sz="0" w:space="0" w:color="auto"/>
        <w:shd w:val="clear" w:color="auto" w:fill="auto"/>
        <w:vertAlign w:val="baseline"/>
      </w:rPr>
    </w:lvl>
    <w:lvl w:ilvl="8" w:tplc="9D1E25F0">
      <w:start w:val="1"/>
      <w:numFmt w:val="bullet"/>
      <w:lvlText w:val="▪"/>
      <w:lvlJc w:val="left"/>
      <w:pPr>
        <w:ind w:left="6347"/>
      </w:pPr>
      <w:rPr>
        <w:rFonts w:ascii="Calibri" w:eastAsia="Calibri" w:hAnsi="Calibri" w:cs="Calibri"/>
        <w:b w:val="0"/>
        <w:i w:val="0"/>
        <w:strike w:val="0"/>
        <w:dstrike w:val="0"/>
        <w:color w:val="4D4D4F"/>
        <w:sz w:val="20"/>
        <w:szCs w:val="20"/>
        <w:u w:val="none" w:color="000000"/>
        <w:bdr w:val="none" w:sz="0" w:space="0" w:color="auto"/>
        <w:shd w:val="clear" w:color="auto" w:fill="auto"/>
        <w:vertAlign w:val="baseline"/>
      </w:rPr>
    </w:lvl>
  </w:abstractNum>
  <w:abstractNum w:abstractNumId="49" w15:restartNumberingAfterBreak="0">
    <w:nsid w:val="75FA3FFA"/>
    <w:multiLevelType w:val="hybridMultilevel"/>
    <w:tmpl w:val="4AFC1D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776956A5"/>
    <w:multiLevelType w:val="hybridMultilevel"/>
    <w:tmpl w:val="5D7CEA52"/>
    <w:lvl w:ilvl="0" w:tplc="049629EC">
      <w:start w:val="1"/>
      <w:numFmt w:val="bullet"/>
      <w:lvlText w:val="•"/>
      <w:lvlJc w:val="left"/>
      <w:pPr>
        <w:ind w:left="441"/>
      </w:pPr>
      <w:rPr>
        <w:rFonts w:ascii="Calibri" w:eastAsia="Calibri" w:hAnsi="Calibri" w:cs="Calibri"/>
        <w:b w:val="0"/>
        <w:i w:val="0"/>
        <w:strike w:val="0"/>
        <w:dstrike w:val="0"/>
        <w:color w:val="4D4D4F"/>
        <w:sz w:val="20"/>
        <w:szCs w:val="20"/>
        <w:u w:val="none" w:color="000000"/>
        <w:bdr w:val="none" w:sz="0" w:space="0" w:color="auto"/>
        <w:shd w:val="clear" w:color="auto" w:fill="auto"/>
        <w:vertAlign w:val="baseline"/>
      </w:rPr>
    </w:lvl>
    <w:lvl w:ilvl="1" w:tplc="A4608D38">
      <w:start w:val="1"/>
      <w:numFmt w:val="bullet"/>
      <w:lvlText w:val="o"/>
      <w:lvlJc w:val="left"/>
      <w:pPr>
        <w:ind w:left="1307"/>
      </w:pPr>
      <w:rPr>
        <w:rFonts w:ascii="Calibri" w:eastAsia="Calibri" w:hAnsi="Calibri" w:cs="Calibri"/>
        <w:b w:val="0"/>
        <w:i w:val="0"/>
        <w:strike w:val="0"/>
        <w:dstrike w:val="0"/>
        <w:color w:val="4D4D4F"/>
        <w:sz w:val="20"/>
        <w:szCs w:val="20"/>
        <w:u w:val="none" w:color="000000"/>
        <w:bdr w:val="none" w:sz="0" w:space="0" w:color="auto"/>
        <w:shd w:val="clear" w:color="auto" w:fill="auto"/>
        <w:vertAlign w:val="baseline"/>
      </w:rPr>
    </w:lvl>
    <w:lvl w:ilvl="2" w:tplc="1B9EDED6">
      <w:start w:val="1"/>
      <w:numFmt w:val="bullet"/>
      <w:lvlText w:val="▪"/>
      <w:lvlJc w:val="left"/>
      <w:pPr>
        <w:ind w:left="2027"/>
      </w:pPr>
      <w:rPr>
        <w:rFonts w:ascii="Calibri" w:eastAsia="Calibri" w:hAnsi="Calibri" w:cs="Calibri"/>
        <w:b w:val="0"/>
        <w:i w:val="0"/>
        <w:strike w:val="0"/>
        <w:dstrike w:val="0"/>
        <w:color w:val="4D4D4F"/>
        <w:sz w:val="20"/>
        <w:szCs w:val="20"/>
        <w:u w:val="none" w:color="000000"/>
        <w:bdr w:val="none" w:sz="0" w:space="0" w:color="auto"/>
        <w:shd w:val="clear" w:color="auto" w:fill="auto"/>
        <w:vertAlign w:val="baseline"/>
      </w:rPr>
    </w:lvl>
    <w:lvl w:ilvl="3" w:tplc="43D22E12">
      <w:start w:val="1"/>
      <w:numFmt w:val="bullet"/>
      <w:lvlText w:val="•"/>
      <w:lvlJc w:val="left"/>
      <w:pPr>
        <w:ind w:left="2747"/>
      </w:pPr>
      <w:rPr>
        <w:rFonts w:ascii="Calibri" w:eastAsia="Calibri" w:hAnsi="Calibri" w:cs="Calibri"/>
        <w:b w:val="0"/>
        <w:i w:val="0"/>
        <w:strike w:val="0"/>
        <w:dstrike w:val="0"/>
        <w:color w:val="4D4D4F"/>
        <w:sz w:val="20"/>
        <w:szCs w:val="20"/>
        <w:u w:val="none" w:color="000000"/>
        <w:bdr w:val="none" w:sz="0" w:space="0" w:color="auto"/>
        <w:shd w:val="clear" w:color="auto" w:fill="auto"/>
        <w:vertAlign w:val="baseline"/>
      </w:rPr>
    </w:lvl>
    <w:lvl w:ilvl="4" w:tplc="F484359C">
      <w:start w:val="1"/>
      <w:numFmt w:val="bullet"/>
      <w:lvlText w:val="o"/>
      <w:lvlJc w:val="left"/>
      <w:pPr>
        <w:ind w:left="3467"/>
      </w:pPr>
      <w:rPr>
        <w:rFonts w:ascii="Calibri" w:eastAsia="Calibri" w:hAnsi="Calibri" w:cs="Calibri"/>
        <w:b w:val="0"/>
        <w:i w:val="0"/>
        <w:strike w:val="0"/>
        <w:dstrike w:val="0"/>
        <w:color w:val="4D4D4F"/>
        <w:sz w:val="20"/>
        <w:szCs w:val="20"/>
        <w:u w:val="none" w:color="000000"/>
        <w:bdr w:val="none" w:sz="0" w:space="0" w:color="auto"/>
        <w:shd w:val="clear" w:color="auto" w:fill="auto"/>
        <w:vertAlign w:val="baseline"/>
      </w:rPr>
    </w:lvl>
    <w:lvl w:ilvl="5" w:tplc="ED185BA8">
      <w:start w:val="1"/>
      <w:numFmt w:val="bullet"/>
      <w:lvlText w:val="▪"/>
      <w:lvlJc w:val="left"/>
      <w:pPr>
        <w:ind w:left="4187"/>
      </w:pPr>
      <w:rPr>
        <w:rFonts w:ascii="Calibri" w:eastAsia="Calibri" w:hAnsi="Calibri" w:cs="Calibri"/>
        <w:b w:val="0"/>
        <w:i w:val="0"/>
        <w:strike w:val="0"/>
        <w:dstrike w:val="0"/>
        <w:color w:val="4D4D4F"/>
        <w:sz w:val="20"/>
        <w:szCs w:val="20"/>
        <w:u w:val="none" w:color="000000"/>
        <w:bdr w:val="none" w:sz="0" w:space="0" w:color="auto"/>
        <w:shd w:val="clear" w:color="auto" w:fill="auto"/>
        <w:vertAlign w:val="baseline"/>
      </w:rPr>
    </w:lvl>
    <w:lvl w:ilvl="6" w:tplc="99B4FF2E">
      <w:start w:val="1"/>
      <w:numFmt w:val="bullet"/>
      <w:lvlText w:val="•"/>
      <w:lvlJc w:val="left"/>
      <w:pPr>
        <w:ind w:left="4907"/>
      </w:pPr>
      <w:rPr>
        <w:rFonts w:ascii="Calibri" w:eastAsia="Calibri" w:hAnsi="Calibri" w:cs="Calibri"/>
        <w:b w:val="0"/>
        <w:i w:val="0"/>
        <w:strike w:val="0"/>
        <w:dstrike w:val="0"/>
        <w:color w:val="4D4D4F"/>
        <w:sz w:val="20"/>
        <w:szCs w:val="20"/>
        <w:u w:val="none" w:color="000000"/>
        <w:bdr w:val="none" w:sz="0" w:space="0" w:color="auto"/>
        <w:shd w:val="clear" w:color="auto" w:fill="auto"/>
        <w:vertAlign w:val="baseline"/>
      </w:rPr>
    </w:lvl>
    <w:lvl w:ilvl="7" w:tplc="3A948960">
      <w:start w:val="1"/>
      <w:numFmt w:val="bullet"/>
      <w:lvlText w:val="o"/>
      <w:lvlJc w:val="left"/>
      <w:pPr>
        <w:ind w:left="5627"/>
      </w:pPr>
      <w:rPr>
        <w:rFonts w:ascii="Calibri" w:eastAsia="Calibri" w:hAnsi="Calibri" w:cs="Calibri"/>
        <w:b w:val="0"/>
        <w:i w:val="0"/>
        <w:strike w:val="0"/>
        <w:dstrike w:val="0"/>
        <w:color w:val="4D4D4F"/>
        <w:sz w:val="20"/>
        <w:szCs w:val="20"/>
        <w:u w:val="none" w:color="000000"/>
        <w:bdr w:val="none" w:sz="0" w:space="0" w:color="auto"/>
        <w:shd w:val="clear" w:color="auto" w:fill="auto"/>
        <w:vertAlign w:val="baseline"/>
      </w:rPr>
    </w:lvl>
    <w:lvl w:ilvl="8" w:tplc="C018F604">
      <w:start w:val="1"/>
      <w:numFmt w:val="bullet"/>
      <w:lvlText w:val="▪"/>
      <w:lvlJc w:val="left"/>
      <w:pPr>
        <w:ind w:left="6347"/>
      </w:pPr>
      <w:rPr>
        <w:rFonts w:ascii="Calibri" w:eastAsia="Calibri" w:hAnsi="Calibri" w:cs="Calibri"/>
        <w:b w:val="0"/>
        <w:i w:val="0"/>
        <w:strike w:val="0"/>
        <w:dstrike w:val="0"/>
        <w:color w:val="4D4D4F"/>
        <w:sz w:val="20"/>
        <w:szCs w:val="20"/>
        <w:u w:val="none" w:color="000000"/>
        <w:bdr w:val="none" w:sz="0" w:space="0" w:color="auto"/>
        <w:shd w:val="clear" w:color="auto" w:fill="auto"/>
        <w:vertAlign w:val="baseline"/>
      </w:rPr>
    </w:lvl>
  </w:abstractNum>
  <w:abstractNum w:abstractNumId="51" w15:restartNumberingAfterBreak="0">
    <w:nsid w:val="7AF0230D"/>
    <w:multiLevelType w:val="hybridMultilevel"/>
    <w:tmpl w:val="A42CCC4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7BF06AEC"/>
    <w:multiLevelType w:val="hybridMultilevel"/>
    <w:tmpl w:val="4192CBB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 w15:restartNumberingAfterBreak="0">
    <w:nsid w:val="7EB07D45"/>
    <w:multiLevelType w:val="hybridMultilevel"/>
    <w:tmpl w:val="47F4D6D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15:restartNumberingAfterBreak="0">
    <w:nsid w:val="7F8D247D"/>
    <w:multiLevelType w:val="hybridMultilevel"/>
    <w:tmpl w:val="1BE8F7D0"/>
    <w:lvl w:ilvl="0" w:tplc="FFFFFFFF">
      <w:start w:val="1"/>
      <w:numFmt w:val="bullet"/>
      <w:lvlText w:val=""/>
      <w:lvlJc w:val="left"/>
      <w:pPr>
        <w:tabs>
          <w:tab w:val="num" w:pos="1080"/>
        </w:tabs>
        <w:ind w:left="1080" w:hanging="360"/>
      </w:pPr>
      <w:rPr>
        <w:rFonts w:ascii="Symbol" w:hAnsi="Symbol" w:hint="default"/>
      </w:rPr>
    </w:lvl>
    <w:lvl w:ilvl="1" w:tplc="FFFFFFFF">
      <w:start w:val="1"/>
      <w:numFmt w:val="bullet"/>
      <w:lvlText w:val="o"/>
      <w:lvlJc w:val="left"/>
      <w:pPr>
        <w:tabs>
          <w:tab w:val="num" w:pos="1800"/>
        </w:tabs>
        <w:ind w:left="1800" w:hanging="360"/>
      </w:pPr>
      <w:rPr>
        <w:rFonts w:ascii="Courier New" w:hAnsi="Courier New" w:cs="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num w:numId="1">
    <w:abstractNumId w:val="7"/>
  </w:num>
  <w:num w:numId="2">
    <w:abstractNumId w:val="20"/>
  </w:num>
  <w:num w:numId="3">
    <w:abstractNumId w:val="51"/>
  </w:num>
  <w:num w:numId="4">
    <w:abstractNumId w:val="15"/>
  </w:num>
  <w:num w:numId="5">
    <w:abstractNumId w:val="31"/>
  </w:num>
  <w:num w:numId="6">
    <w:abstractNumId w:val="6"/>
  </w:num>
  <w:num w:numId="7">
    <w:abstractNumId w:val="1"/>
  </w:num>
  <w:num w:numId="8">
    <w:abstractNumId w:val="0"/>
  </w:num>
  <w:num w:numId="9">
    <w:abstractNumId w:val="18"/>
  </w:num>
  <w:num w:numId="10">
    <w:abstractNumId w:val="11"/>
  </w:num>
  <w:num w:numId="11">
    <w:abstractNumId w:val="19"/>
  </w:num>
  <w:num w:numId="12">
    <w:abstractNumId w:val="4"/>
  </w:num>
  <w:num w:numId="13">
    <w:abstractNumId w:val="16"/>
  </w:num>
  <w:num w:numId="14">
    <w:abstractNumId w:val="25"/>
  </w:num>
  <w:num w:numId="15">
    <w:abstractNumId w:val="38"/>
  </w:num>
  <w:num w:numId="16">
    <w:abstractNumId w:val="39"/>
  </w:num>
  <w:num w:numId="17">
    <w:abstractNumId w:val="47"/>
  </w:num>
  <w:num w:numId="18">
    <w:abstractNumId w:val="3"/>
  </w:num>
  <w:num w:numId="19">
    <w:abstractNumId w:val="52"/>
  </w:num>
  <w:num w:numId="20">
    <w:abstractNumId w:val="24"/>
  </w:num>
  <w:num w:numId="21">
    <w:abstractNumId w:val="14"/>
  </w:num>
  <w:num w:numId="22">
    <w:abstractNumId w:val="10"/>
  </w:num>
  <w:num w:numId="23">
    <w:abstractNumId w:val="28"/>
  </w:num>
  <w:num w:numId="24">
    <w:abstractNumId w:val="41"/>
  </w:num>
  <w:num w:numId="25">
    <w:abstractNumId w:val="42"/>
  </w:num>
  <w:num w:numId="26">
    <w:abstractNumId w:val="17"/>
  </w:num>
  <w:num w:numId="27">
    <w:abstractNumId w:val="23"/>
  </w:num>
  <w:num w:numId="28">
    <w:abstractNumId w:val="44"/>
  </w:num>
  <w:num w:numId="29">
    <w:abstractNumId w:val="45"/>
  </w:num>
  <w:num w:numId="30">
    <w:abstractNumId w:val="40"/>
  </w:num>
  <w:num w:numId="31">
    <w:abstractNumId w:val="5"/>
  </w:num>
  <w:num w:numId="32">
    <w:abstractNumId w:val="36"/>
  </w:num>
  <w:num w:numId="33">
    <w:abstractNumId w:val="2"/>
  </w:num>
  <w:num w:numId="34">
    <w:abstractNumId w:val="33"/>
  </w:num>
  <w:num w:numId="35">
    <w:abstractNumId w:val="30"/>
  </w:num>
  <w:num w:numId="36">
    <w:abstractNumId w:val="46"/>
  </w:num>
  <w:num w:numId="37">
    <w:abstractNumId w:val="32"/>
  </w:num>
  <w:num w:numId="38">
    <w:abstractNumId w:val="49"/>
  </w:num>
  <w:num w:numId="39">
    <w:abstractNumId w:val="8"/>
  </w:num>
  <w:num w:numId="40">
    <w:abstractNumId w:val="22"/>
  </w:num>
  <w:num w:numId="41">
    <w:abstractNumId w:val="9"/>
  </w:num>
  <w:num w:numId="42">
    <w:abstractNumId w:val="43"/>
  </w:num>
  <w:num w:numId="43">
    <w:abstractNumId w:val="54"/>
  </w:num>
  <w:num w:numId="44">
    <w:abstractNumId w:val="26"/>
  </w:num>
  <w:num w:numId="45">
    <w:abstractNumId w:val="27"/>
  </w:num>
  <w:num w:numId="46">
    <w:abstractNumId w:val="13"/>
  </w:num>
  <w:num w:numId="47">
    <w:abstractNumId w:val="34"/>
  </w:num>
  <w:num w:numId="48">
    <w:abstractNumId w:val="37"/>
  </w:num>
  <w:num w:numId="49">
    <w:abstractNumId w:val="35"/>
  </w:num>
  <w:num w:numId="50">
    <w:abstractNumId w:val="48"/>
  </w:num>
  <w:num w:numId="51">
    <w:abstractNumId w:val="50"/>
  </w:num>
  <w:num w:numId="52">
    <w:abstractNumId w:val="21"/>
  </w:num>
  <w:num w:numId="53">
    <w:abstractNumId w:val="53"/>
  </w:num>
  <w:num w:numId="54">
    <w:abstractNumId w:val="12"/>
  </w:num>
  <w:num w:numId="55">
    <w:abstractNumId w:val="29"/>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activeWritingStyle w:appName="MSWord" w:lang="fr-BE" w:vendorID="64" w:dllVersion="6" w:nlCheck="1" w:checkStyle="0"/>
  <w:activeWritingStyle w:appName="MSWord" w:lang="en-GB" w:vendorID="64" w:dllVersion="6" w:nlCheck="1" w:checkStyle="1"/>
  <w:activeWritingStyle w:appName="MSWord" w:lang="en-US" w:vendorID="64" w:dllVersion="6" w:nlCheck="1" w:checkStyle="1"/>
  <w:activeWritingStyle w:appName="MSWord" w:lang="es-ES" w:vendorID="64" w:dllVersion="6" w:nlCheck="1" w:checkStyle="0"/>
  <w:activeWritingStyle w:appName="MSWord" w:lang="en-IE" w:vendorID="64" w:dllVersion="6" w:nlCheck="1" w:checkStyle="1"/>
  <w:activeWritingStyle w:appName="MSWord" w:lang="en-GB" w:vendorID="64" w:dllVersion="0" w:nlCheck="1" w:checkStyle="0"/>
  <w:activeWritingStyle w:appName="MSWord" w:lang="fr-BE" w:vendorID="64" w:dllVersion="0" w:nlCheck="1" w:checkStyle="0"/>
  <w:activeWritingStyle w:appName="MSWord" w:lang="en-US" w:vendorID="64" w:dllVersion="0" w:nlCheck="1" w:checkStyle="0"/>
  <w:activeWritingStyle w:appName="MSWord" w:lang="es-ES" w:vendorID="64" w:dllVersion="0" w:nlCheck="1" w:checkStyle="0"/>
  <w:activeWritingStyle w:appName="MSWord" w:lang="en-IE" w:vendorID="64" w:dllVersion="0" w:nlCheck="1" w:checkStyle="0"/>
  <w:proofState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LW_DocType" w:val="NORMAL"/>
  </w:docVars>
  <w:rsids>
    <w:rsidRoot w:val="00DF1916"/>
    <w:rsid w:val="00003DE6"/>
    <w:rsid w:val="00006BC9"/>
    <w:rsid w:val="00007F08"/>
    <w:rsid w:val="0001012C"/>
    <w:rsid w:val="000121FA"/>
    <w:rsid w:val="0001259E"/>
    <w:rsid w:val="0001418D"/>
    <w:rsid w:val="00032ABF"/>
    <w:rsid w:val="00032FE4"/>
    <w:rsid w:val="000354B4"/>
    <w:rsid w:val="00052F8A"/>
    <w:rsid w:val="000564DD"/>
    <w:rsid w:val="000572B5"/>
    <w:rsid w:val="0006498B"/>
    <w:rsid w:val="00067660"/>
    <w:rsid w:val="000707F2"/>
    <w:rsid w:val="00071FA5"/>
    <w:rsid w:val="000749AD"/>
    <w:rsid w:val="00075F1E"/>
    <w:rsid w:val="00076081"/>
    <w:rsid w:val="00081279"/>
    <w:rsid w:val="000815BF"/>
    <w:rsid w:val="00082D30"/>
    <w:rsid w:val="00085ACC"/>
    <w:rsid w:val="000906C4"/>
    <w:rsid w:val="00090CD7"/>
    <w:rsid w:val="00090DC4"/>
    <w:rsid w:val="00093A84"/>
    <w:rsid w:val="000952E8"/>
    <w:rsid w:val="000A11EF"/>
    <w:rsid w:val="000A1D52"/>
    <w:rsid w:val="000A3F42"/>
    <w:rsid w:val="000B0660"/>
    <w:rsid w:val="000B1730"/>
    <w:rsid w:val="000B4E3A"/>
    <w:rsid w:val="000B7D41"/>
    <w:rsid w:val="000C3047"/>
    <w:rsid w:val="000C5BE7"/>
    <w:rsid w:val="000C68B1"/>
    <w:rsid w:val="000C716F"/>
    <w:rsid w:val="000D1144"/>
    <w:rsid w:val="000D1C76"/>
    <w:rsid w:val="000D6342"/>
    <w:rsid w:val="000D641B"/>
    <w:rsid w:val="000E0183"/>
    <w:rsid w:val="000E2645"/>
    <w:rsid w:val="000E7BC3"/>
    <w:rsid w:val="000F7D24"/>
    <w:rsid w:val="00101730"/>
    <w:rsid w:val="00101744"/>
    <w:rsid w:val="0010294B"/>
    <w:rsid w:val="00102C3D"/>
    <w:rsid w:val="00104532"/>
    <w:rsid w:val="00104962"/>
    <w:rsid w:val="00105719"/>
    <w:rsid w:val="00105D59"/>
    <w:rsid w:val="00106A86"/>
    <w:rsid w:val="00111519"/>
    <w:rsid w:val="001122E3"/>
    <w:rsid w:val="00112AD6"/>
    <w:rsid w:val="001152F2"/>
    <w:rsid w:val="0012016A"/>
    <w:rsid w:val="00121288"/>
    <w:rsid w:val="0012220D"/>
    <w:rsid w:val="00124D7F"/>
    <w:rsid w:val="00127450"/>
    <w:rsid w:val="001328EA"/>
    <w:rsid w:val="00147608"/>
    <w:rsid w:val="0014788A"/>
    <w:rsid w:val="00147E29"/>
    <w:rsid w:val="00161116"/>
    <w:rsid w:val="00162C4D"/>
    <w:rsid w:val="00165B64"/>
    <w:rsid w:val="00166C2A"/>
    <w:rsid w:val="001731C4"/>
    <w:rsid w:val="001814C5"/>
    <w:rsid w:val="00182125"/>
    <w:rsid w:val="00184B1D"/>
    <w:rsid w:val="001952DF"/>
    <w:rsid w:val="00196C2E"/>
    <w:rsid w:val="001A2B89"/>
    <w:rsid w:val="001A58B6"/>
    <w:rsid w:val="001A6FE9"/>
    <w:rsid w:val="001B5815"/>
    <w:rsid w:val="001B63E6"/>
    <w:rsid w:val="001C783A"/>
    <w:rsid w:val="001D0FE5"/>
    <w:rsid w:val="001D47BE"/>
    <w:rsid w:val="001D52D8"/>
    <w:rsid w:val="001E1048"/>
    <w:rsid w:val="001E144A"/>
    <w:rsid w:val="001E38B8"/>
    <w:rsid w:val="001E4BA8"/>
    <w:rsid w:val="001F01A3"/>
    <w:rsid w:val="001F274D"/>
    <w:rsid w:val="001F392F"/>
    <w:rsid w:val="001F4417"/>
    <w:rsid w:val="001F48CD"/>
    <w:rsid w:val="0020099D"/>
    <w:rsid w:val="002021EB"/>
    <w:rsid w:val="00202A48"/>
    <w:rsid w:val="00204068"/>
    <w:rsid w:val="00206F3E"/>
    <w:rsid w:val="00207281"/>
    <w:rsid w:val="0021312C"/>
    <w:rsid w:val="00214B67"/>
    <w:rsid w:val="0021544D"/>
    <w:rsid w:val="00217C3F"/>
    <w:rsid w:val="00220D57"/>
    <w:rsid w:val="00226773"/>
    <w:rsid w:val="00227F1F"/>
    <w:rsid w:val="00231CEA"/>
    <w:rsid w:val="00235C2A"/>
    <w:rsid w:val="002377D7"/>
    <w:rsid w:val="00243CE5"/>
    <w:rsid w:val="00243D0D"/>
    <w:rsid w:val="00244CB5"/>
    <w:rsid w:val="002509C1"/>
    <w:rsid w:val="002566DB"/>
    <w:rsid w:val="00256ACE"/>
    <w:rsid w:val="00256D71"/>
    <w:rsid w:val="00256EC5"/>
    <w:rsid w:val="0026122C"/>
    <w:rsid w:val="002615C9"/>
    <w:rsid w:val="002638D4"/>
    <w:rsid w:val="00264800"/>
    <w:rsid w:val="00265971"/>
    <w:rsid w:val="002672A0"/>
    <w:rsid w:val="00267E10"/>
    <w:rsid w:val="002729B9"/>
    <w:rsid w:val="0027358D"/>
    <w:rsid w:val="00280540"/>
    <w:rsid w:val="002812A6"/>
    <w:rsid w:val="00283405"/>
    <w:rsid w:val="00285492"/>
    <w:rsid w:val="002905BC"/>
    <w:rsid w:val="00290ECC"/>
    <w:rsid w:val="0029366F"/>
    <w:rsid w:val="00293B9A"/>
    <w:rsid w:val="00297404"/>
    <w:rsid w:val="002A0359"/>
    <w:rsid w:val="002A1E7F"/>
    <w:rsid w:val="002A2768"/>
    <w:rsid w:val="002B7FC5"/>
    <w:rsid w:val="002C14A7"/>
    <w:rsid w:val="002C696A"/>
    <w:rsid w:val="002C797C"/>
    <w:rsid w:val="002D0567"/>
    <w:rsid w:val="002D1ED6"/>
    <w:rsid w:val="002D45EB"/>
    <w:rsid w:val="002E275D"/>
    <w:rsid w:val="002E662F"/>
    <w:rsid w:val="00301C2A"/>
    <w:rsid w:val="00302998"/>
    <w:rsid w:val="0030410A"/>
    <w:rsid w:val="003068B5"/>
    <w:rsid w:val="00306E82"/>
    <w:rsid w:val="00311CA4"/>
    <w:rsid w:val="00314377"/>
    <w:rsid w:val="00320D83"/>
    <w:rsid w:val="003226F7"/>
    <w:rsid w:val="00323713"/>
    <w:rsid w:val="00334E0F"/>
    <w:rsid w:val="00337E0D"/>
    <w:rsid w:val="00341545"/>
    <w:rsid w:val="00351A36"/>
    <w:rsid w:val="0035355D"/>
    <w:rsid w:val="003549E7"/>
    <w:rsid w:val="003555ED"/>
    <w:rsid w:val="0035699F"/>
    <w:rsid w:val="00356AE3"/>
    <w:rsid w:val="0036155E"/>
    <w:rsid w:val="00361F11"/>
    <w:rsid w:val="00364003"/>
    <w:rsid w:val="00364DCB"/>
    <w:rsid w:val="00365C67"/>
    <w:rsid w:val="0037553F"/>
    <w:rsid w:val="00375B8D"/>
    <w:rsid w:val="00376C20"/>
    <w:rsid w:val="00382360"/>
    <w:rsid w:val="00383C7E"/>
    <w:rsid w:val="00386471"/>
    <w:rsid w:val="0038672F"/>
    <w:rsid w:val="0039081C"/>
    <w:rsid w:val="003949A4"/>
    <w:rsid w:val="00397D92"/>
    <w:rsid w:val="003A1FBB"/>
    <w:rsid w:val="003A2B27"/>
    <w:rsid w:val="003A5EB4"/>
    <w:rsid w:val="003B088A"/>
    <w:rsid w:val="003B2819"/>
    <w:rsid w:val="003B4EC5"/>
    <w:rsid w:val="003B649D"/>
    <w:rsid w:val="003B748A"/>
    <w:rsid w:val="003B7FE3"/>
    <w:rsid w:val="003C360B"/>
    <w:rsid w:val="003C522F"/>
    <w:rsid w:val="003D0BB3"/>
    <w:rsid w:val="003D292A"/>
    <w:rsid w:val="003D36A5"/>
    <w:rsid w:val="003D3D4C"/>
    <w:rsid w:val="003E5A9A"/>
    <w:rsid w:val="003E6D82"/>
    <w:rsid w:val="003F0CD6"/>
    <w:rsid w:val="003F493F"/>
    <w:rsid w:val="003F53AA"/>
    <w:rsid w:val="003F6B0C"/>
    <w:rsid w:val="003F6C30"/>
    <w:rsid w:val="0040484F"/>
    <w:rsid w:val="0040588D"/>
    <w:rsid w:val="00410071"/>
    <w:rsid w:val="00416303"/>
    <w:rsid w:val="0041650B"/>
    <w:rsid w:val="00422914"/>
    <w:rsid w:val="00424AB1"/>
    <w:rsid w:val="00430365"/>
    <w:rsid w:val="004312AC"/>
    <w:rsid w:val="00431EBF"/>
    <w:rsid w:val="00432575"/>
    <w:rsid w:val="00434424"/>
    <w:rsid w:val="00435C2C"/>
    <w:rsid w:val="00437D72"/>
    <w:rsid w:val="00446F8E"/>
    <w:rsid w:val="00451C9E"/>
    <w:rsid w:val="004538D8"/>
    <w:rsid w:val="004563E5"/>
    <w:rsid w:val="004640EA"/>
    <w:rsid w:val="00465EBD"/>
    <w:rsid w:val="0046638D"/>
    <w:rsid w:val="00466ED8"/>
    <w:rsid w:val="004700F0"/>
    <w:rsid w:val="0047468F"/>
    <w:rsid w:val="00476367"/>
    <w:rsid w:val="004821E4"/>
    <w:rsid w:val="0048343F"/>
    <w:rsid w:val="0048503B"/>
    <w:rsid w:val="00486808"/>
    <w:rsid w:val="00487E79"/>
    <w:rsid w:val="00491E82"/>
    <w:rsid w:val="00493815"/>
    <w:rsid w:val="00497DA8"/>
    <w:rsid w:val="004A1ACD"/>
    <w:rsid w:val="004A30C4"/>
    <w:rsid w:val="004A591B"/>
    <w:rsid w:val="004A652A"/>
    <w:rsid w:val="004A6A3A"/>
    <w:rsid w:val="004B140B"/>
    <w:rsid w:val="004B3F2A"/>
    <w:rsid w:val="004B4AD2"/>
    <w:rsid w:val="004B613A"/>
    <w:rsid w:val="004B6CBB"/>
    <w:rsid w:val="004C118B"/>
    <w:rsid w:val="004C2840"/>
    <w:rsid w:val="004C3078"/>
    <w:rsid w:val="004C53FC"/>
    <w:rsid w:val="004D134E"/>
    <w:rsid w:val="004D6B9A"/>
    <w:rsid w:val="004E576F"/>
    <w:rsid w:val="004F4371"/>
    <w:rsid w:val="004F7594"/>
    <w:rsid w:val="00501C0C"/>
    <w:rsid w:val="00507304"/>
    <w:rsid w:val="005131D8"/>
    <w:rsid w:val="00513718"/>
    <w:rsid w:val="005144FD"/>
    <w:rsid w:val="00521BAC"/>
    <w:rsid w:val="00521FEA"/>
    <w:rsid w:val="00532B5D"/>
    <w:rsid w:val="005367D6"/>
    <w:rsid w:val="005379B2"/>
    <w:rsid w:val="00543013"/>
    <w:rsid w:val="0054406E"/>
    <w:rsid w:val="005462A3"/>
    <w:rsid w:val="00547D0B"/>
    <w:rsid w:val="00554B16"/>
    <w:rsid w:val="0055799C"/>
    <w:rsid w:val="0056580B"/>
    <w:rsid w:val="0057439B"/>
    <w:rsid w:val="0057442F"/>
    <w:rsid w:val="00574BE6"/>
    <w:rsid w:val="00577FB0"/>
    <w:rsid w:val="00580D36"/>
    <w:rsid w:val="00582D94"/>
    <w:rsid w:val="005930BB"/>
    <w:rsid w:val="00595224"/>
    <w:rsid w:val="005A033E"/>
    <w:rsid w:val="005A3A75"/>
    <w:rsid w:val="005B144E"/>
    <w:rsid w:val="005B3FDB"/>
    <w:rsid w:val="005B6A7F"/>
    <w:rsid w:val="005C0B9D"/>
    <w:rsid w:val="005C0C5A"/>
    <w:rsid w:val="005C2A8F"/>
    <w:rsid w:val="005C30A6"/>
    <w:rsid w:val="005D1EA7"/>
    <w:rsid w:val="005D3D86"/>
    <w:rsid w:val="005D3DA1"/>
    <w:rsid w:val="005D4540"/>
    <w:rsid w:val="005D5FE6"/>
    <w:rsid w:val="005E0587"/>
    <w:rsid w:val="005E0CE8"/>
    <w:rsid w:val="005E2196"/>
    <w:rsid w:val="005E4F0B"/>
    <w:rsid w:val="005E75CF"/>
    <w:rsid w:val="005F3D1C"/>
    <w:rsid w:val="00602CA9"/>
    <w:rsid w:val="00604141"/>
    <w:rsid w:val="006058F4"/>
    <w:rsid w:val="00606FC5"/>
    <w:rsid w:val="006077E9"/>
    <w:rsid w:val="00611A6B"/>
    <w:rsid w:val="00612EA6"/>
    <w:rsid w:val="006131DC"/>
    <w:rsid w:val="00613FC8"/>
    <w:rsid w:val="006144A1"/>
    <w:rsid w:val="006149D8"/>
    <w:rsid w:val="00615E76"/>
    <w:rsid w:val="00617F21"/>
    <w:rsid w:val="00620DD6"/>
    <w:rsid w:val="006231C9"/>
    <w:rsid w:val="00631779"/>
    <w:rsid w:val="00637AF1"/>
    <w:rsid w:val="00641434"/>
    <w:rsid w:val="00642FEA"/>
    <w:rsid w:val="0064795C"/>
    <w:rsid w:val="0065547F"/>
    <w:rsid w:val="006566EE"/>
    <w:rsid w:val="006600B1"/>
    <w:rsid w:val="006635E5"/>
    <w:rsid w:val="0066565E"/>
    <w:rsid w:val="00667B15"/>
    <w:rsid w:val="00667C42"/>
    <w:rsid w:val="00670075"/>
    <w:rsid w:val="006753DF"/>
    <w:rsid w:val="00684CED"/>
    <w:rsid w:val="006878E2"/>
    <w:rsid w:val="00687CDC"/>
    <w:rsid w:val="0069538B"/>
    <w:rsid w:val="006A2C71"/>
    <w:rsid w:val="006A4C1D"/>
    <w:rsid w:val="006A68E1"/>
    <w:rsid w:val="006B1ACF"/>
    <w:rsid w:val="006B5D45"/>
    <w:rsid w:val="006B7C68"/>
    <w:rsid w:val="006C28B0"/>
    <w:rsid w:val="006C336C"/>
    <w:rsid w:val="006C6CDA"/>
    <w:rsid w:val="006D1DFF"/>
    <w:rsid w:val="006D2F90"/>
    <w:rsid w:val="006D4405"/>
    <w:rsid w:val="006E27EF"/>
    <w:rsid w:val="006F1AC1"/>
    <w:rsid w:val="006F2044"/>
    <w:rsid w:val="006F2CA5"/>
    <w:rsid w:val="006F63B0"/>
    <w:rsid w:val="006F7D22"/>
    <w:rsid w:val="00713EEB"/>
    <w:rsid w:val="0071674E"/>
    <w:rsid w:val="00717FC1"/>
    <w:rsid w:val="00724681"/>
    <w:rsid w:val="00731562"/>
    <w:rsid w:val="00731F38"/>
    <w:rsid w:val="00734BD6"/>
    <w:rsid w:val="00737A56"/>
    <w:rsid w:val="00745CDE"/>
    <w:rsid w:val="00751543"/>
    <w:rsid w:val="00751C81"/>
    <w:rsid w:val="00755F48"/>
    <w:rsid w:val="00761A71"/>
    <w:rsid w:val="00772723"/>
    <w:rsid w:val="007758B9"/>
    <w:rsid w:val="00776095"/>
    <w:rsid w:val="00777B0A"/>
    <w:rsid w:val="00777C28"/>
    <w:rsid w:val="007831D1"/>
    <w:rsid w:val="00786868"/>
    <w:rsid w:val="00790416"/>
    <w:rsid w:val="0079067B"/>
    <w:rsid w:val="007916D6"/>
    <w:rsid w:val="00791964"/>
    <w:rsid w:val="00792B39"/>
    <w:rsid w:val="00794EF2"/>
    <w:rsid w:val="0079515D"/>
    <w:rsid w:val="007951D2"/>
    <w:rsid w:val="0079689D"/>
    <w:rsid w:val="007A008A"/>
    <w:rsid w:val="007A3D0A"/>
    <w:rsid w:val="007A4C92"/>
    <w:rsid w:val="007A6827"/>
    <w:rsid w:val="007B2A66"/>
    <w:rsid w:val="007B58D3"/>
    <w:rsid w:val="007C053A"/>
    <w:rsid w:val="007C3AEF"/>
    <w:rsid w:val="007D0BC3"/>
    <w:rsid w:val="007D18C0"/>
    <w:rsid w:val="007D1F00"/>
    <w:rsid w:val="007D711C"/>
    <w:rsid w:val="007E1E15"/>
    <w:rsid w:val="007E2F51"/>
    <w:rsid w:val="007F0403"/>
    <w:rsid w:val="007F0B8F"/>
    <w:rsid w:val="007F45F9"/>
    <w:rsid w:val="007F5917"/>
    <w:rsid w:val="007F6FD9"/>
    <w:rsid w:val="008005FC"/>
    <w:rsid w:val="00801E0D"/>
    <w:rsid w:val="00802674"/>
    <w:rsid w:val="00810C97"/>
    <w:rsid w:val="00811A62"/>
    <w:rsid w:val="00811EA8"/>
    <w:rsid w:val="00813127"/>
    <w:rsid w:val="00813B37"/>
    <w:rsid w:val="0081408A"/>
    <w:rsid w:val="008154CC"/>
    <w:rsid w:val="008168CE"/>
    <w:rsid w:val="00821062"/>
    <w:rsid w:val="00824583"/>
    <w:rsid w:val="00825020"/>
    <w:rsid w:val="00825D61"/>
    <w:rsid w:val="00826FD1"/>
    <w:rsid w:val="00827750"/>
    <w:rsid w:val="00831B7E"/>
    <w:rsid w:val="008349AC"/>
    <w:rsid w:val="00836A5F"/>
    <w:rsid w:val="008425DE"/>
    <w:rsid w:val="00843A1D"/>
    <w:rsid w:val="00843C56"/>
    <w:rsid w:val="0084405A"/>
    <w:rsid w:val="0084534E"/>
    <w:rsid w:val="00850DEB"/>
    <w:rsid w:val="0085421F"/>
    <w:rsid w:val="00855AC3"/>
    <w:rsid w:val="008623A9"/>
    <w:rsid w:val="00864737"/>
    <w:rsid w:val="00873843"/>
    <w:rsid w:val="00876EAC"/>
    <w:rsid w:val="008818F5"/>
    <w:rsid w:val="0088624C"/>
    <w:rsid w:val="00886492"/>
    <w:rsid w:val="008913E5"/>
    <w:rsid w:val="00896AB4"/>
    <w:rsid w:val="008A06D1"/>
    <w:rsid w:val="008A4999"/>
    <w:rsid w:val="008B527A"/>
    <w:rsid w:val="008B5EE7"/>
    <w:rsid w:val="008C1CE4"/>
    <w:rsid w:val="008C1FEC"/>
    <w:rsid w:val="008C3086"/>
    <w:rsid w:val="008C7EFA"/>
    <w:rsid w:val="008E01E7"/>
    <w:rsid w:val="008E1E9E"/>
    <w:rsid w:val="008E4A6E"/>
    <w:rsid w:val="008E52B2"/>
    <w:rsid w:val="008E5F2B"/>
    <w:rsid w:val="008F5F6E"/>
    <w:rsid w:val="008F7E42"/>
    <w:rsid w:val="009019AB"/>
    <w:rsid w:val="009111A1"/>
    <w:rsid w:val="00911551"/>
    <w:rsid w:val="00911995"/>
    <w:rsid w:val="00921097"/>
    <w:rsid w:val="009274A5"/>
    <w:rsid w:val="00930176"/>
    <w:rsid w:val="009358C0"/>
    <w:rsid w:val="00940077"/>
    <w:rsid w:val="00941D70"/>
    <w:rsid w:val="0094799D"/>
    <w:rsid w:val="00947AD1"/>
    <w:rsid w:val="00950739"/>
    <w:rsid w:val="009508BA"/>
    <w:rsid w:val="009519B8"/>
    <w:rsid w:val="009608A8"/>
    <w:rsid w:val="00961990"/>
    <w:rsid w:val="00961DCE"/>
    <w:rsid w:val="009655B3"/>
    <w:rsid w:val="00966BFA"/>
    <w:rsid w:val="00972803"/>
    <w:rsid w:val="00974B49"/>
    <w:rsid w:val="00974B4D"/>
    <w:rsid w:val="009845C2"/>
    <w:rsid w:val="009868A4"/>
    <w:rsid w:val="00987765"/>
    <w:rsid w:val="00987A9B"/>
    <w:rsid w:val="00991E8C"/>
    <w:rsid w:val="009957DD"/>
    <w:rsid w:val="009A0E8B"/>
    <w:rsid w:val="009A22C6"/>
    <w:rsid w:val="009A25C0"/>
    <w:rsid w:val="009A3494"/>
    <w:rsid w:val="009A3A4F"/>
    <w:rsid w:val="009A4D6F"/>
    <w:rsid w:val="009A678B"/>
    <w:rsid w:val="009B06BE"/>
    <w:rsid w:val="009B1153"/>
    <w:rsid w:val="009B2364"/>
    <w:rsid w:val="009B2F0A"/>
    <w:rsid w:val="009B379E"/>
    <w:rsid w:val="009B6822"/>
    <w:rsid w:val="009C2A11"/>
    <w:rsid w:val="009C315D"/>
    <w:rsid w:val="009C486A"/>
    <w:rsid w:val="009C6592"/>
    <w:rsid w:val="009C70D6"/>
    <w:rsid w:val="009C798F"/>
    <w:rsid w:val="009D28FB"/>
    <w:rsid w:val="009D3A38"/>
    <w:rsid w:val="009D5B9F"/>
    <w:rsid w:val="009D617D"/>
    <w:rsid w:val="009E01BC"/>
    <w:rsid w:val="009E2934"/>
    <w:rsid w:val="009E43D7"/>
    <w:rsid w:val="009E51DA"/>
    <w:rsid w:val="009E5497"/>
    <w:rsid w:val="009E6D34"/>
    <w:rsid w:val="009E7579"/>
    <w:rsid w:val="009E761E"/>
    <w:rsid w:val="009F1316"/>
    <w:rsid w:val="009F2E8F"/>
    <w:rsid w:val="009F322A"/>
    <w:rsid w:val="009F324A"/>
    <w:rsid w:val="009F407C"/>
    <w:rsid w:val="009F6DD0"/>
    <w:rsid w:val="00A00195"/>
    <w:rsid w:val="00A04164"/>
    <w:rsid w:val="00A06C44"/>
    <w:rsid w:val="00A118BC"/>
    <w:rsid w:val="00A13274"/>
    <w:rsid w:val="00A14836"/>
    <w:rsid w:val="00A16F03"/>
    <w:rsid w:val="00A229DF"/>
    <w:rsid w:val="00A26DC6"/>
    <w:rsid w:val="00A3329B"/>
    <w:rsid w:val="00A34BE4"/>
    <w:rsid w:val="00A36A79"/>
    <w:rsid w:val="00A37C5A"/>
    <w:rsid w:val="00A414B6"/>
    <w:rsid w:val="00A41D3F"/>
    <w:rsid w:val="00A43C22"/>
    <w:rsid w:val="00A44513"/>
    <w:rsid w:val="00A44AE4"/>
    <w:rsid w:val="00A53689"/>
    <w:rsid w:val="00A57F60"/>
    <w:rsid w:val="00A601B0"/>
    <w:rsid w:val="00A60794"/>
    <w:rsid w:val="00A61F49"/>
    <w:rsid w:val="00A63A51"/>
    <w:rsid w:val="00A64D45"/>
    <w:rsid w:val="00A65E80"/>
    <w:rsid w:val="00A6681C"/>
    <w:rsid w:val="00A66EC9"/>
    <w:rsid w:val="00A715EB"/>
    <w:rsid w:val="00A732E2"/>
    <w:rsid w:val="00A7372A"/>
    <w:rsid w:val="00A75383"/>
    <w:rsid w:val="00A77F24"/>
    <w:rsid w:val="00A809E0"/>
    <w:rsid w:val="00A82590"/>
    <w:rsid w:val="00A869B3"/>
    <w:rsid w:val="00A90506"/>
    <w:rsid w:val="00A91055"/>
    <w:rsid w:val="00A92564"/>
    <w:rsid w:val="00A93385"/>
    <w:rsid w:val="00A93439"/>
    <w:rsid w:val="00A9566A"/>
    <w:rsid w:val="00AA00A4"/>
    <w:rsid w:val="00AA2C40"/>
    <w:rsid w:val="00AB0F3C"/>
    <w:rsid w:val="00AB25EE"/>
    <w:rsid w:val="00AB6F6B"/>
    <w:rsid w:val="00AB7EE5"/>
    <w:rsid w:val="00AC546E"/>
    <w:rsid w:val="00AC6019"/>
    <w:rsid w:val="00AC6F3D"/>
    <w:rsid w:val="00AC7D8D"/>
    <w:rsid w:val="00AD1CBE"/>
    <w:rsid w:val="00AD253B"/>
    <w:rsid w:val="00AD53EB"/>
    <w:rsid w:val="00AE165E"/>
    <w:rsid w:val="00AE37E6"/>
    <w:rsid w:val="00AF5369"/>
    <w:rsid w:val="00AF6703"/>
    <w:rsid w:val="00AF72FB"/>
    <w:rsid w:val="00B04F9C"/>
    <w:rsid w:val="00B07806"/>
    <w:rsid w:val="00B137F6"/>
    <w:rsid w:val="00B15422"/>
    <w:rsid w:val="00B211F7"/>
    <w:rsid w:val="00B2217D"/>
    <w:rsid w:val="00B2492A"/>
    <w:rsid w:val="00B24936"/>
    <w:rsid w:val="00B27ADE"/>
    <w:rsid w:val="00B308C5"/>
    <w:rsid w:val="00B30D29"/>
    <w:rsid w:val="00B321ED"/>
    <w:rsid w:val="00B32463"/>
    <w:rsid w:val="00B33680"/>
    <w:rsid w:val="00B3659A"/>
    <w:rsid w:val="00B373D5"/>
    <w:rsid w:val="00B37CC0"/>
    <w:rsid w:val="00B43CF6"/>
    <w:rsid w:val="00B44603"/>
    <w:rsid w:val="00B45034"/>
    <w:rsid w:val="00B45A4D"/>
    <w:rsid w:val="00B46C9D"/>
    <w:rsid w:val="00B52369"/>
    <w:rsid w:val="00B5318A"/>
    <w:rsid w:val="00B55170"/>
    <w:rsid w:val="00B556B1"/>
    <w:rsid w:val="00B57DE5"/>
    <w:rsid w:val="00B62463"/>
    <w:rsid w:val="00B62C98"/>
    <w:rsid w:val="00B630D9"/>
    <w:rsid w:val="00B64D2F"/>
    <w:rsid w:val="00B71633"/>
    <w:rsid w:val="00B72452"/>
    <w:rsid w:val="00B73C74"/>
    <w:rsid w:val="00B74D27"/>
    <w:rsid w:val="00B74E33"/>
    <w:rsid w:val="00B762A5"/>
    <w:rsid w:val="00B76EF1"/>
    <w:rsid w:val="00B844BA"/>
    <w:rsid w:val="00B8701F"/>
    <w:rsid w:val="00B9253C"/>
    <w:rsid w:val="00B95CB7"/>
    <w:rsid w:val="00B96036"/>
    <w:rsid w:val="00B96C0A"/>
    <w:rsid w:val="00B9701B"/>
    <w:rsid w:val="00BA51BA"/>
    <w:rsid w:val="00BA7897"/>
    <w:rsid w:val="00BB2B1B"/>
    <w:rsid w:val="00BB3AB5"/>
    <w:rsid w:val="00BB4A45"/>
    <w:rsid w:val="00BB6E0C"/>
    <w:rsid w:val="00BB6E46"/>
    <w:rsid w:val="00BB742A"/>
    <w:rsid w:val="00BD030E"/>
    <w:rsid w:val="00BD154D"/>
    <w:rsid w:val="00BD55D6"/>
    <w:rsid w:val="00BD7592"/>
    <w:rsid w:val="00BD7FE1"/>
    <w:rsid w:val="00BE1F87"/>
    <w:rsid w:val="00BE276A"/>
    <w:rsid w:val="00BE4FE0"/>
    <w:rsid w:val="00BF1975"/>
    <w:rsid w:val="00BF2977"/>
    <w:rsid w:val="00BF4FAE"/>
    <w:rsid w:val="00BF7665"/>
    <w:rsid w:val="00BF7D07"/>
    <w:rsid w:val="00C024D6"/>
    <w:rsid w:val="00C028F5"/>
    <w:rsid w:val="00C05876"/>
    <w:rsid w:val="00C12389"/>
    <w:rsid w:val="00C13347"/>
    <w:rsid w:val="00C16A25"/>
    <w:rsid w:val="00C25187"/>
    <w:rsid w:val="00C26D77"/>
    <w:rsid w:val="00C27589"/>
    <w:rsid w:val="00C30430"/>
    <w:rsid w:val="00C37F42"/>
    <w:rsid w:val="00C43A94"/>
    <w:rsid w:val="00C43EB7"/>
    <w:rsid w:val="00C51A23"/>
    <w:rsid w:val="00C55B31"/>
    <w:rsid w:val="00C574C3"/>
    <w:rsid w:val="00C6051C"/>
    <w:rsid w:val="00C62793"/>
    <w:rsid w:val="00C67383"/>
    <w:rsid w:val="00C673CB"/>
    <w:rsid w:val="00C70DA6"/>
    <w:rsid w:val="00C74F56"/>
    <w:rsid w:val="00C764A3"/>
    <w:rsid w:val="00C76CBA"/>
    <w:rsid w:val="00C800DE"/>
    <w:rsid w:val="00C847C8"/>
    <w:rsid w:val="00C865B3"/>
    <w:rsid w:val="00CA254F"/>
    <w:rsid w:val="00CA2BC4"/>
    <w:rsid w:val="00CA48CD"/>
    <w:rsid w:val="00CB13E2"/>
    <w:rsid w:val="00CC5664"/>
    <w:rsid w:val="00CC7040"/>
    <w:rsid w:val="00CD0B12"/>
    <w:rsid w:val="00CD0F72"/>
    <w:rsid w:val="00CD689F"/>
    <w:rsid w:val="00CD72FE"/>
    <w:rsid w:val="00CE0BD2"/>
    <w:rsid w:val="00CE44FF"/>
    <w:rsid w:val="00CE4A20"/>
    <w:rsid w:val="00CE5547"/>
    <w:rsid w:val="00CF0206"/>
    <w:rsid w:val="00CF3759"/>
    <w:rsid w:val="00CF6773"/>
    <w:rsid w:val="00CF6D66"/>
    <w:rsid w:val="00D00C39"/>
    <w:rsid w:val="00D0146A"/>
    <w:rsid w:val="00D01F00"/>
    <w:rsid w:val="00D03635"/>
    <w:rsid w:val="00D051F7"/>
    <w:rsid w:val="00D055A3"/>
    <w:rsid w:val="00D0629D"/>
    <w:rsid w:val="00D125E0"/>
    <w:rsid w:val="00D12B6B"/>
    <w:rsid w:val="00D14D9E"/>
    <w:rsid w:val="00D15599"/>
    <w:rsid w:val="00D15955"/>
    <w:rsid w:val="00D16281"/>
    <w:rsid w:val="00D206B1"/>
    <w:rsid w:val="00D214B9"/>
    <w:rsid w:val="00D24B5B"/>
    <w:rsid w:val="00D261EB"/>
    <w:rsid w:val="00D27167"/>
    <w:rsid w:val="00D33854"/>
    <w:rsid w:val="00D3451F"/>
    <w:rsid w:val="00D3705A"/>
    <w:rsid w:val="00D41A02"/>
    <w:rsid w:val="00D47075"/>
    <w:rsid w:val="00D472C1"/>
    <w:rsid w:val="00D51569"/>
    <w:rsid w:val="00D5272A"/>
    <w:rsid w:val="00D713C2"/>
    <w:rsid w:val="00D71BCA"/>
    <w:rsid w:val="00D736EB"/>
    <w:rsid w:val="00D75200"/>
    <w:rsid w:val="00D7640C"/>
    <w:rsid w:val="00D773A6"/>
    <w:rsid w:val="00D85567"/>
    <w:rsid w:val="00D92331"/>
    <w:rsid w:val="00D92A21"/>
    <w:rsid w:val="00D936AD"/>
    <w:rsid w:val="00D9694E"/>
    <w:rsid w:val="00D975A5"/>
    <w:rsid w:val="00D97D18"/>
    <w:rsid w:val="00DA02EB"/>
    <w:rsid w:val="00DA2346"/>
    <w:rsid w:val="00DA2C3B"/>
    <w:rsid w:val="00DB3802"/>
    <w:rsid w:val="00DB3CD9"/>
    <w:rsid w:val="00DC07E7"/>
    <w:rsid w:val="00DC18C7"/>
    <w:rsid w:val="00DC2023"/>
    <w:rsid w:val="00DC2B19"/>
    <w:rsid w:val="00DC7618"/>
    <w:rsid w:val="00DC7B94"/>
    <w:rsid w:val="00DD108B"/>
    <w:rsid w:val="00DD685F"/>
    <w:rsid w:val="00DF03D2"/>
    <w:rsid w:val="00DF1916"/>
    <w:rsid w:val="00DF1E53"/>
    <w:rsid w:val="00DF2591"/>
    <w:rsid w:val="00DF6CB9"/>
    <w:rsid w:val="00E022E7"/>
    <w:rsid w:val="00E16B57"/>
    <w:rsid w:val="00E22CFD"/>
    <w:rsid w:val="00E231FD"/>
    <w:rsid w:val="00E248D5"/>
    <w:rsid w:val="00E32DED"/>
    <w:rsid w:val="00E33CC7"/>
    <w:rsid w:val="00E3611D"/>
    <w:rsid w:val="00E37C3F"/>
    <w:rsid w:val="00E4156D"/>
    <w:rsid w:val="00E41C10"/>
    <w:rsid w:val="00E42285"/>
    <w:rsid w:val="00E4511B"/>
    <w:rsid w:val="00E45398"/>
    <w:rsid w:val="00E519C3"/>
    <w:rsid w:val="00E56609"/>
    <w:rsid w:val="00E627DF"/>
    <w:rsid w:val="00E651BD"/>
    <w:rsid w:val="00E657DE"/>
    <w:rsid w:val="00E67385"/>
    <w:rsid w:val="00E805D7"/>
    <w:rsid w:val="00E81B61"/>
    <w:rsid w:val="00E83694"/>
    <w:rsid w:val="00E85586"/>
    <w:rsid w:val="00E85650"/>
    <w:rsid w:val="00E856C4"/>
    <w:rsid w:val="00E85707"/>
    <w:rsid w:val="00E86B5F"/>
    <w:rsid w:val="00E87581"/>
    <w:rsid w:val="00E90124"/>
    <w:rsid w:val="00E917B3"/>
    <w:rsid w:val="00E91D59"/>
    <w:rsid w:val="00E91F8E"/>
    <w:rsid w:val="00E95041"/>
    <w:rsid w:val="00E95A8E"/>
    <w:rsid w:val="00EA0E12"/>
    <w:rsid w:val="00EA31B9"/>
    <w:rsid w:val="00EB4BDF"/>
    <w:rsid w:val="00EB70F0"/>
    <w:rsid w:val="00EC0605"/>
    <w:rsid w:val="00EC4ED1"/>
    <w:rsid w:val="00EC62EA"/>
    <w:rsid w:val="00ED45D2"/>
    <w:rsid w:val="00EE46B9"/>
    <w:rsid w:val="00EE5353"/>
    <w:rsid w:val="00EE6154"/>
    <w:rsid w:val="00EE69D6"/>
    <w:rsid w:val="00EF0E5C"/>
    <w:rsid w:val="00EF5915"/>
    <w:rsid w:val="00F00EBE"/>
    <w:rsid w:val="00F02950"/>
    <w:rsid w:val="00F05339"/>
    <w:rsid w:val="00F15CAD"/>
    <w:rsid w:val="00F221E4"/>
    <w:rsid w:val="00F24205"/>
    <w:rsid w:val="00F24D5E"/>
    <w:rsid w:val="00F25133"/>
    <w:rsid w:val="00F36073"/>
    <w:rsid w:val="00F36753"/>
    <w:rsid w:val="00F42295"/>
    <w:rsid w:val="00F424C2"/>
    <w:rsid w:val="00F4264D"/>
    <w:rsid w:val="00F44489"/>
    <w:rsid w:val="00F453AD"/>
    <w:rsid w:val="00F45417"/>
    <w:rsid w:val="00F45D4A"/>
    <w:rsid w:val="00F479D4"/>
    <w:rsid w:val="00F53441"/>
    <w:rsid w:val="00F53824"/>
    <w:rsid w:val="00F564ED"/>
    <w:rsid w:val="00F5672A"/>
    <w:rsid w:val="00F6052E"/>
    <w:rsid w:val="00F64B46"/>
    <w:rsid w:val="00F661F7"/>
    <w:rsid w:val="00F70F4F"/>
    <w:rsid w:val="00F7107D"/>
    <w:rsid w:val="00F77365"/>
    <w:rsid w:val="00F81C04"/>
    <w:rsid w:val="00F81EF3"/>
    <w:rsid w:val="00F83F68"/>
    <w:rsid w:val="00F85AE6"/>
    <w:rsid w:val="00F92CBF"/>
    <w:rsid w:val="00F932A4"/>
    <w:rsid w:val="00F956C1"/>
    <w:rsid w:val="00FA098F"/>
    <w:rsid w:val="00FA1B8F"/>
    <w:rsid w:val="00FA22FB"/>
    <w:rsid w:val="00FA2743"/>
    <w:rsid w:val="00FA2A9B"/>
    <w:rsid w:val="00FA30E5"/>
    <w:rsid w:val="00FA4494"/>
    <w:rsid w:val="00FA59DE"/>
    <w:rsid w:val="00FA7494"/>
    <w:rsid w:val="00FB12A3"/>
    <w:rsid w:val="00FB13BC"/>
    <w:rsid w:val="00FB5B92"/>
    <w:rsid w:val="00FB5F7B"/>
    <w:rsid w:val="00FC26FE"/>
    <w:rsid w:val="00FC3037"/>
    <w:rsid w:val="00FC37C1"/>
    <w:rsid w:val="00FC5806"/>
    <w:rsid w:val="00FC6485"/>
    <w:rsid w:val="00FC7FE8"/>
    <w:rsid w:val="00FD10A8"/>
    <w:rsid w:val="00FD3F83"/>
    <w:rsid w:val="00FD6556"/>
    <w:rsid w:val="00FD7A10"/>
    <w:rsid w:val="00FE235F"/>
    <w:rsid w:val="00FE4414"/>
    <w:rsid w:val="00FF30E5"/>
    <w:rsid w:val="00FF3D7D"/>
    <w:rsid w:val="00FF4AD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09B87A0"/>
  <w15:docId w15:val="{06C3EB9E-D166-4604-B296-6D8970E88F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A4C1D"/>
    <w:pPr>
      <w:spacing w:after="200" w:line="276" w:lineRule="auto"/>
    </w:pPr>
    <w:rPr>
      <w:sz w:val="22"/>
      <w:szCs w:val="22"/>
      <w:lang w:eastAsia="en-US"/>
    </w:rPr>
  </w:style>
  <w:style w:type="paragraph" w:styleId="Heading1">
    <w:name w:val="heading 1"/>
    <w:basedOn w:val="Normal"/>
    <w:next w:val="Normal"/>
    <w:link w:val="Heading1Char"/>
    <w:uiPriority w:val="9"/>
    <w:qFormat/>
    <w:rsid w:val="00DF1916"/>
    <w:pPr>
      <w:keepNext/>
      <w:spacing w:before="240" w:after="60"/>
      <w:outlineLvl w:val="0"/>
    </w:pPr>
    <w:rPr>
      <w:rFonts w:ascii="Cambria" w:eastAsia="Times New Roman" w:hAnsi="Cambria"/>
      <w:b/>
      <w:bCs/>
      <w:kern w:val="32"/>
      <w:sz w:val="32"/>
      <w:szCs w:val="32"/>
    </w:rPr>
  </w:style>
  <w:style w:type="paragraph" w:styleId="Heading2">
    <w:name w:val="heading 2"/>
    <w:basedOn w:val="Normal"/>
    <w:next w:val="Normal"/>
    <w:link w:val="Heading2Char"/>
    <w:uiPriority w:val="9"/>
    <w:unhideWhenUsed/>
    <w:qFormat/>
    <w:rsid w:val="00DF1916"/>
    <w:pPr>
      <w:keepNext/>
      <w:spacing w:before="240" w:after="60"/>
      <w:outlineLvl w:val="1"/>
    </w:pPr>
    <w:rPr>
      <w:rFonts w:ascii="Cambria" w:eastAsia="Times New Roman" w:hAnsi="Cambria"/>
      <w:b/>
      <w:bCs/>
      <w:i/>
      <w:iCs/>
      <w:sz w:val="28"/>
      <w:szCs w:val="28"/>
    </w:rPr>
  </w:style>
  <w:style w:type="paragraph" w:styleId="Heading3">
    <w:name w:val="heading 3"/>
    <w:basedOn w:val="Normal"/>
    <w:next w:val="Normal"/>
    <w:link w:val="Heading3Char"/>
    <w:unhideWhenUsed/>
    <w:qFormat/>
    <w:rsid w:val="00DF1916"/>
    <w:pPr>
      <w:keepNext/>
      <w:spacing w:before="240" w:after="60"/>
      <w:outlineLvl w:val="2"/>
    </w:pPr>
    <w:rPr>
      <w:rFonts w:ascii="Cambria" w:eastAsia="Times New Roman" w:hAnsi="Cambria"/>
      <w:b/>
      <w:bCs/>
      <w:sz w:val="26"/>
      <w:szCs w:val="26"/>
    </w:rPr>
  </w:style>
  <w:style w:type="paragraph" w:styleId="Heading4">
    <w:name w:val="heading 4"/>
    <w:basedOn w:val="Normal"/>
    <w:next w:val="Normal"/>
    <w:link w:val="Heading4Char"/>
    <w:uiPriority w:val="9"/>
    <w:unhideWhenUsed/>
    <w:qFormat/>
    <w:rsid w:val="00F02950"/>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554B16"/>
    <w:pPr>
      <w:keepNext/>
      <w:keepLines/>
      <w:spacing w:before="40" w:after="0"/>
      <w:ind w:left="1008" w:hanging="1008"/>
      <w:outlineLvl w:val="4"/>
    </w:pPr>
    <w:rPr>
      <w:rFonts w:asciiTheme="majorHAnsi" w:eastAsiaTheme="majorEastAsia" w:hAnsiTheme="majorHAnsi" w:cstheme="majorBidi"/>
      <w:i/>
      <w:iCs/>
      <w:color w:val="F79646" w:themeColor="accent6"/>
    </w:rPr>
  </w:style>
  <w:style w:type="paragraph" w:styleId="Heading6">
    <w:name w:val="heading 6"/>
    <w:basedOn w:val="Normal"/>
    <w:next w:val="Normal"/>
    <w:link w:val="Heading6Char"/>
    <w:uiPriority w:val="9"/>
    <w:semiHidden/>
    <w:unhideWhenUsed/>
    <w:qFormat/>
    <w:rsid w:val="00554B16"/>
    <w:pPr>
      <w:keepNext/>
      <w:keepLines/>
      <w:spacing w:before="40" w:after="0"/>
      <w:ind w:left="1152" w:hanging="1152"/>
      <w:outlineLvl w:val="5"/>
    </w:pPr>
    <w:rPr>
      <w:rFonts w:asciiTheme="majorHAnsi" w:eastAsiaTheme="majorEastAsia" w:hAnsiTheme="majorHAnsi" w:cstheme="majorBidi"/>
      <w:color w:val="F79646" w:themeColor="accent6"/>
    </w:rPr>
  </w:style>
  <w:style w:type="paragraph" w:styleId="Heading7">
    <w:name w:val="heading 7"/>
    <w:basedOn w:val="Normal"/>
    <w:next w:val="Normal"/>
    <w:link w:val="Heading7Char"/>
    <w:uiPriority w:val="9"/>
    <w:semiHidden/>
    <w:unhideWhenUsed/>
    <w:qFormat/>
    <w:rsid w:val="00554B16"/>
    <w:pPr>
      <w:keepNext/>
      <w:keepLines/>
      <w:spacing w:before="40" w:after="0"/>
      <w:ind w:left="1296" w:hanging="1296"/>
      <w:outlineLvl w:val="6"/>
    </w:pPr>
    <w:rPr>
      <w:rFonts w:asciiTheme="majorHAnsi" w:eastAsiaTheme="majorEastAsia" w:hAnsiTheme="majorHAnsi" w:cstheme="majorBidi"/>
      <w:b/>
      <w:bCs/>
      <w:color w:val="F79646" w:themeColor="accent6"/>
    </w:rPr>
  </w:style>
  <w:style w:type="paragraph" w:styleId="Heading8">
    <w:name w:val="heading 8"/>
    <w:basedOn w:val="Normal"/>
    <w:next w:val="Normal"/>
    <w:link w:val="Heading8Char"/>
    <w:uiPriority w:val="9"/>
    <w:semiHidden/>
    <w:unhideWhenUsed/>
    <w:qFormat/>
    <w:rsid w:val="00554B16"/>
    <w:pPr>
      <w:keepNext/>
      <w:keepLines/>
      <w:spacing w:before="40" w:after="0"/>
      <w:ind w:left="1440" w:hanging="1440"/>
      <w:outlineLvl w:val="7"/>
    </w:pPr>
    <w:rPr>
      <w:rFonts w:asciiTheme="majorHAnsi" w:eastAsiaTheme="majorEastAsia" w:hAnsiTheme="majorHAnsi" w:cstheme="majorBidi"/>
      <w:b/>
      <w:bCs/>
      <w:i/>
      <w:iCs/>
      <w:color w:val="F79646" w:themeColor="accent6"/>
      <w:sz w:val="20"/>
      <w:szCs w:val="20"/>
    </w:rPr>
  </w:style>
  <w:style w:type="paragraph" w:styleId="Heading9">
    <w:name w:val="heading 9"/>
    <w:basedOn w:val="Normal"/>
    <w:next w:val="Normal"/>
    <w:link w:val="Heading9Char"/>
    <w:uiPriority w:val="9"/>
    <w:semiHidden/>
    <w:unhideWhenUsed/>
    <w:qFormat/>
    <w:rsid w:val="00554B16"/>
    <w:pPr>
      <w:keepNext/>
      <w:keepLines/>
      <w:spacing w:before="40" w:after="0"/>
      <w:ind w:left="1584" w:hanging="1584"/>
      <w:outlineLvl w:val="8"/>
    </w:pPr>
    <w:rPr>
      <w:rFonts w:asciiTheme="majorHAnsi" w:eastAsiaTheme="majorEastAsia" w:hAnsiTheme="majorHAnsi" w:cstheme="majorBidi"/>
      <w:i/>
      <w:iCs/>
      <w:color w:val="F79646" w:themeColor="accent6"/>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F1916"/>
    <w:rPr>
      <w:rFonts w:ascii="Cambria" w:eastAsia="Times New Roman" w:hAnsi="Cambria" w:cs="Times New Roman"/>
      <w:b/>
      <w:bCs/>
      <w:kern w:val="32"/>
      <w:sz w:val="32"/>
      <w:szCs w:val="32"/>
      <w:lang w:eastAsia="en-US"/>
    </w:rPr>
  </w:style>
  <w:style w:type="character" w:customStyle="1" w:styleId="Heading2Char">
    <w:name w:val="Heading 2 Char"/>
    <w:link w:val="Heading2"/>
    <w:uiPriority w:val="9"/>
    <w:rsid w:val="00DF1916"/>
    <w:rPr>
      <w:rFonts w:ascii="Cambria" w:eastAsia="Times New Roman" w:hAnsi="Cambria" w:cs="Times New Roman"/>
      <w:b/>
      <w:bCs/>
      <w:i/>
      <w:iCs/>
      <w:sz w:val="28"/>
      <w:szCs w:val="28"/>
      <w:lang w:eastAsia="en-US"/>
    </w:rPr>
  </w:style>
  <w:style w:type="character" w:customStyle="1" w:styleId="Heading3Char">
    <w:name w:val="Heading 3 Char"/>
    <w:link w:val="Heading3"/>
    <w:rsid w:val="00DF1916"/>
    <w:rPr>
      <w:rFonts w:ascii="Cambria" w:eastAsia="Times New Roman" w:hAnsi="Cambria" w:cs="Times New Roman"/>
      <w:b/>
      <w:bCs/>
      <w:sz w:val="26"/>
      <w:szCs w:val="26"/>
      <w:lang w:eastAsia="en-US"/>
    </w:rPr>
  </w:style>
  <w:style w:type="paragraph" w:customStyle="1" w:styleId="Default">
    <w:name w:val="Default"/>
    <w:rsid w:val="006600B1"/>
    <w:pPr>
      <w:autoSpaceDE w:val="0"/>
      <w:autoSpaceDN w:val="0"/>
      <w:adjustRightInd w:val="0"/>
    </w:pPr>
    <w:rPr>
      <w:rFonts w:cs="Calibri"/>
      <w:color w:val="000000"/>
      <w:sz w:val="24"/>
      <w:szCs w:val="24"/>
    </w:rPr>
  </w:style>
  <w:style w:type="paragraph" w:customStyle="1" w:styleId="Text1">
    <w:name w:val="Text 1"/>
    <w:basedOn w:val="Normal"/>
    <w:rsid w:val="00BB2B1B"/>
    <w:pPr>
      <w:spacing w:before="120" w:after="120" w:line="240" w:lineRule="auto"/>
      <w:ind w:left="850"/>
      <w:jc w:val="both"/>
    </w:pPr>
    <w:rPr>
      <w:rFonts w:ascii="Times New Roman" w:eastAsia="Times New Roman" w:hAnsi="Times New Roman"/>
      <w:sz w:val="24"/>
      <w:szCs w:val="20"/>
      <w:lang w:eastAsia="en-GB"/>
    </w:rPr>
  </w:style>
  <w:style w:type="paragraph" w:styleId="FootnoteText">
    <w:name w:val="footnote text"/>
    <w:aliases w:val="Footnote Text Char1 Char,Footnote Text Char Char Char,Footnote Text Char1 Char Char Char,Footnote Text Char Char Char Char Char,Footnote Text Char1 Char1 Char,Footnote Text Char Char Char1 Char,Schriftart: 9 pt,Schriftart: 10 pt,fn"/>
    <w:basedOn w:val="Normal"/>
    <w:link w:val="FootnoteTextChar1"/>
    <w:uiPriority w:val="99"/>
    <w:qFormat/>
    <w:rsid w:val="00265971"/>
    <w:pPr>
      <w:widowControl w:val="0"/>
      <w:autoSpaceDE w:val="0"/>
      <w:autoSpaceDN w:val="0"/>
      <w:adjustRightInd w:val="0"/>
      <w:spacing w:after="120" w:line="240" w:lineRule="auto"/>
      <w:ind w:left="284" w:hanging="284"/>
      <w:jc w:val="both"/>
    </w:pPr>
    <w:rPr>
      <w:rFonts w:eastAsia="Times New Roman"/>
      <w:sz w:val="20"/>
      <w:szCs w:val="20"/>
      <w:lang w:eastAsia="en-GB"/>
    </w:rPr>
  </w:style>
  <w:style w:type="character" w:customStyle="1" w:styleId="FootnoteTextChar">
    <w:name w:val="Footnote Text Char"/>
    <w:aliases w:val="Schriftart: 9 pt Char,Schriftart: 10 pt Char,Schriftart: 8 pt Char,WB-Fußnotentext Char,fn Char,Footnotes Char,Footnote ak Char"/>
    <w:uiPriority w:val="99"/>
    <w:qFormat/>
    <w:rsid w:val="00265971"/>
    <w:rPr>
      <w:lang w:eastAsia="en-US"/>
    </w:rPr>
  </w:style>
  <w:style w:type="character" w:customStyle="1" w:styleId="FootnoteTextChar1">
    <w:name w:val="Footnote Text Char1"/>
    <w:aliases w:val="Footnote Text Char1 Char Char1,Footnote Text Char Char Char Char1,Footnote Text Char1 Char Char Char Char1,Footnote Text Char Char Char Char Char Char1,Footnote Text Char1 Char1 Char Char1,Footnote Text Char Char Char1 Char Char1"/>
    <w:link w:val="FootnoteText"/>
    <w:uiPriority w:val="99"/>
    <w:locked/>
    <w:rsid w:val="00265971"/>
    <w:rPr>
      <w:rFonts w:eastAsia="Times New Roman"/>
    </w:rPr>
  </w:style>
  <w:style w:type="character" w:customStyle="1" w:styleId="FootnoteTextCharChar">
    <w:name w:val="Footnote Text Char Char"/>
    <w:aliases w:val="Footnote Text Char1 Char Char,Footnote Text Char Char Char Char,Footnote Text Char1 Char Char Char Char,Footnote Text Char Char Char Char Char Char,Footnote Text Char1 Char1 Char Char,Footnote Text Char Char Char1 Char Char"/>
    <w:rsid w:val="00265971"/>
    <w:rPr>
      <w:lang w:val="en-US" w:eastAsia="ko-KR" w:bidi="ar-SA"/>
    </w:rPr>
  </w:style>
  <w:style w:type="character" w:styleId="FootnoteReference">
    <w:name w:val="footnote reference"/>
    <w:aliases w:val="Footnote symbol,Footnote,Footnote number,Footnote Reference Number,Footnote reference number,Times 10 Point,Exposant 3 Point,Footnote Reference Superscript, Exposant 3 Point,EN Footnote Reference,note TESI,-E Fußnotenzeichen,fr,o,FR"/>
    <w:link w:val="FootnotesymbolCarZchn"/>
    <w:uiPriority w:val="99"/>
    <w:qFormat/>
    <w:rsid w:val="00265971"/>
    <w:rPr>
      <w:vertAlign w:val="superscript"/>
    </w:rPr>
  </w:style>
  <w:style w:type="paragraph" w:styleId="Date">
    <w:name w:val="Date"/>
    <w:basedOn w:val="Normal"/>
    <w:next w:val="Normal"/>
    <w:link w:val="DateChar"/>
    <w:rsid w:val="00265971"/>
    <w:pPr>
      <w:spacing w:after="0" w:line="240" w:lineRule="auto"/>
      <w:ind w:left="5103" w:right="-567"/>
    </w:pPr>
    <w:rPr>
      <w:rFonts w:eastAsia="Times New Roman"/>
      <w:sz w:val="24"/>
      <w:szCs w:val="20"/>
    </w:rPr>
  </w:style>
  <w:style w:type="character" w:customStyle="1" w:styleId="DateChar">
    <w:name w:val="Date Char"/>
    <w:link w:val="Date"/>
    <w:rsid w:val="00265971"/>
    <w:rPr>
      <w:rFonts w:eastAsia="Times New Roman"/>
      <w:sz w:val="24"/>
      <w:lang w:eastAsia="en-US"/>
    </w:rPr>
  </w:style>
  <w:style w:type="paragraph" w:customStyle="1" w:styleId="Letter">
    <w:name w:val="Letter"/>
    <w:basedOn w:val="Normal"/>
    <w:link w:val="LetterChar"/>
    <w:rsid w:val="00265971"/>
    <w:pPr>
      <w:widowControl w:val="0"/>
      <w:autoSpaceDE w:val="0"/>
      <w:autoSpaceDN w:val="0"/>
      <w:adjustRightInd w:val="0"/>
      <w:spacing w:after="240" w:line="320" w:lineRule="exact"/>
      <w:jc w:val="both"/>
    </w:pPr>
    <w:rPr>
      <w:rFonts w:eastAsia="Times New Roman"/>
      <w:i/>
      <w:sz w:val="24"/>
      <w:szCs w:val="20"/>
      <w:lang w:val="x-none"/>
    </w:rPr>
  </w:style>
  <w:style w:type="character" w:customStyle="1" w:styleId="LetterChar">
    <w:name w:val="Letter Char"/>
    <w:link w:val="Letter"/>
    <w:rsid w:val="00265971"/>
    <w:rPr>
      <w:rFonts w:eastAsia="Times New Roman"/>
      <w:i/>
      <w:sz w:val="24"/>
      <w:lang w:val="x-none" w:eastAsia="en-US"/>
    </w:rPr>
  </w:style>
  <w:style w:type="paragraph" w:styleId="ListParagraph">
    <w:name w:val="List Paragraph"/>
    <w:aliases w:val="Left Bullet L1,Lijstalinea,Nad,Odstavec_muj,Table/Figure Heading,Colorful List - Accent 11,Dot pt,F5 List Paragraph,List Paragraph1,No Spacing1,List Paragraph Char Char Char,Indicator Text,Numbered Para 1,Bullet 1,Bullet Points,FABIMED 1"/>
    <w:basedOn w:val="Normal"/>
    <w:link w:val="ListParagraphChar"/>
    <w:uiPriority w:val="34"/>
    <w:qFormat/>
    <w:rsid w:val="003F6B0C"/>
    <w:pPr>
      <w:ind w:left="720"/>
      <w:contextualSpacing/>
    </w:pPr>
  </w:style>
  <w:style w:type="character" w:styleId="CommentReference">
    <w:name w:val="annotation reference"/>
    <w:basedOn w:val="DefaultParagraphFont"/>
    <w:uiPriority w:val="99"/>
    <w:semiHidden/>
    <w:unhideWhenUsed/>
    <w:rsid w:val="00162C4D"/>
    <w:rPr>
      <w:sz w:val="16"/>
      <w:szCs w:val="16"/>
    </w:rPr>
  </w:style>
  <w:style w:type="paragraph" w:styleId="CommentText">
    <w:name w:val="annotation text"/>
    <w:basedOn w:val="Normal"/>
    <w:link w:val="CommentTextChar"/>
    <w:uiPriority w:val="99"/>
    <w:unhideWhenUsed/>
    <w:rsid w:val="00162C4D"/>
    <w:pPr>
      <w:spacing w:line="240" w:lineRule="auto"/>
    </w:pPr>
    <w:rPr>
      <w:sz w:val="20"/>
      <w:szCs w:val="20"/>
    </w:rPr>
  </w:style>
  <w:style w:type="character" w:customStyle="1" w:styleId="CommentTextChar">
    <w:name w:val="Comment Text Char"/>
    <w:basedOn w:val="DefaultParagraphFont"/>
    <w:link w:val="CommentText"/>
    <w:uiPriority w:val="99"/>
    <w:rsid w:val="00162C4D"/>
    <w:rPr>
      <w:lang w:eastAsia="en-US"/>
    </w:rPr>
  </w:style>
  <w:style w:type="paragraph" w:styleId="CommentSubject">
    <w:name w:val="annotation subject"/>
    <w:basedOn w:val="CommentText"/>
    <w:next w:val="CommentText"/>
    <w:link w:val="CommentSubjectChar"/>
    <w:uiPriority w:val="99"/>
    <w:semiHidden/>
    <w:unhideWhenUsed/>
    <w:rsid w:val="00162C4D"/>
    <w:rPr>
      <w:b/>
      <w:bCs/>
    </w:rPr>
  </w:style>
  <w:style w:type="character" w:customStyle="1" w:styleId="CommentSubjectChar">
    <w:name w:val="Comment Subject Char"/>
    <w:basedOn w:val="CommentTextChar"/>
    <w:link w:val="CommentSubject"/>
    <w:uiPriority w:val="99"/>
    <w:semiHidden/>
    <w:rsid w:val="00162C4D"/>
    <w:rPr>
      <w:b/>
      <w:bCs/>
      <w:lang w:eastAsia="en-US"/>
    </w:rPr>
  </w:style>
  <w:style w:type="paragraph" w:styleId="BalloonText">
    <w:name w:val="Balloon Text"/>
    <w:basedOn w:val="Normal"/>
    <w:link w:val="BalloonTextChar"/>
    <w:uiPriority w:val="99"/>
    <w:semiHidden/>
    <w:unhideWhenUsed/>
    <w:rsid w:val="00162C4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62C4D"/>
    <w:rPr>
      <w:rFonts w:ascii="Tahoma" w:hAnsi="Tahoma" w:cs="Tahoma"/>
      <w:sz w:val="16"/>
      <w:szCs w:val="16"/>
      <w:lang w:eastAsia="en-US"/>
    </w:rPr>
  </w:style>
  <w:style w:type="paragraph" w:styleId="Revision">
    <w:name w:val="Revision"/>
    <w:hidden/>
    <w:uiPriority w:val="99"/>
    <w:semiHidden/>
    <w:rsid w:val="00B9701B"/>
    <w:rPr>
      <w:sz w:val="22"/>
      <w:szCs w:val="22"/>
      <w:lang w:eastAsia="en-US"/>
    </w:rPr>
  </w:style>
  <w:style w:type="paragraph" w:styleId="Header">
    <w:name w:val="header"/>
    <w:basedOn w:val="Normal"/>
    <w:link w:val="HeaderChar"/>
    <w:uiPriority w:val="99"/>
    <w:unhideWhenUsed/>
    <w:rsid w:val="00124D7F"/>
    <w:pPr>
      <w:tabs>
        <w:tab w:val="center" w:pos="4536"/>
        <w:tab w:val="right" w:pos="9072"/>
      </w:tabs>
    </w:pPr>
  </w:style>
  <w:style w:type="character" w:customStyle="1" w:styleId="HeaderChar">
    <w:name w:val="Header Char"/>
    <w:basedOn w:val="DefaultParagraphFont"/>
    <w:link w:val="Header"/>
    <w:uiPriority w:val="99"/>
    <w:rsid w:val="00124D7F"/>
    <w:rPr>
      <w:sz w:val="22"/>
      <w:szCs w:val="22"/>
      <w:lang w:eastAsia="en-US"/>
    </w:rPr>
  </w:style>
  <w:style w:type="paragraph" w:styleId="Footer">
    <w:name w:val="footer"/>
    <w:basedOn w:val="Normal"/>
    <w:link w:val="FooterChar"/>
    <w:unhideWhenUsed/>
    <w:rsid w:val="00124D7F"/>
    <w:pPr>
      <w:tabs>
        <w:tab w:val="center" w:pos="4536"/>
        <w:tab w:val="right" w:pos="9072"/>
      </w:tabs>
    </w:pPr>
  </w:style>
  <w:style w:type="character" w:customStyle="1" w:styleId="FooterChar">
    <w:name w:val="Footer Char"/>
    <w:basedOn w:val="DefaultParagraphFont"/>
    <w:link w:val="Footer"/>
    <w:rsid w:val="00124D7F"/>
    <w:rPr>
      <w:sz w:val="22"/>
      <w:szCs w:val="22"/>
      <w:lang w:eastAsia="en-US"/>
    </w:rPr>
  </w:style>
  <w:style w:type="character" w:styleId="Hyperlink">
    <w:name w:val="Hyperlink"/>
    <w:uiPriority w:val="99"/>
    <w:unhideWhenUsed/>
    <w:rsid w:val="00124D7F"/>
    <w:rPr>
      <w:color w:val="0000FF"/>
      <w:u w:val="single"/>
    </w:rPr>
  </w:style>
  <w:style w:type="numbering" w:customStyle="1" w:styleId="NoList1">
    <w:name w:val="No List1"/>
    <w:next w:val="NoList"/>
    <w:uiPriority w:val="99"/>
    <w:semiHidden/>
    <w:unhideWhenUsed/>
    <w:rsid w:val="00090CD7"/>
  </w:style>
  <w:style w:type="paragraph" w:styleId="NormalWeb">
    <w:name w:val="Normal (Web)"/>
    <w:basedOn w:val="Normal"/>
    <w:uiPriority w:val="99"/>
    <w:semiHidden/>
    <w:unhideWhenUsed/>
    <w:rsid w:val="00E33CC7"/>
    <w:pPr>
      <w:spacing w:before="100" w:beforeAutospacing="1" w:after="100" w:afterAutospacing="1" w:line="240" w:lineRule="auto"/>
    </w:pPr>
    <w:rPr>
      <w:rFonts w:ascii="Times New Roman" w:eastAsia="Times New Roman" w:hAnsi="Times New Roman"/>
      <w:sz w:val="24"/>
      <w:szCs w:val="24"/>
      <w:lang w:eastAsia="en-GB"/>
    </w:rPr>
  </w:style>
  <w:style w:type="character" w:customStyle="1" w:styleId="Heading4Char">
    <w:name w:val="Heading 4 Char"/>
    <w:basedOn w:val="DefaultParagraphFont"/>
    <w:link w:val="Heading4"/>
    <w:uiPriority w:val="9"/>
    <w:rsid w:val="00F02950"/>
    <w:rPr>
      <w:rFonts w:asciiTheme="majorHAnsi" w:eastAsiaTheme="majorEastAsia" w:hAnsiTheme="majorHAnsi" w:cstheme="majorBidi"/>
      <w:i/>
      <w:iCs/>
      <w:color w:val="365F91" w:themeColor="accent1" w:themeShade="BF"/>
      <w:sz w:val="22"/>
      <w:szCs w:val="22"/>
      <w:lang w:eastAsia="en-US"/>
    </w:rPr>
  </w:style>
  <w:style w:type="table" w:customStyle="1" w:styleId="TableGrid1">
    <w:name w:val="Table Grid1"/>
    <w:basedOn w:val="TableNormal"/>
    <w:next w:val="TableGrid"/>
    <w:uiPriority w:val="59"/>
    <w:rsid w:val="005D1EA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tedebasdepage">
    <w:name w:val="Note de bas de page_"/>
    <w:basedOn w:val="DefaultParagraphFont"/>
    <w:link w:val="Notedebasdepage0"/>
    <w:uiPriority w:val="99"/>
    <w:locked/>
    <w:rsid w:val="005D1EA7"/>
    <w:rPr>
      <w:sz w:val="19"/>
      <w:szCs w:val="19"/>
      <w:shd w:val="clear" w:color="auto" w:fill="FFFFFF"/>
    </w:rPr>
  </w:style>
  <w:style w:type="paragraph" w:customStyle="1" w:styleId="Notedebasdepage0">
    <w:name w:val="Note de bas de page"/>
    <w:basedOn w:val="Normal"/>
    <w:link w:val="Notedebasdepage"/>
    <w:uiPriority w:val="99"/>
    <w:rsid w:val="005D1EA7"/>
    <w:pPr>
      <w:widowControl w:val="0"/>
      <w:shd w:val="clear" w:color="auto" w:fill="FFFFFF"/>
      <w:spacing w:after="0" w:line="240" w:lineRule="atLeast"/>
      <w:jc w:val="both"/>
    </w:pPr>
    <w:rPr>
      <w:sz w:val="19"/>
      <w:szCs w:val="19"/>
      <w:lang w:eastAsia="en-GB"/>
    </w:rPr>
  </w:style>
  <w:style w:type="table" w:styleId="TableGrid">
    <w:name w:val="Table Grid"/>
    <w:basedOn w:val="TableNormal"/>
    <w:uiPriority w:val="39"/>
    <w:rsid w:val="005D1E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DC7618"/>
    <w:rPr>
      <w:color w:val="605E5C"/>
      <w:shd w:val="clear" w:color="auto" w:fill="E1DFDD"/>
    </w:rPr>
  </w:style>
  <w:style w:type="paragraph" w:customStyle="1" w:styleId="FootnotesymbolCarZchn">
    <w:name w:val="Footnote symbol Car Zchn"/>
    <w:aliases w:val="Footnote Car Zchn,Times 10 Point Car Zchn,Exposant 3 Point Car Zchn,Footnote Reference Superscript Car Zchn,Char Char Char Char Char Car Zchn,BVI fnr Car Zchn,SUPERS Car Zchn"/>
    <w:basedOn w:val="Normal"/>
    <w:link w:val="FootnoteReference"/>
    <w:uiPriority w:val="99"/>
    <w:qFormat/>
    <w:rsid w:val="006C336C"/>
    <w:pPr>
      <w:spacing w:after="160" w:line="240" w:lineRule="exact"/>
      <w:jc w:val="both"/>
    </w:pPr>
    <w:rPr>
      <w:sz w:val="20"/>
      <w:szCs w:val="20"/>
      <w:vertAlign w:val="superscript"/>
      <w:lang w:eastAsia="en-GB"/>
    </w:rPr>
  </w:style>
  <w:style w:type="character" w:customStyle="1" w:styleId="ListParagraphChar">
    <w:name w:val="List Paragraph Char"/>
    <w:aliases w:val="Left Bullet L1 Char,Lijstalinea Char,Nad Char,Odstavec_muj Char,Table/Figure Heading Char,Colorful List - Accent 11 Char,Dot pt Char,F5 List Paragraph Char,List Paragraph1 Char,No Spacing1 Char,List Paragraph Char Char Char Char"/>
    <w:link w:val="ListParagraph"/>
    <w:uiPriority w:val="34"/>
    <w:qFormat/>
    <w:locked/>
    <w:rsid w:val="006C336C"/>
    <w:rPr>
      <w:sz w:val="22"/>
      <w:szCs w:val="22"/>
      <w:lang w:eastAsia="en-US"/>
    </w:rPr>
  </w:style>
  <w:style w:type="character" w:customStyle="1" w:styleId="Heading5Char">
    <w:name w:val="Heading 5 Char"/>
    <w:basedOn w:val="DefaultParagraphFont"/>
    <w:link w:val="Heading5"/>
    <w:uiPriority w:val="9"/>
    <w:semiHidden/>
    <w:rsid w:val="00554B16"/>
    <w:rPr>
      <w:rFonts w:asciiTheme="majorHAnsi" w:eastAsiaTheme="majorEastAsia" w:hAnsiTheme="majorHAnsi" w:cstheme="majorBidi"/>
      <w:i/>
      <w:iCs/>
      <w:color w:val="F79646" w:themeColor="accent6"/>
      <w:sz w:val="22"/>
      <w:szCs w:val="22"/>
      <w:lang w:eastAsia="en-US"/>
    </w:rPr>
  </w:style>
  <w:style w:type="character" w:customStyle="1" w:styleId="Heading6Char">
    <w:name w:val="Heading 6 Char"/>
    <w:basedOn w:val="DefaultParagraphFont"/>
    <w:link w:val="Heading6"/>
    <w:uiPriority w:val="9"/>
    <w:semiHidden/>
    <w:rsid w:val="00554B16"/>
    <w:rPr>
      <w:rFonts w:asciiTheme="majorHAnsi" w:eastAsiaTheme="majorEastAsia" w:hAnsiTheme="majorHAnsi" w:cstheme="majorBidi"/>
      <w:color w:val="F79646" w:themeColor="accent6"/>
      <w:sz w:val="22"/>
      <w:szCs w:val="22"/>
      <w:lang w:eastAsia="en-US"/>
    </w:rPr>
  </w:style>
  <w:style w:type="character" w:customStyle="1" w:styleId="Heading7Char">
    <w:name w:val="Heading 7 Char"/>
    <w:basedOn w:val="DefaultParagraphFont"/>
    <w:link w:val="Heading7"/>
    <w:uiPriority w:val="9"/>
    <w:semiHidden/>
    <w:rsid w:val="00554B16"/>
    <w:rPr>
      <w:rFonts w:asciiTheme="majorHAnsi" w:eastAsiaTheme="majorEastAsia" w:hAnsiTheme="majorHAnsi" w:cstheme="majorBidi"/>
      <w:b/>
      <w:bCs/>
      <w:color w:val="F79646" w:themeColor="accent6"/>
      <w:sz w:val="22"/>
      <w:szCs w:val="22"/>
      <w:lang w:eastAsia="en-US"/>
    </w:rPr>
  </w:style>
  <w:style w:type="character" w:customStyle="1" w:styleId="Heading8Char">
    <w:name w:val="Heading 8 Char"/>
    <w:basedOn w:val="DefaultParagraphFont"/>
    <w:link w:val="Heading8"/>
    <w:uiPriority w:val="9"/>
    <w:semiHidden/>
    <w:rsid w:val="00554B16"/>
    <w:rPr>
      <w:rFonts w:asciiTheme="majorHAnsi" w:eastAsiaTheme="majorEastAsia" w:hAnsiTheme="majorHAnsi" w:cstheme="majorBidi"/>
      <w:b/>
      <w:bCs/>
      <w:i/>
      <w:iCs/>
      <w:color w:val="F79646" w:themeColor="accent6"/>
      <w:lang w:eastAsia="en-US"/>
    </w:rPr>
  </w:style>
  <w:style w:type="character" w:customStyle="1" w:styleId="Heading9Char">
    <w:name w:val="Heading 9 Char"/>
    <w:basedOn w:val="DefaultParagraphFont"/>
    <w:link w:val="Heading9"/>
    <w:uiPriority w:val="9"/>
    <w:semiHidden/>
    <w:rsid w:val="00554B16"/>
    <w:rPr>
      <w:rFonts w:asciiTheme="majorHAnsi" w:eastAsiaTheme="majorEastAsia" w:hAnsiTheme="majorHAnsi" w:cstheme="majorBidi"/>
      <w:i/>
      <w:iCs/>
      <w:color w:val="F79646" w:themeColor="accent6"/>
      <w:lang w:eastAsia="en-US"/>
    </w:rPr>
  </w:style>
  <w:style w:type="character" w:styleId="Strong">
    <w:name w:val="Strong"/>
    <w:basedOn w:val="DefaultParagraphFont"/>
    <w:uiPriority w:val="22"/>
    <w:qFormat/>
    <w:rsid w:val="00554B16"/>
    <w:rPr>
      <w:b/>
      <w:bCs/>
    </w:rPr>
  </w:style>
  <w:style w:type="paragraph" w:customStyle="1" w:styleId="MainText1">
    <w:name w:val="MainText 1"/>
    <w:basedOn w:val="Normal"/>
    <w:uiPriority w:val="99"/>
    <w:rsid w:val="00554B16"/>
    <w:pPr>
      <w:spacing w:after="0" w:line="240" w:lineRule="auto"/>
      <w:jc w:val="both"/>
    </w:pPr>
    <w:rPr>
      <w:rFonts w:ascii="Trebuchet MS" w:eastAsia="Times New Roman" w:hAnsi="Trebuchet MS" w:cs="Arial"/>
      <w:sz w:val="24"/>
      <w:szCs w:val="24"/>
      <w:lang w:eastAsia="de-DE"/>
    </w:rPr>
  </w:style>
  <w:style w:type="character" w:styleId="FollowedHyperlink">
    <w:name w:val="FollowedHyperlink"/>
    <w:basedOn w:val="DefaultParagraphFont"/>
    <w:uiPriority w:val="99"/>
    <w:semiHidden/>
    <w:unhideWhenUsed/>
    <w:rsid w:val="00554B16"/>
    <w:rPr>
      <w:color w:val="800080" w:themeColor="followedHyperlink"/>
      <w:u w:val="single"/>
    </w:rPr>
  </w:style>
  <w:style w:type="paragraph" w:styleId="Caption">
    <w:name w:val="caption"/>
    <w:basedOn w:val="Normal"/>
    <w:next w:val="Normal"/>
    <w:unhideWhenUsed/>
    <w:qFormat/>
    <w:rsid w:val="00554B16"/>
    <w:pPr>
      <w:spacing w:line="240" w:lineRule="auto"/>
    </w:pPr>
    <w:rPr>
      <w:b/>
      <w:bCs/>
      <w:smallCaps/>
      <w:color w:val="595959" w:themeColor="text1" w:themeTint="A6"/>
    </w:rPr>
  </w:style>
  <w:style w:type="paragraph" w:styleId="Title">
    <w:name w:val="Title"/>
    <w:basedOn w:val="Normal"/>
    <w:next w:val="Normal"/>
    <w:link w:val="TitleChar"/>
    <w:uiPriority w:val="10"/>
    <w:qFormat/>
    <w:rsid w:val="00554B16"/>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TitleChar">
    <w:name w:val="Title Char"/>
    <w:basedOn w:val="DefaultParagraphFont"/>
    <w:link w:val="Title"/>
    <w:rsid w:val="00554B16"/>
    <w:rPr>
      <w:rFonts w:asciiTheme="majorHAnsi" w:eastAsiaTheme="majorEastAsia" w:hAnsiTheme="majorHAnsi" w:cstheme="majorBidi"/>
      <w:color w:val="262626" w:themeColor="text1" w:themeTint="D9"/>
      <w:spacing w:val="-15"/>
      <w:sz w:val="96"/>
      <w:szCs w:val="96"/>
      <w:lang w:eastAsia="en-US"/>
    </w:rPr>
  </w:style>
  <w:style w:type="paragraph" w:styleId="Subtitle">
    <w:name w:val="Subtitle"/>
    <w:basedOn w:val="Normal"/>
    <w:next w:val="Normal"/>
    <w:link w:val="SubtitleChar"/>
    <w:uiPriority w:val="11"/>
    <w:qFormat/>
    <w:rsid w:val="00554B16"/>
    <w:pPr>
      <w:numPr>
        <w:ilvl w:val="1"/>
      </w:numPr>
      <w:spacing w:line="240" w:lineRule="auto"/>
    </w:pPr>
    <w:rPr>
      <w:rFonts w:asciiTheme="majorHAnsi" w:eastAsiaTheme="majorEastAsia" w:hAnsiTheme="majorHAnsi" w:cstheme="majorBidi"/>
      <w:sz w:val="30"/>
      <w:szCs w:val="30"/>
    </w:rPr>
  </w:style>
  <w:style w:type="character" w:customStyle="1" w:styleId="SubtitleChar">
    <w:name w:val="Subtitle Char"/>
    <w:basedOn w:val="DefaultParagraphFont"/>
    <w:link w:val="Subtitle"/>
    <w:uiPriority w:val="11"/>
    <w:rsid w:val="00554B16"/>
    <w:rPr>
      <w:rFonts w:asciiTheme="majorHAnsi" w:eastAsiaTheme="majorEastAsia" w:hAnsiTheme="majorHAnsi" w:cstheme="majorBidi"/>
      <w:sz w:val="30"/>
      <w:szCs w:val="30"/>
      <w:lang w:eastAsia="en-US"/>
    </w:rPr>
  </w:style>
  <w:style w:type="character" w:styleId="Emphasis">
    <w:name w:val="Emphasis"/>
    <w:basedOn w:val="DefaultParagraphFont"/>
    <w:uiPriority w:val="20"/>
    <w:qFormat/>
    <w:rsid w:val="00554B16"/>
    <w:rPr>
      <w:i/>
      <w:iCs/>
      <w:color w:val="F79646" w:themeColor="accent6"/>
    </w:rPr>
  </w:style>
  <w:style w:type="paragraph" w:styleId="NoSpacing">
    <w:name w:val="No Spacing"/>
    <w:uiPriority w:val="1"/>
    <w:qFormat/>
    <w:rsid w:val="00554B16"/>
    <w:rPr>
      <w:rFonts w:asciiTheme="minorHAnsi" w:eastAsiaTheme="minorHAnsi" w:hAnsiTheme="minorHAnsi" w:cstheme="minorBidi"/>
      <w:sz w:val="21"/>
      <w:szCs w:val="21"/>
      <w:lang w:eastAsia="en-US"/>
    </w:rPr>
  </w:style>
  <w:style w:type="paragraph" w:styleId="Quote">
    <w:name w:val="Quote"/>
    <w:basedOn w:val="Normal"/>
    <w:next w:val="Normal"/>
    <w:link w:val="QuoteChar"/>
    <w:uiPriority w:val="29"/>
    <w:qFormat/>
    <w:rsid w:val="00554B16"/>
    <w:pPr>
      <w:spacing w:before="160"/>
      <w:ind w:left="720" w:right="720"/>
      <w:jc w:val="center"/>
    </w:pPr>
    <w:rPr>
      <w:i/>
      <w:iCs/>
      <w:color w:val="262626" w:themeColor="text1" w:themeTint="D9"/>
    </w:rPr>
  </w:style>
  <w:style w:type="character" w:customStyle="1" w:styleId="QuoteChar">
    <w:name w:val="Quote Char"/>
    <w:basedOn w:val="DefaultParagraphFont"/>
    <w:link w:val="Quote"/>
    <w:uiPriority w:val="29"/>
    <w:rsid w:val="00554B16"/>
    <w:rPr>
      <w:i/>
      <w:iCs/>
      <w:color w:val="262626" w:themeColor="text1" w:themeTint="D9"/>
      <w:sz w:val="22"/>
      <w:szCs w:val="22"/>
      <w:lang w:eastAsia="en-US"/>
    </w:rPr>
  </w:style>
  <w:style w:type="paragraph" w:styleId="IntenseQuote">
    <w:name w:val="Intense Quote"/>
    <w:basedOn w:val="Normal"/>
    <w:next w:val="Normal"/>
    <w:link w:val="IntenseQuoteChar"/>
    <w:uiPriority w:val="30"/>
    <w:qFormat/>
    <w:rsid w:val="00554B16"/>
    <w:pPr>
      <w:spacing w:before="160" w:after="160" w:line="264" w:lineRule="auto"/>
      <w:ind w:left="720" w:right="720"/>
      <w:jc w:val="center"/>
    </w:pPr>
    <w:rPr>
      <w:rFonts w:asciiTheme="majorHAnsi" w:eastAsiaTheme="majorEastAsia" w:hAnsiTheme="majorHAnsi" w:cstheme="majorBidi"/>
      <w:i/>
      <w:iCs/>
      <w:color w:val="F79646" w:themeColor="accent6"/>
      <w:sz w:val="32"/>
      <w:szCs w:val="32"/>
    </w:rPr>
  </w:style>
  <w:style w:type="character" w:customStyle="1" w:styleId="IntenseQuoteChar">
    <w:name w:val="Intense Quote Char"/>
    <w:basedOn w:val="DefaultParagraphFont"/>
    <w:link w:val="IntenseQuote"/>
    <w:uiPriority w:val="30"/>
    <w:rsid w:val="00554B16"/>
    <w:rPr>
      <w:rFonts w:asciiTheme="majorHAnsi" w:eastAsiaTheme="majorEastAsia" w:hAnsiTheme="majorHAnsi" w:cstheme="majorBidi"/>
      <w:i/>
      <w:iCs/>
      <w:color w:val="F79646" w:themeColor="accent6"/>
      <w:sz w:val="32"/>
      <w:szCs w:val="32"/>
      <w:lang w:eastAsia="en-US"/>
    </w:rPr>
  </w:style>
  <w:style w:type="character" w:styleId="SubtleEmphasis">
    <w:name w:val="Subtle Emphasis"/>
    <w:basedOn w:val="DefaultParagraphFont"/>
    <w:uiPriority w:val="19"/>
    <w:qFormat/>
    <w:rsid w:val="00554B16"/>
    <w:rPr>
      <w:i/>
      <w:iCs/>
    </w:rPr>
  </w:style>
  <w:style w:type="character" w:styleId="IntenseEmphasis">
    <w:name w:val="Intense Emphasis"/>
    <w:basedOn w:val="DefaultParagraphFont"/>
    <w:uiPriority w:val="21"/>
    <w:qFormat/>
    <w:rsid w:val="00554B16"/>
    <w:rPr>
      <w:b/>
      <w:bCs/>
      <w:i/>
      <w:iCs/>
    </w:rPr>
  </w:style>
  <w:style w:type="character" w:styleId="SubtleReference">
    <w:name w:val="Subtle Reference"/>
    <w:basedOn w:val="DefaultParagraphFont"/>
    <w:uiPriority w:val="31"/>
    <w:qFormat/>
    <w:rsid w:val="00554B16"/>
    <w:rPr>
      <w:smallCaps/>
      <w:color w:val="595959" w:themeColor="text1" w:themeTint="A6"/>
    </w:rPr>
  </w:style>
  <w:style w:type="character" w:styleId="IntenseReference">
    <w:name w:val="Intense Reference"/>
    <w:basedOn w:val="DefaultParagraphFont"/>
    <w:uiPriority w:val="32"/>
    <w:qFormat/>
    <w:rsid w:val="00554B16"/>
    <w:rPr>
      <w:b/>
      <w:bCs/>
      <w:smallCaps/>
      <w:color w:val="F79646" w:themeColor="accent6"/>
    </w:rPr>
  </w:style>
  <w:style w:type="character" w:styleId="BookTitle">
    <w:name w:val="Book Title"/>
    <w:basedOn w:val="DefaultParagraphFont"/>
    <w:uiPriority w:val="33"/>
    <w:qFormat/>
    <w:rsid w:val="00554B16"/>
    <w:rPr>
      <w:b/>
      <w:bCs/>
      <w:caps w:val="0"/>
      <w:smallCaps/>
      <w:spacing w:val="7"/>
      <w:sz w:val="21"/>
      <w:szCs w:val="21"/>
    </w:rPr>
  </w:style>
  <w:style w:type="paragraph" w:styleId="TOCHeading">
    <w:name w:val="TOC Heading"/>
    <w:basedOn w:val="Heading1"/>
    <w:next w:val="Normal"/>
    <w:uiPriority w:val="39"/>
    <w:unhideWhenUsed/>
    <w:qFormat/>
    <w:rsid w:val="00554B16"/>
    <w:pPr>
      <w:keepLines/>
      <w:spacing w:before="360" w:after="40" w:line="240" w:lineRule="auto"/>
      <w:ind w:left="720" w:hanging="360"/>
      <w:outlineLvl w:val="9"/>
    </w:pPr>
    <w:rPr>
      <w:rFonts w:asciiTheme="majorHAnsi" w:eastAsiaTheme="majorEastAsia" w:hAnsiTheme="majorHAnsi" w:cstheme="majorBidi"/>
      <w:b w:val="0"/>
      <w:bCs w:val="0"/>
      <w:caps/>
      <w:color w:val="E36C0A" w:themeColor="accent6" w:themeShade="BF"/>
      <w:kern w:val="0"/>
      <w:sz w:val="40"/>
      <w:szCs w:val="40"/>
    </w:rPr>
  </w:style>
  <w:style w:type="paragraph" w:customStyle="1" w:styleId="msonormal0">
    <w:name w:val="msonormal"/>
    <w:basedOn w:val="Normal"/>
    <w:rsid w:val="00554B16"/>
    <w:pPr>
      <w:spacing w:before="100" w:beforeAutospacing="1" w:after="100" w:afterAutospacing="1" w:line="240" w:lineRule="auto"/>
    </w:pPr>
    <w:rPr>
      <w:rFonts w:ascii="Times New Roman" w:eastAsia="Times New Roman" w:hAnsi="Times New Roman"/>
      <w:sz w:val="24"/>
      <w:szCs w:val="24"/>
      <w:lang w:eastAsia="en-GB"/>
    </w:rPr>
  </w:style>
  <w:style w:type="paragraph" w:customStyle="1" w:styleId="xl63">
    <w:name w:val="xl63"/>
    <w:basedOn w:val="Normal"/>
    <w:rsid w:val="00554B16"/>
    <w:pPr>
      <w:shd w:val="clear" w:color="FFFFFF" w:fill="FFFFFF"/>
      <w:spacing w:before="100" w:beforeAutospacing="1" w:after="100" w:afterAutospacing="1" w:line="240" w:lineRule="auto"/>
      <w:textAlignment w:val="center"/>
    </w:pPr>
    <w:rPr>
      <w:rFonts w:ascii="Arial" w:eastAsia="Times New Roman" w:hAnsi="Arial" w:cs="Arial"/>
      <w:color w:val="000000"/>
      <w:sz w:val="12"/>
      <w:szCs w:val="12"/>
      <w:lang w:eastAsia="en-GB"/>
    </w:rPr>
  </w:style>
  <w:style w:type="paragraph" w:customStyle="1" w:styleId="xl64">
    <w:name w:val="xl64"/>
    <w:basedOn w:val="Normal"/>
    <w:rsid w:val="00554B16"/>
    <w:pPr>
      <w:pBdr>
        <w:top w:val="single" w:sz="4" w:space="0" w:color="CCCCFF"/>
        <w:left w:val="single" w:sz="4" w:space="0" w:color="CCCCFF"/>
        <w:bottom w:val="single" w:sz="4" w:space="0" w:color="CCCCFF"/>
        <w:right w:val="single" w:sz="4" w:space="0" w:color="CCCCFF"/>
      </w:pBdr>
      <w:shd w:val="clear" w:color="FFFFFF" w:fill="666699"/>
      <w:spacing w:before="100" w:beforeAutospacing="1" w:after="100" w:afterAutospacing="1" w:line="240" w:lineRule="auto"/>
    </w:pPr>
    <w:rPr>
      <w:rFonts w:ascii="Arial" w:eastAsia="Times New Roman" w:hAnsi="Arial" w:cs="Arial"/>
      <w:b/>
      <w:bCs/>
      <w:color w:val="FFFFFF"/>
      <w:sz w:val="18"/>
      <w:szCs w:val="18"/>
      <w:lang w:eastAsia="en-GB"/>
    </w:rPr>
  </w:style>
  <w:style w:type="paragraph" w:customStyle="1" w:styleId="xl65">
    <w:name w:val="xl65"/>
    <w:basedOn w:val="Normal"/>
    <w:rsid w:val="00554B16"/>
    <w:pPr>
      <w:pBdr>
        <w:top w:val="single" w:sz="4" w:space="0" w:color="CCCCFF"/>
        <w:left w:val="single" w:sz="4" w:space="0" w:color="CCCCFF"/>
        <w:bottom w:val="single" w:sz="4" w:space="0" w:color="CCCCFF"/>
        <w:right w:val="single" w:sz="4" w:space="0" w:color="CCCCFF"/>
      </w:pBdr>
      <w:shd w:val="clear" w:color="FFFFFF" w:fill="FFFFFF"/>
      <w:spacing w:before="100" w:beforeAutospacing="1" w:after="100" w:afterAutospacing="1" w:line="240" w:lineRule="auto"/>
      <w:jc w:val="right"/>
    </w:pPr>
    <w:rPr>
      <w:rFonts w:ascii="Arial" w:eastAsia="Times New Roman" w:hAnsi="Arial" w:cs="Arial"/>
      <w:color w:val="000000"/>
      <w:sz w:val="18"/>
      <w:szCs w:val="18"/>
      <w:lang w:eastAsia="en-GB"/>
    </w:rPr>
  </w:style>
  <w:style w:type="paragraph" w:customStyle="1" w:styleId="xl66">
    <w:name w:val="xl66"/>
    <w:basedOn w:val="Normal"/>
    <w:rsid w:val="00554B16"/>
    <w:pPr>
      <w:pBdr>
        <w:top w:val="single" w:sz="4" w:space="0" w:color="CCCCFF"/>
        <w:left w:val="single" w:sz="4" w:space="0" w:color="CCCCFF"/>
        <w:bottom w:val="single" w:sz="4" w:space="0" w:color="CCCCFF"/>
        <w:right w:val="single" w:sz="4" w:space="0" w:color="CCCCFF"/>
      </w:pBdr>
      <w:shd w:val="clear" w:color="FFFFFF" w:fill="FFFFFF"/>
      <w:spacing w:before="100" w:beforeAutospacing="1" w:after="100" w:afterAutospacing="1" w:line="240" w:lineRule="auto"/>
    </w:pPr>
    <w:rPr>
      <w:rFonts w:ascii="Arial" w:eastAsia="Times New Roman" w:hAnsi="Arial" w:cs="Arial"/>
      <w:color w:val="000000"/>
      <w:sz w:val="18"/>
      <w:szCs w:val="18"/>
      <w:lang w:eastAsia="en-GB"/>
    </w:rPr>
  </w:style>
  <w:style w:type="paragraph" w:customStyle="1" w:styleId="xl67">
    <w:name w:val="xl67"/>
    <w:basedOn w:val="Normal"/>
    <w:rsid w:val="00554B16"/>
    <w:pPr>
      <w:pBdr>
        <w:top w:val="single" w:sz="4" w:space="0" w:color="CCCCFF"/>
        <w:left w:val="single" w:sz="4" w:space="0" w:color="CCCCFF"/>
        <w:bottom w:val="single" w:sz="4" w:space="0" w:color="CCCCFF"/>
        <w:right w:val="single" w:sz="4" w:space="0" w:color="CCCCFF"/>
      </w:pBdr>
      <w:shd w:val="clear" w:color="FFFFFF" w:fill="FFFFFF"/>
      <w:spacing w:before="100" w:beforeAutospacing="1" w:after="100" w:afterAutospacing="1" w:line="240" w:lineRule="auto"/>
    </w:pPr>
    <w:rPr>
      <w:rFonts w:ascii="Arial" w:eastAsia="Times New Roman" w:hAnsi="Arial" w:cs="Arial"/>
      <w:color w:val="000000"/>
      <w:sz w:val="18"/>
      <w:szCs w:val="18"/>
      <w:lang w:eastAsia="en-GB"/>
    </w:rPr>
  </w:style>
  <w:style w:type="paragraph" w:customStyle="1" w:styleId="xl68">
    <w:name w:val="xl68"/>
    <w:basedOn w:val="Normal"/>
    <w:rsid w:val="00554B16"/>
    <w:pPr>
      <w:pBdr>
        <w:top w:val="single" w:sz="4" w:space="0" w:color="CCCCFF"/>
        <w:left w:val="single" w:sz="4" w:space="0" w:color="CCCCFF"/>
        <w:bottom w:val="single" w:sz="4" w:space="0" w:color="CCCCFF"/>
        <w:right w:val="single" w:sz="4" w:space="0" w:color="CCCCFF"/>
      </w:pBdr>
      <w:shd w:val="clear" w:color="FFFFFF" w:fill="FFFFFF"/>
      <w:spacing w:before="100" w:beforeAutospacing="1" w:after="100" w:afterAutospacing="1" w:line="240" w:lineRule="auto"/>
    </w:pPr>
    <w:rPr>
      <w:rFonts w:ascii="Arial" w:eastAsia="Times New Roman" w:hAnsi="Arial" w:cs="Arial"/>
      <w:color w:val="000000"/>
      <w:sz w:val="18"/>
      <w:szCs w:val="18"/>
      <w:lang w:eastAsia="en-GB"/>
    </w:rPr>
  </w:style>
  <w:style w:type="paragraph" w:customStyle="1" w:styleId="xl69">
    <w:name w:val="xl69"/>
    <w:basedOn w:val="Normal"/>
    <w:rsid w:val="00554B16"/>
    <w:pPr>
      <w:pBdr>
        <w:top w:val="single" w:sz="4" w:space="0" w:color="CCCCFF"/>
        <w:left w:val="single" w:sz="4" w:space="0" w:color="CCCCFF"/>
        <w:bottom w:val="single" w:sz="4" w:space="0" w:color="CCCCFF"/>
        <w:right w:val="single" w:sz="4" w:space="0" w:color="CCCCFF"/>
      </w:pBdr>
      <w:shd w:val="clear" w:color="FFFFFF" w:fill="FFFFFF"/>
      <w:spacing w:before="100" w:beforeAutospacing="1" w:after="100" w:afterAutospacing="1" w:line="240" w:lineRule="auto"/>
      <w:jc w:val="right"/>
    </w:pPr>
    <w:rPr>
      <w:rFonts w:ascii="Times New Roman" w:eastAsia="Times New Roman" w:hAnsi="Times New Roman"/>
      <w:color w:val="000000"/>
      <w:sz w:val="18"/>
      <w:szCs w:val="18"/>
      <w:lang w:eastAsia="en-GB"/>
    </w:rPr>
  </w:style>
  <w:style w:type="paragraph" w:customStyle="1" w:styleId="xl70">
    <w:name w:val="xl70"/>
    <w:basedOn w:val="Normal"/>
    <w:rsid w:val="00554B16"/>
    <w:pPr>
      <w:pBdr>
        <w:top w:val="single" w:sz="4" w:space="0" w:color="CCCCFF"/>
        <w:left w:val="single" w:sz="4" w:space="0" w:color="CCCCFF"/>
        <w:bottom w:val="single" w:sz="4" w:space="0" w:color="CCCCFF"/>
        <w:right w:val="single" w:sz="4" w:space="0" w:color="CCCCFF"/>
      </w:pBdr>
      <w:shd w:val="clear" w:color="FFFFFF" w:fill="FFFFFF"/>
      <w:spacing w:before="100" w:beforeAutospacing="1" w:after="100" w:afterAutospacing="1" w:line="240" w:lineRule="auto"/>
    </w:pPr>
    <w:rPr>
      <w:rFonts w:ascii="Times New Roman" w:eastAsia="Times New Roman" w:hAnsi="Times New Roman"/>
      <w:color w:val="000000"/>
      <w:sz w:val="18"/>
      <w:szCs w:val="18"/>
      <w:lang w:eastAsia="en-GB"/>
    </w:rPr>
  </w:style>
  <w:style w:type="paragraph" w:customStyle="1" w:styleId="xl71">
    <w:name w:val="xl71"/>
    <w:basedOn w:val="Normal"/>
    <w:rsid w:val="00554B16"/>
    <w:pPr>
      <w:shd w:val="clear" w:color="FFFFFF" w:fill="FFFFFF"/>
      <w:spacing w:before="100" w:beforeAutospacing="1" w:after="100" w:afterAutospacing="1" w:line="240" w:lineRule="auto"/>
      <w:textAlignment w:val="center"/>
    </w:pPr>
    <w:rPr>
      <w:rFonts w:ascii="Times New Roman" w:eastAsia="Times New Roman" w:hAnsi="Times New Roman"/>
      <w:color w:val="000000"/>
      <w:sz w:val="12"/>
      <w:szCs w:val="12"/>
      <w:lang w:eastAsia="en-GB"/>
    </w:rPr>
  </w:style>
  <w:style w:type="paragraph" w:customStyle="1" w:styleId="xl72">
    <w:name w:val="xl72"/>
    <w:basedOn w:val="Normal"/>
    <w:rsid w:val="00554B16"/>
    <w:pPr>
      <w:pBdr>
        <w:top w:val="single" w:sz="4" w:space="0" w:color="CCCCFF"/>
        <w:left w:val="single" w:sz="4" w:space="0" w:color="CCCCFF"/>
        <w:bottom w:val="single" w:sz="4" w:space="0" w:color="CCCCFF"/>
        <w:right w:val="single" w:sz="4" w:space="0" w:color="CCCCFF"/>
      </w:pBdr>
      <w:shd w:val="clear" w:color="FFFFFF" w:fill="FFFFFF"/>
      <w:spacing w:before="100" w:beforeAutospacing="1" w:after="100" w:afterAutospacing="1" w:line="240" w:lineRule="auto"/>
    </w:pPr>
    <w:rPr>
      <w:rFonts w:ascii="Times New Roman" w:eastAsia="Times New Roman" w:hAnsi="Times New Roman"/>
      <w:color w:val="000000"/>
      <w:sz w:val="18"/>
      <w:szCs w:val="18"/>
      <w:lang w:eastAsia="en-GB"/>
    </w:rPr>
  </w:style>
  <w:style w:type="paragraph" w:styleId="BodyText">
    <w:name w:val="Body Text"/>
    <w:basedOn w:val="Normal"/>
    <w:link w:val="BodyTextChar"/>
    <w:rsid w:val="00554B16"/>
    <w:pPr>
      <w:spacing w:before="120" w:after="120" w:line="240" w:lineRule="auto"/>
    </w:pPr>
    <w:rPr>
      <w:rFonts w:asciiTheme="minorHAnsi" w:eastAsia="Times New Roman" w:hAnsiTheme="minorHAnsi"/>
      <w:sz w:val="24"/>
      <w:szCs w:val="20"/>
      <w:lang w:eastAsia="en-GB"/>
    </w:rPr>
  </w:style>
  <w:style w:type="character" w:customStyle="1" w:styleId="BodyTextChar">
    <w:name w:val="Body Text Char"/>
    <w:basedOn w:val="DefaultParagraphFont"/>
    <w:link w:val="BodyText"/>
    <w:rsid w:val="00554B16"/>
    <w:rPr>
      <w:rFonts w:asciiTheme="minorHAnsi" w:eastAsia="Times New Roman" w:hAnsiTheme="minorHAnsi"/>
      <w:sz w:val="24"/>
    </w:rPr>
  </w:style>
  <w:style w:type="paragraph" w:customStyle="1" w:styleId="Text">
    <w:name w:val="Text"/>
    <w:basedOn w:val="Normal"/>
    <w:link w:val="TextChar"/>
    <w:autoRedefine/>
    <w:qFormat/>
    <w:rsid w:val="00554B16"/>
    <w:pPr>
      <w:spacing w:after="0" w:line="240" w:lineRule="auto"/>
      <w:jc w:val="both"/>
    </w:pPr>
    <w:rPr>
      <w:rFonts w:asciiTheme="minorHAnsi" w:eastAsia="MS Mincho" w:hAnsiTheme="minorHAnsi" w:cs="Arial"/>
      <w:b/>
      <w:iCs/>
      <w:color w:val="000000" w:themeColor="text1"/>
      <w:szCs w:val="20"/>
      <w:lang w:eastAsia="en-GB"/>
    </w:rPr>
  </w:style>
  <w:style w:type="character" w:customStyle="1" w:styleId="TextChar">
    <w:name w:val="Text Char"/>
    <w:basedOn w:val="DefaultParagraphFont"/>
    <w:link w:val="Text"/>
    <w:rsid w:val="00554B16"/>
    <w:rPr>
      <w:rFonts w:asciiTheme="minorHAnsi" w:eastAsia="MS Mincho" w:hAnsiTheme="minorHAnsi" w:cs="Arial"/>
      <w:b/>
      <w:iCs/>
      <w:color w:val="000000" w:themeColor="text1"/>
      <w:sz w:val="22"/>
    </w:rPr>
  </w:style>
  <w:style w:type="table" w:customStyle="1" w:styleId="PlainTable21">
    <w:name w:val="Plain Table 21"/>
    <w:basedOn w:val="TableNormal"/>
    <w:uiPriority w:val="42"/>
    <w:rsid w:val="00554B16"/>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TOC1">
    <w:name w:val="toc 1"/>
    <w:basedOn w:val="Normal"/>
    <w:next w:val="Normal"/>
    <w:autoRedefine/>
    <w:uiPriority w:val="39"/>
    <w:unhideWhenUsed/>
    <w:rsid w:val="00554B16"/>
    <w:pPr>
      <w:spacing w:after="100"/>
    </w:pPr>
  </w:style>
  <w:style w:type="paragraph" w:styleId="TOC3">
    <w:name w:val="toc 3"/>
    <w:basedOn w:val="Normal"/>
    <w:next w:val="Normal"/>
    <w:autoRedefine/>
    <w:uiPriority w:val="39"/>
    <w:unhideWhenUsed/>
    <w:rsid w:val="00554B16"/>
    <w:pPr>
      <w:spacing w:after="100"/>
      <w:ind w:left="440"/>
    </w:pPr>
  </w:style>
  <w:style w:type="paragraph" w:styleId="TOC2">
    <w:name w:val="toc 2"/>
    <w:basedOn w:val="Normal"/>
    <w:next w:val="Normal"/>
    <w:autoRedefine/>
    <w:uiPriority w:val="39"/>
    <w:unhideWhenUsed/>
    <w:rsid w:val="00554B16"/>
    <w:pPr>
      <w:spacing w:after="100" w:line="259" w:lineRule="auto"/>
      <w:ind w:left="220"/>
    </w:pPr>
    <w:rPr>
      <w:rFonts w:asciiTheme="minorHAnsi" w:eastAsiaTheme="minorEastAsia" w:hAnsiTheme="minorHAnsi" w:cstheme="minorBidi"/>
      <w:lang w:eastAsia="en-GB"/>
    </w:rPr>
  </w:style>
  <w:style w:type="paragraph" w:styleId="TOC4">
    <w:name w:val="toc 4"/>
    <w:basedOn w:val="Normal"/>
    <w:next w:val="Normal"/>
    <w:autoRedefine/>
    <w:uiPriority w:val="39"/>
    <w:unhideWhenUsed/>
    <w:rsid w:val="00554B16"/>
    <w:pPr>
      <w:spacing w:after="100" w:line="259" w:lineRule="auto"/>
      <w:ind w:left="660"/>
    </w:pPr>
    <w:rPr>
      <w:rFonts w:asciiTheme="minorHAnsi" w:eastAsiaTheme="minorEastAsia" w:hAnsiTheme="minorHAnsi" w:cstheme="minorBidi"/>
      <w:lang w:eastAsia="en-GB"/>
    </w:rPr>
  </w:style>
  <w:style w:type="paragraph" w:styleId="TOC5">
    <w:name w:val="toc 5"/>
    <w:basedOn w:val="Normal"/>
    <w:next w:val="Normal"/>
    <w:autoRedefine/>
    <w:uiPriority w:val="39"/>
    <w:unhideWhenUsed/>
    <w:rsid w:val="00554B16"/>
    <w:pPr>
      <w:spacing w:after="100" w:line="259" w:lineRule="auto"/>
      <w:ind w:left="880"/>
    </w:pPr>
    <w:rPr>
      <w:rFonts w:asciiTheme="minorHAnsi" w:eastAsiaTheme="minorEastAsia" w:hAnsiTheme="minorHAnsi" w:cstheme="minorBidi"/>
      <w:lang w:eastAsia="en-GB"/>
    </w:rPr>
  </w:style>
  <w:style w:type="paragraph" w:styleId="TOC6">
    <w:name w:val="toc 6"/>
    <w:basedOn w:val="Normal"/>
    <w:next w:val="Normal"/>
    <w:autoRedefine/>
    <w:uiPriority w:val="39"/>
    <w:unhideWhenUsed/>
    <w:rsid w:val="00554B16"/>
    <w:pPr>
      <w:spacing w:after="100" w:line="259" w:lineRule="auto"/>
      <w:ind w:left="1100"/>
    </w:pPr>
    <w:rPr>
      <w:rFonts w:asciiTheme="minorHAnsi" w:eastAsiaTheme="minorEastAsia" w:hAnsiTheme="minorHAnsi" w:cstheme="minorBidi"/>
      <w:lang w:eastAsia="en-GB"/>
    </w:rPr>
  </w:style>
  <w:style w:type="paragraph" w:styleId="TOC7">
    <w:name w:val="toc 7"/>
    <w:basedOn w:val="Normal"/>
    <w:next w:val="Normal"/>
    <w:autoRedefine/>
    <w:uiPriority w:val="39"/>
    <w:unhideWhenUsed/>
    <w:rsid w:val="00554B16"/>
    <w:pPr>
      <w:spacing w:after="100" w:line="259" w:lineRule="auto"/>
      <w:ind w:left="1320"/>
    </w:pPr>
    <w:rPr>
      <w:rFonts w:asciiTheme="minorHAnsi" w:eastAsiaTheme="minorEastAsia" w:hAnsiTheme="minorHAnsi" w:cstheme="minorBidi"/>
      <w:lang w:eastAsia="en-GB"/>
    </w:rPr>
  </w:style>
  <w:style w:type="paragraph" w:styleId="TOC8">
    <w:name w:val="toc 8"/>
    <w:basedOn w:val="Normal"/>
    <w:next w:val="Normal"/>
    <w:autoRedefine/>
    <w:uiPriority w:val="39"/>
    <w:unhideWhenUsed/>
    <w:rsid w:val="00554B16"/>
    <w:pPr>
      <w:spacing w:after="100" w:line="259" w:lineRule="auto"/>
      <w:ind w:left="1540"/>
    </w:pPr>
    <w:rPr>
      <w:rFonts w:asciiTheme="minorHAnsi" w:eastAsiaTheme="minorEastAsia" w:hAnsiTheme="minorHAnsi" w:cstheme="minorBidi"/>
      <w:lang w:eastAsia="en-GB"/>
    </w:rPr>
  </w:style>
  <w:style w:type="paragraph" w:styleId="TOC9">
    <w:name w:val="toc 9"/>
    <w:basedOn w:val="Normal"/>
    <w:next w:val="Normal"/>
    <w:autoRedefine/>
    <w:uiPriority w:val="39"/>
    <w:unhideWhenUsed/>
    <w:rsid w:val="00554B16"/>
    <w:pPr>
      <w:spacing w:after="100" w:line="259" w:lineRule="auto"/>
      <w:ind w:left="1760"/>
    </w:pPr>
    <w:rPr>
      <w:rFonts w:asciiTheme="minorHAnsi" w:eastAsiaTheme="minorEastAsia" w:hAnsiTheme="minorHAnsi" w:cstheme="minorBidi"/>
      <w:lang w:eastAsia="en-GB"/>
    </w:rPr>
  </w:style>
  <w:style w:type="table" w:customStyle="1" w:styleId="TableGrid0">
    <w:name w:val="TableGrid"/>
    <w:rsid w:val="00554B16"/>
    <w:rPr>
      <w:rFonts w:asciiTheme="minorHAnsi" w:eastAsiaTheme="minorEastAsia" w:hAnsiTheme="minorHAnsi" w:cstheme="minorBidi"/>
      <w:sz w:val="22"/>
      <w:szCs w:val="22"/>
    </w:rPr>
    <w:tblPr>
      <w:tblCellMar>
        <w:top w:w="0" w:type="dxa"/>
        <w:left w:w="0" w:type="dxa"/>
        <w:bottom w:w="0" w:type="dxa"/>
        <w:right w:w="0" w:type="dxa"/>
      </w:tblCellMar>
    </w:tblPr>
  </w:style>
  <w:style w:type="paragraph" w:customStyle="1" w:styleId="footnotedescription">
    <w:name w:val="footnote description"/>
    <w:next w:val="Normal"/>
    <w:link w:val="footnotedescriptionChar"/>
    <w:hidden/>
    <w:rsid w:val="00554B16"/>
    <w:pPr>
      <w:spacing w:line="259" w:lineRule="auto"/>
      <w:ind w:left="7"/>
    </w:pPr>
    <w:rPr>
      <w:rFonts w:cs="Calibri"/>
      <w:color w:val="034EA2"/>
      <w:sz w:val="16"/>
      <w:szCs w:val="22"/>
    </w:rPr>
  </w:style>
  <w:style w:type="character" w:customStyle="1" w:styleId="footnotedescriptionChar">
    <w:name w:val="footnote description Char"/>
    <w:link w:val="footnotedescription"/>
    <w:rsid w:val="00554B16"/>
    <w:rPr>
      <w:rFonts w:cs="Calibri"/>
      <w:color w:val="034EA2"/>
      <w:sz w:val="16"/>
      <w:szCs w:val="22"/>
    </w:rPr>
  </w:style>
  <w:style w:type="character" w:customStyle="1" w:styleId="footnotemark">
    <w:name w:val="footnote mark"/>
    <w:hidden/>
    <w:rsid w:val="00554B16"/>
    <w:rPr>
      <w:rFonts w:ascii="Calibri" w:eastAsia="Calibri" w:hAnsi="Calibri" w:cs="Calibri"/>
      <w:color w:val="034EA2"/>
      <w:sz w:val="16"/>
      <w:vertAlign w:val="superscript"/>
    </w:rPr>
  </w:style>
  <w:style w:type="paragraph" w:customStyle="1" w:styleId="AARText">
    <w:name w:val="AAR Text"/>
    <w:basedOn w:val="Normal"/>
    <w:link w:val="AARTextChar"/>
    <w:qFormat/>
    <w:rsid w:val="00554B16"/>
    <w:pPr>
      <w:widowControl w:val="0"/>
      <w:autoSpaceDE w:val="0"/>
      <w:autoSpaceDN w:val="0"/>
      <w:adjustRightInd w:val="0"/>
      <w:spacing w:after="240" w:line="240" w:lineRule="auto"/>
      <w:jc w:val="both"/>
    </w:pPr>
    <w:rPr>
      <w:rFonts w:ascii="Verdana" w:eastAsia="Times New Roman" w:hAnsi="Verdana"/>
      <w:sz w:val="20"/>
      <w:szCs w:val="24"/>
      <w:lang w:eastAsia="en-GB"/>
    </w:rPr>
  </w:style>
  <w:style w:type="character" w:customStyle="1" w:styleId="AARTextChar">
    <w:name w:val="AAR Text Char"/>
    <w:link w:val="AARText"/>
    <w:rsid w:val="00554B16"/>
    <w:rPr>
      <w:rFonts w:ascii="Verdana" w:eastAsia="Times New Roman" w:hAnsi="Verdana"/>
      <w:szCs w:val="24"/>
    </w:rPr>
  </w:style>
  <w:style w:type="paragraph" w:customStyle="1" w:styleId="AARTextbullets">
    <w:name w:val="AAR Text (bullets)"/>
    <w:basedOn w:val="AARText"/>
    <w:next w:val="AARText"/>
    <w:qFormat/>
    <w:rsid w:val="00554B16"/>
    <w:pPr>
      <w:numPr>
        <w:numId w:val="18"/>
      </w:numPr>
      <w:tabs>
        <w:tab w:val="num" w:pos="360"/>
      </w:tabs>
      <w:spacing w:before="100" w:beforeAutospacing="1" w:after="120"/>
      <w:ind w:left="0" w:firstLine="0"/>
    </w:pPr>
    <w:rPr>
      <w:rFonts w:eastAsia="Calibri"/>
      <w:bCs/>
      <w:iCs/>
      <w:szCs w:val="22"/>
      <w:lang w:val="x-none" w:eastAsia="en-US"/>
    </w:rPr>
  </w:style>
  <w:style w:type="character" w:customStyle="1" w:styleId="UnresolvedMention10">
    <w:name w:val="Unresolved Mention1"/>
    <w:basedOn w:val="DefaultParagraphFont"/>
    <w:uiPriority w:val="99"/>
    <w:semiHidden/>
    <w:unhideWhenUsed/>
    <w:rsid w:val="00554B16"/>
    <w:rPr>
      <w:color w:val="605E5C"/>
      <w:shd w:val="clear" w:color="auto" w:fill="E1DFDD"/>
    </w:rPr>
  </w:style>
  <w:style w:type="character" w:customStyle="1" w:styleId="value">
    <w:name w:val="value"/>
    <w:basedOn w:val="DefaultParagraphFont"/>
    <w:rsid w:val="00554B16"/>
  </w:style>
  <w:style w:type="character" w:customStyle="1" w:styleId="etdtextarea">
    <w:name w:val="etdtextarea"/>
    <w:basedOn w:val="DefaultParagraphFont"/>
    <w:rsid w:val="00554B16"/>
  </w:style>
  <w:style w:type="character" w:customStyle="1" w:styleId="j-document-title">
    <w:name w:val="j-document-title"/>
    <w:basedOn w:val="DefaultParagraphFont"/>
    <w:rsid w:val="00554B16"/>
  </w:style>
  <w:style w:type="paragraph" w:customStyle="1" w:styleId="xl73">
    <w:name w:val="xl73"/>
    <w:basedOn w:val="Normal"/>
    <w:rsid w:val="00554B16"/>
    <w:pPr>
      <w:pBdr>
        <w:top w:val="single" w:sz="4" w:space="0" w:color="EBEBEB"/>
        <w:left w:val="single" w:sz="4" w:space="0" w:color="EBEBEB"/>
        <w:bottom w:val="single" w:sz="4" w:space="0" w:color="EBEBEB"/>
        <w:right w:val="single" w:sz="4" w:space="0" w:color="EBEBEB"/>
      </w:pBdr>
      <w:shd w:val="clear" w:color="FFFFFF" w:fill="F8FBFC"/>
      <w:spacing w:before="100" w:beforeAutospacing="1" w:after="100" w:afterAutospacing="1" w:line="240" w:lineRule="auto"/>
    </w:pPr>
    <w:rPr>
      <w:rFonts w:ascii="Arial" w:eastAsia="Times New Roman" w:hAnsi="Arial" w:cs="Arial"/>
      <w:color w:val="333333"/>
      <w:sz w:val="18"/>
      <w:szCs w:val="18"/>
      <w:lang w:eastAsia="en-GB"/>
    </w:rPr>
  </w:style>
  <w:style w:type="paragraph" w:customStyle="1" w:styleId="xl74">
    <w:name w:val="xl74"/>
    <w:basedOn w:val="Normal"/>
    <w:rsid w:val="00554B16"/>
    <w:pPr>
      <w:pBdr>
        <w:top w:val="single" w:sz="4" w:space="0" w:color="EBEBEB"/>
        <w:left w:val="single" w:sz="4" w:space="0" w:color="EBEBEB"/>
        <w:bottom w:val="single" w:sz="4" w:space="0" w:color="EBEBEB"/>
        <w:right w:val="single" w:sz="4" w:space="0" w:color="EBEBEB"/>
      </w:pBdr>
      <w:shd w:val="clear" w:color="FFFFFF" w:fill="FFFFFF"/>
      <w:spacing w:before="100" w:beforeAutospacing="1" w:after="100" w:afterAutospacing="1" w:line="240" w:lineRule="auto"/>
    </w:pPr>
    <w:rPr>
      <w:rFonts w:ascii="Arial" w:eastAsia="Times New Roman" w:hAnsi="Arial" w:cs="Arial"/>
      <w:color w:val="333333"/>
      <w:sz w:val="18"/>
      <w:szCs w:val="18"/>
      <w:lang w:eastAsia="en-GB"/>
    </w:rPr>
  </w:style>
  <w:style w:type="paragraph" w:customStyle="1" w:styleId="xl75">
    <w:name w:val="xl75"/>
    <w:basedOn w:val="Normal"/>
    <w:rsid w:val="00554B16"/>
    <w:pPr>
      <w:pBdr>
        <w:top w:val="single" w:sz="4" w:space="0" w:color="EBEBEB"/>
        <w:left w:val="single" w:sz="4" w:space="0" w:color="EBEBEB"/>
        <w:bottom w:val="single" w:sz="4" w:space="0" w:color="EBEBEB"/>
        <w:right w:val="single" w:sz="4" w:space="0" w:color="EBEBEB"/>
      </w:pBdr>
      <w:shd w:val="clear" w:color="FFFFFF" w:fill="F0F0F4"/>
      <w:spacing w:before="100" w:beforeAutospacing="1" w:after="100" w:afterAutospacing="1" w:line="240" w:lineRule="auto"/>
      <w:jc w:val="right"/>
    </w:pPr>
    <w:rPr>
      <w:rFonts w:ascii="Times New Roman" w:eastAsia="Times New Roman" w:hAnsi="Times New Roman"/>
      <w:sz w:val="18"/>
      <w:szCs w:val="18"/>
      <w:lang w:eastAsia="en-GB"/>
    </w:rPr>
  </w:style>
  <w:style w:type="paragraph" w:customStyle="1" w:styleId="xl76">
    <w:name w:val="xl76"/>
    <w:basedOn w:val="Normal"/>
    <w:rsid w:val="00554B16"/>
    <w:pPr>
      <w:pBdr>
        <w:top w:val="single" w:sz="4" w:space="0" w:color="CAC9D9"/>
        <w:left w:val="single" w:sz="4" w:space="0" w:color="CAC9D9"/>
        <w:bottom w:val="single" w:sz="4" w:space="0" w:color="CAC9D9"/>
        <w:right w:val="single" w:sz="4" w:space="0" w:color="CAC9D9"/>
      </w:pBdr>
      <w:shd w:val="clear" w:color="FFFFFF" w:fill="FFFFFF"/>
      <w:spacing w:before="100" w:beforeAutospacing="1" w:after="100" w:afterAutospacing="1" w:line="240" w:lineRule="auto"/>
      <w:jc w:val="right"/>
    </w:pPr>
    <w:rPr>
      <w:rFonts w:ascii="Arial" w:eastAsia="Times New Roman" w:hAnsi="Arial" w:cs="Arial"/>
      <w:color w:val="333333"/>
      <w:sz w:val="18"/>
      <w:szCs w:val="18"/>
      <w:lang w:eastAsia="en-GB"/>
    </w:rPr>
  </w:style>
  <w:style w:type="paragraph" w:customStyle="1" w:styleId="xl77">
    <w:name w:val="xl77"/>
    <w:basedOn w:val="Normal"/>
    <w:rsid w:val="00554B16"/>
    <w:pPr>
      <w:pBdr>
        <w:top w:val="single" w:sz="4" w:space="0" w:color="EBEBEB"/>
        <w:left w:val="single" w:sz="4" w:space="0" w:color="EBEBEB"/>
        <w:bottom w:val="single" w:sz="4" w:space="0" w:color="EBEBEB"/>
        <w:right w:val="single" w:sz="4" w:space="0" w:color="EBEBEB"/>
      </w:pBdr>
      <w:shd w:val="clear" w:color="FFFFFF" w:fill="FFFFFF"/>
      <w:spacing w:before="100" w:beforeAutospacing="1" w:after="100" w:afterAutospacing="1" w:line="240" w:lineRule="auto"/>
      <w:jc w:val="right"/>
    </w:pPr>
    <w:rPr>
      <w:rFonts w:ascii="Times New Roman" w:eastAsia="Times New Roman" w:hAnsi="Times New Roman"/>
      <w:sz w:val="18"/>
      <w:szCs w:val="18"/>
      <w:lang w:eastAsia="en-GB"/>
    </w:rPr>
  </w:style>
  <w:style w:type="paragraph" w:customStyle="1" w:styleId="xl78">
    <w:name w:val="xl78"/>
    <w:basedOn w:val="Normal"/>
    <w:rsid w:val="00554B16"/>
    <w:pPr>
      <w:pBdr>
        <w:top w:val="single" w:sz="4" w:space="0" w:color="CAC9D9"/>
        <w:left w:val="single" w:sz="4" w:space="0" w:color="CAC9D9"/>
        <w:bottom w:val="single" w:sz="4" w:space="0" w:color="CAC9D9"/>
        <w:right w:val="single" w:sz="4" w:space="0" w:color="CAC9D9"/>
      </w:pBdr>
      <w:shd w:val="clear" w:color="FFFFFF" w:fill="F8FBFC"/>
      <w:spacing w:before="100" w:beforeAutospacing="1" w:after="100" w:afterAutospacing="1" w:line="240" w:lineRule="auto"/>
      <w:jc w:val="right"/>
    </w:pPr>
    <w:rPr>
      <w:rFonts w:ascii="Arial" w:eastAsia="Times New Roman" w:hAnsi="Arial" w:cs="Arial"/>
      <w:color w:val="333333"/>
      <w:sz w:val="18"/>
      <w:szCs w:val="18"/>
      <w:lang w:eastAsia="en-GB"/>
    </w:rPr>
  </w:style>
  <w:style w:type="paragraph" w:customStyle="1" w:styleId="xl79">
    <w:name w:val="xl79"/>
    <w:basedOn w:val="Normal"/>
    <w:rsid w:val="00554B16"/>
    <w:pPr>
      <w:pBdr>
        <w:top w:val="single" w:sz="4" w:space="0" w:color="EBEBEB"/>
        <w:left w:val="single" w:sz="4" w:space="0" w:color="EBEBEB"/>
        <w:bottom w:val="single" w:sz="4" w:space="0" w:color="EBEBEB"/>
        <w:right w:val="single" w:sz="4" w:space="0" w:color="EBEBEB"/>
      </w:pBdr>
      <w:shd w:val="clear" w:color="FFFFFF" w:fill="F0F0F4"/>
      <w:spacing w:before="100" w:beforeAutospacing="1" w:after="100" w:afterAutospacing="1" w:line="240" w:lineRule="auto"/>
    </w:pPr>
    <w:rPr>
      <w:rFonts w:ascii="Times New Roman" w:eastAsia="Times New Roman" w:hAnsi="Times New Roman"/>
      <w:sz w:val="18"/>
      <w:szCs w:val="18"/>
      <w:lang w:eastAsia="en-GB"/>
    </w:rPr>
  </w:style>
  <w:style w:type="paragraph" w:customStyle="1" w:styleId="xl80">
    <w:name w:val="xl80"/>
    <w:basedOn w:val="Normal"/>
    <w:rsid w:val="00554B16"/>
    <w:pPr>
      <w:pBdr>
        <w:top w:val="single" w:sz="4" w:space="0" w:color="CAC9D9"/>
        <w:left w:val="single" w:sz="4" w:space="0" w:color="CAC9D9"/>
        <w:bottom w:val="single" w:sz="4" w:space="0" w:color="CAC9D9"/>
        <w:right w:val="single" w:sz="4" w:space="0" w:color="CAC9D9"/>
      </w:pBdr>
      <w:shd w:val="clear" w:color="FFFFFF" w:fill="FFFFFF"/>
      <w:spacing w:before="100" w:beforeAutospacing="1" w:after="100" w:afterAutospacing="1" w:line="240" w:lineRule="auto"/>
    </w:pPr>
    <w:rPr>
      <w:rFonts w:ascii="Arial" w:eastAsia="Times New Roman" w:hAnsi="Arial" w:cs="Arial"/>
      <w:color w:val="333333"/>
      <w:sz w:val="18"/>
      <w:szCs w:val="18"/>
      <w:lang w:eastAsia="en-GB"/>
    </w:rPr>
  </w:style>
  <w:style w:type="paragraph" w:customStyle="1" w:styleId="xl81">
    <w:name w:val="xl81"/>
    <w:basedOn w:val="Normal"/>
    <w:rsid w:val="00554B16"/>
    <w:pPr>
      <w:pBdr>
        <w:top w:val="single" w:sz="4" w:space="0" w:color="EBEBEB"/>
        <w:left w:val="single" w:sz="4" w:space="0" w:color="EBEBEB"/>
        <w:bottom w:val="single" w:sz="4" w:space="0" w:color="EBEBEB"/>
        <w:right w:val="single" w:sz="4" w:space="0" w:color="EBEBEB"/>
      </w:pBdr>
      <w:shd w:val="clear" w:color="FFFFFF" w:fill="FFFFFF"/>
      <w:spacing w:before="100" w:beforeAutospacing="1" w:after="100" w:afterAutospacing="1" w:line="240" w:lineRule="auto"/>
    </w:pPr>
    <w:rPr>
      <w:rFonts w:ascii="Times New Roman" w:eastAsia="Times New Roman" w:hAnsi="Times New Roman"/>
      <w:sz w:val="18"/>
      <w:szCs w:val="18"/>
      <w:lang w:eastAsia="en-GB"/>
    </w:rPr>
  </w:style>
  <w:style w:type="paragraph" w:customStyle="1" w:styleId="xl82">
    <w:name w:val="xl82"/>
    <w:basedOn w:val="Normal"/>
    <w:rsid w:val="00554B16"/>
    <w:pPr>
      <w:pBdr>
        <w:top w:val="single" w:sz="4" w:space="0" w:color="CAC9D9"/>
        <w:left w:val="single" w:sz="4" w:space="0" w:color="CAC9D9"/>
        <w:bottom w:val="single" w:sz="4" w:space="0" w:color="CAC9D9"/>
        <w:right w:val="single" w:sz="4" w:space="0" w:color="CAC9D9"/>
      </w:pBdr>
      <w:shd w:val="clear" w:color="FFFFFF" w:fill="F8FBFC"/>
      <w:spacing w:before="100" w:beforeAutospacing="1" w:after="100" w:afterAutospacing="1" w:line="240" w:lineRule="auto"/>
    </w:pPr>
    <w:rPr>
      <w:rFonts w:ascii="Arial" w:eastAsia="Times New Roman" w:hAnsi="Arial" w:cs="Arial"/>
      <w:color w:val="333333"/>
      <w:sz w:val="18"/>
      <w:szCs w:val="18"/>
      <w:lang w:eastAsia="en-GB"/>
    </w:rPr>
  </w:style>
  <w:style w:type="table" w:styleId="LightShading-Accent3">
    <w:name w:val="Light Shading Accent 3"/>
    <w:basedOn w:val="TableNormal"/>
    <w:uiPriority w:val="60"/>
    <w:rsid w:val="00554B16"/>
    <w:rPr>
      <w:rFonts w:ascii="New York" w:eastAsia="Times New Roman" w:hAnsi="New York"/>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customStyle="1" w:styleId="xl83">
    <w:name w:val="xl83"/>
    <w:basedOn w:val="Normal"/>
    <w:rsid w:val="00554B16"/>
    <w:pPr>
      <w:pBdr>
        <w:top w:val="single" w:sz="4" w:space="0" w:color="EBEBEB"/>
        <w:left w:val="single" w:sz="4" w:space="0" w:color="EBEBEB"/>
        <w:bottom w:val="single" w:sz="4" w:space="0" w:color="EBEBEB"/>
        <w:right w:val="single" w:sz="4" w:space="0" w:color="EBEBEB"/>
      </w:pBdr>
      <w:shd w:val="clear" w:color="FFFFFF" w:fill="F0F0F4"/>
      <w:spacing w:before="100" w:beforeAutospacing="1" w:after="100" w:afterAutospacing="1" w:line="240" w:lineRule="auto"/>
      <w:jc w:val="right"/>
    </w:pPr>
    <w:rPr>
      <w:rFonts w:ascii="Times New Roman" w:eastAsia="Times New Roman" w:hAnsi="Times New Roman"/>
      <w:sz w:val="18"/>
      <w:szCs w:val="18"/>
      <w:lang w:eastAsia="en-GB"/>
    </w:rPr>
  </w:style>
  <w:style w:type="paragraph" w:customStyle="1" w:styleId="xl84">
    <w:name w:val="xl84"/>
    <w:basedOn w:val="Normal"/>
    <w:rsid w:val="00554B16"/>
    <w:pPr>
      <w:pBdr>
        <w:top w:val="single" w:sz="4" w:space="0" w:color="EBEBEB"/>
        <w:left w:val="single" w:sz="4" w:space="0" w:color="EBEBEB"/>
        <w:bottom w:val="single" w:sz="4" w:space="0" w:color="EBEBEB"/>
        <w:right w:val="single" w:sz="4" w:space="0" w:color="EBEBEB"/>
      </w:pBdr>
      <w:shd w:val="clear" w:color="FFFFFF" w:fill="FFFFFF"/>
      <w:spacing w:before="100" w:beforeAutospacing="1" w:after="100" w:afterAutospacing="1" w:line="240" w:lineRule="auto"/>
      <w:jc w:val="right"/>
    </w:pPr>
    <w:rPr>
      <w:rFonts w:ascii="Times New Roman" w:eastAsia="Times New Roman" w:hAnsi="Times New Roman"/>
      <w:sz w:val="18"/>
      <w:szCs w:val="18"/>
      <w:lang w:eastAsia="en-GB"/>
    </w:rPr>
  </w:style>
  <w:style w:type="paragraph" w:customStyle="1" w:styleId="xl85">
    <w:name w:val="xl85"/>
    <w:basedOn w:val="Normal"/>
    <w:rsid w:val="00554B16"/>
    <w:pPr>
      <w:pBdr>
        <w:top w:val="single" w:sz="4" w:space="0" w:color="3877A6"/>
        <w:left w:val="single" w:sz="4" w:space="0" w:color="3877A6"/>
        <w:bottom w:val="single" w:sz="4" w:space="0" w:color="A5A5B1"/>
        <w:right w:val="single" w:sz="4" w:space="0" w:color="3877A6"/>
      </w:pBdr>
      <w:shd w:val="clear" w:color="FFFFFF" w:fill="0B64A0"/>
      <w:spacing w:before="100" w:beforeAutospacing="1" w:after="100" w:afterAutospacing="1" w:line="240" w:lineRule="auto"/>
      <w:jc w:val="right"/>
    </w:pPr>
    <w:rPr>
      <w:rFonts w:ascii="Arial" w:eastAsia="Times New Roman" w:hAnsi="Arial" w:cs="Arial"/>
      <w:b/>
      <w:bCs/>
      <w:color w:val="FFFFFF"/>
      <w:sz w:val="18"/>
      <w:szCs w:val="18"/>
      <w:lang w:eastAsia="en-GB"/>
    </w:rPr>
  </w:style>
  <w:style w:type="paragraph" w:customStyle="1" w:styleId="xl86">
    <w:name w:val="xl86"/>
    <w:basedOn w:val="Normal"/>
    <w:rsid w:val="00554B16"/>
    <w:pPr>
      <w:pBdr>
        <w:top w:val="single" w:sz="4" w:space="0" w:color="EBEBEB"/>
        <w:left w:val="single" w:sz="4" w:space="0" w:color="EBEBEB"/>
        <w:bottom w:val="single" w:sz="4" w:space="0" w:color="EBEBEB"/>
        <w:right w:val="single" w:sz="4" w:space="0" w:color="EBEBEB"/>
      </w:pBdr>
      <w:shd w:val="clear" w:color="FFFFFF" w:fill="F0F0F4"/>
      <w:spacing w:before="100" w:beforeAutospacing="1" w:after="100" w:afterAutospacing="1" w:line="240" w:lineRule="auto"/>
      <w:jc w:val="right"/>
    </w:pPr>
    <w:rPr>
      <w:rFonts w:ascii="Times New Roman" w:eastAsia="Times New Roman" w:hAnsi="Times New Roman"/>
      <w:sz w:val="18"/>
      <w:szCs w:val="18"/>
      <w:lang w:eastAsia="en-GB"/>
    </w:rPr>
  </w:style>
  <w:style w:type="paragraph" w:customStyle="1" w:styleId="xl87">
    <w:name w:val="xl87"/>
    <w:basedOn w:val="Normal"/>
    <w:rsid w:val="00554B16"/>
    <w:pPr>
      <w:pBdr>
        <w:top w:val="single" w:sz="4" w:space="0" w:color="EBEBEB"/>
        <w:left w:val="single" w:sz="4" w:space="0" w:color="EBEBEB"/>
        <w:bottom w:val="single" w:sz="4" w:space="0" w:color="EBEBEB"/>
        <w:right w:val="single" w:sz="4" w:space="0" w:color="EBEBEB"/>
      </w:pBdr>
      <w:shd w:val="clear" w:color="FFFFFF" w:fill="FFFFFF"/>
      <w:spacing w:before="100" w:beforeAutospacing="1" w:after="100" w:afterAutospacing="1" w:line="240" w:lineRule="auto"/>
      <w:jc w:val="right"/>
    </w:pPr>
    <w:rPr>
      <w:rFonts w:ascii="Times New Roman" w:eastAsia="Times New Roman" w:hAnsi="Times New Roman"/>
      <w:sz w:val="18"/>
      <w:szCs w:val="18"/>
      <w:lang w:eastAsia="en-GB"/>
    </w:rPr>
  </w:style>
  <w:style w:type="paragraph" w:customStyle="1" w:styleId="xl88">
    <w:name w:val="xl88"/>
    <w:basedOn w:val="Normal"/>
    <w:rsid w:val="00554B16"/>
    <w:pPr>
      <w:spacing w:before="100" w:beforeAutospacing="1" w:after="100" w:afterAutospacing="1" w:line="240" w:lineRule="auto"/>
      <w:jc w:val="right"/>
    </w:pPr>
    <w:rPr>
      <w:rFonts w:ascii="Times New Roman" w:eastAsia="Times New Roman" w:hAnsi="Times New Roman"/>
      <w:sz w:val="24"/>
      <w:szCs w:val="24"/>
      <w:lang w:eastAsia="en-GB"/>
    </w:rPr>
  </w:style>
  <w:style w:type="character" w:customStyle="1" w:styleId="t-14">
    <w:name w:val="t-14"/>
    <w:basedOn w:val="DefaultParagraphFont"/>
    <w:rsid w:val="00554B16"/>
  </w:style>
  <w:style w:type="paragraph" w:styleId="EndnoteText">
    <w:name w:val="endnote text"/>
    <w:basedOn w:val="Normal"/>
    <w:link w:val="EndnoteTextChar"/>
    <w:uiPriority w:val="99"/>
    <w:semiHidden/>
    <w:unhideWhenUsed/>
    <w:rsid w:val="00554B16"/>
    <w:pPr>
      <w:spacing w:after="0" w:line="240" w:lineRule="auto"/>
    </w:pPr>
    <w:rPr>
      <w:sz w:val="20"/>
      <w:szCs w:val="20"/>
    </w:rPr>
  </w:style>
  <w:style w:type="character" w:customStyle="1" w:styleId="EndnoteTextChar">
    <w:name w:val="Endnote Text Char"/>
    <w:basedOn w:val="DefaultParagraphFont"/>
    <w:link w:val="EndnoteText"/>
    <w:uiPriority w:val="99"/>
    <w:semiHidden/>
    <w:rsid w:val="00554B16"/>
    <w:rPr>
      <w:lang w:eastAsia="en-US"/>
    </w:rPr>
  </w:style>
  <w:style w:type="character" w:styleId="EndnoteReference">
    <w:name w:val="endnote reference"/>
    <w:basedOn w:val="DefaultParagraphFont"/>
    <w:uiPriority w:val="99"/>
    <w:semiHidden/>
    <w:unhideWhenUsed/>
    <w:rsid w:val="00554B16"/>
    <w:rPr>
      <w:vertAlign w:val="superscript"/>
    </w:rPr>
  </w:style>
  <w:style w:type="table" w:customStyle="1" w:styleId="LightShading-Accent31">
    <w:name w:val="Light Shading - Accent 31"/>
    <w:basedOn w:val="TableNormal"/>
    <w:next w:val="LightShading-Accent3"/>
    <w:uiPriority w:val="60"/>
    <w:rsid w:val="00554B16"/>
    <w:rPr>
      <w:rFonts w:ascii="New York" w:eastAsia="Times New Roman" w:hAnsi="New York"/>
      <w:color w:val="7B7B7B"/>
    </w:rPr>
    <w:tblPr>
      <w:tblStyleRowBandSize w:val="1"/>
      <w:tblStyleColBandSize w:val="1"/>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paragraph" w:customStyle="1" w:styleId="TableParagraph">
    <w:name w:val="Table Paragraph"/>
    <w:basedOn w:val="Normal"/>
    <w:uiPriority w:val="1"/>
    <w:qFormat/>
    <w:rsid w:val="00554B16"/>
    <w:pPr>
      <w:widowControl w:val="0"/>
      <w:autoSpaceDE w:val="0"/>
      <w:autoSpaceDN w:val="0"/>
      <w:spacing w:after="0" w:line="240" w:lineRule="auto"/>
    </w:pPr>
    <w:rPr>
      <w:rFonts w:ascii="Arial" w:eastAsia="Arial" w:hAnsi="Arial" w:cs="Arial"/>
      <w:lang w:eastAsia="en-GB" w:bidi="en-GB"/>
    </w:rPr>
  </w:style>
  <w:style w:type="character" w:customStyle="1" w:styleId="MAWP-BodytextChar">
    <w:name w:val="MAWP-Body text Char"/>
    <w:basedOn w:val="DefaultParagraphFont"/>
    <w:link w:val="MAWP-Bodytext"/>
    <w:rsid w:val="00554B16"/>
    <w:rPr>
      <w:rFonts w:ascii="Arial" w:eastAsia="Arial" w:hAnsi="Arial" w:cs="Arial"/>
      <w:color w:val="000000"/>
      <w:szCs w:val="32"/>
    </w:rPr>
  </w:style>
  <w:style w:type="paragraph" w:customStyle="1" w:styleId="MAWP-Bodytext">
    <w:name w:val="MAWP-Body text"/>
    <w:basedOn w:val="Normal"/>
    <w:link w:val="MAWP-BodytextChar"/>
    <w:autoRedefine/>
    <w:qFormat/>
    <w:rsid w:val="00554B16"/>
    <w:pPr>
      <w:widowControl w:val="0"/>
      <w:spacing w:after="120"/>
      <w:jc w:val="both"/>
    </w:pPr>
    <w:rPr>
      <w:rFonts w:ascii="Arial" w:eastAsia="Arial" w:hAnsi="Arial" w:cs="Arial"/>
      <w:color w:val="000000"/>
      <w:sz w:val="20"/>
      <w:szCs w:val="32"/>
      <w:lang w:eastAsia="en-GB"/>
    </w:rPr>
  </w:style>
  <w:style w:type="paragraph" w:customStyle="1" w:styleId="Sub-heading">
    <w:name w:val="Sub-heading"/>
    <w:basedOn w:val="Normal"/>
    <w:link w:val="Sub-headingChar"/>
    <w:autoRedefine/>
    <w:qFormat/>
    <w:rsid w:val="00554B16"/>
    <w:pPr>
      <w:spacing w:before="120" w:after="120" w:line="240" w:lineRule="auto"/>
      <w:jc w:val="both"/>
    </w:pPr>
    <w:rPr>
      <w:rFonts w:ascii="Cambria" w:eastAsia="Times New Roman" w:hAnsi="Cambria" w:cs="Calibri"/>
      <w:b/>
      <w:bCs/>
      <w:i/>
      <w:noProof/>
    </w:rPr>
  </w:style>
  <w:style w:type="character" w:customStyle="1" w:styleId="Sub-headingChar">
    <w:name w:val="Sub-heading Char"/>
    <w:basedOn w:val="Heading3Char"/>
    <w:link w:val="Sub-heading"/>
    <w:rsid w:val="00554B16"/>
    <w:rPr>
      <w:rFonts w:ascii="Cambria" w:eastAsia="Times New Roman" w:hAnsi="Cambria" w:cs="Calibri"/>
      <w:b/>
      <w:bCs/>
      <w:i/>
      <w:noProof/>
      <w:sz w:val="22"/>
      <w:szCs w:val="22"/>
      <w:lang w:eastAsia="en-US"/>
    </w:rPr>
  </w:style>
  <w:style w:type="paragraph" w:customStyle="1" w:styleId="BodyText1">
    <w:name w:val="Body Text1"/>
    <w:basedOn w:val="Normal"/>
    <w:autoRedefine/>
    <w:rsid w:val="00554B16"/>
    <w:pPr>
      <w:widowControl w:val="0"/>
      <w:spacing w:before="120" w:after="120" w:line="240" w:lineRule="auto"/>
      <w:jc w:val="both"/>
    </w:pPr>
    <w:rPr>
      <w:rFonts w:asciiTheme="minorHAnsi" w:eastAsia="Times New Roman" w:hAnsiTheme="minorHAnsi"/>
      <w:sz w:val="24"/>
      <w:szCs w:val="24"/>
      <w:lang w:eastAsia="en-GB"/>
    </w:rPr>
  </w:style>
  <w:style w:type="character" w:customStyle="1" w:styleId="acopre">
    <w:name w:val="acopre"/>
    <w:basedOn w:val="DefaultParagraphFont"/>
    <w:rsid w:val="00BD154D"/>
  </w:style>
  <w:style w:type="character" w:customStyle="1" w:styleId="UnresolvedMention2">
    <w:name w:val="Unresolved Mention2"/>
    <w:basedOn w:val="DefaultParagraphFont"/>
    <w:uiPriority w:val="99"/>
    <w:semiHidden/>
    <w:unhideWhenUsed/>
    <w:rsid w:val="00BD154D"/>
    <w:rPr>
      <w:color w:val="605E5C"/>
      <w:shd w:val="clear" w:color="auto" w:fill="E1DFDD"/>
    </w:rPr>
  </w:style>
  <w:style w:type="paragraph" w:styleId="PlainText">
    <w:name w:val="Plain Text"/>
    <w:basedOn w:val="Normal"/>
    <w:link w:val="PlainTextChar"/>
    <w:uiPriority w:val="99"/>
    <w:unhideWhenUsed/>
    <w:rsid w:val="001A58B6"/>
    <w:pPr>
      <w:spacing w:after="0" w:line="240" w:lineRule="auto"/>
    </w:pPr>
    <w:rPr>
      <w:rFonts w:eastAsiaTheme="minorHAnsi" w:cs="Calibri"/>
    </w:rPr>
  </w:style>
  <w:style w:type="character" w:customStyle="1" w:styleId="PlainTextChar">
    <w:name w:val="Plain Text Char"/>
    <w:basedOn w:val="DefaultParagraphFont"/>
    <w:link w:val="PlainText"/>
    <w:uiPriority w:val="99"/>
    <w:rsid w:val="001A58B6"/>
    <w:rPr>
      <w:rFonts w:eastAsiaTheme="minorHAnsi" w:cs="Calibri"/>
      <w:sz w:val="22"/>
      <w:szCs w:val="22"/>
      <w:lang w:eastAsia="en-US"/>
    </w:rPr>
  </w:style>
  <w:style w:type="character" w:styleId="UnresolvedMention">
    <w:name w:val="Unresolved Mention"/>
    <w:basedOn w:val="DefaultParagraphFont"/>
    <w:uiPriority w:val="99"/>
    <w:semiHidden/>
    <w:unhideWhenUsed/>
    <w:rsid w:val="008005F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02212">
      <w:bodyDiv w:val="1"/>
      <w:marLeft w:val="0"/>
      <w:marRight w:val="0"/>
      <w:marTop w:val="0"/>
      <w:marBottom w:val="0"/>
      <w:divBdr>
        <w:top w:val="none" w:sz="0" w:space="0" w:color="auto"/>
        <w:left w:val="none" w:sz="0" w:space="0" w:color="auto"/>
        <w:bottom w:val="none" w:sz="0" w:space="0" w:color="auto"/>
        <w:right w:val="none" w:sz="0" w:space="0" w:color="auto"/>
      </w:divBdr>
    </w:div>
    <w:div w:id="49816588">
      <w:bodyDiv w:val="1"/>
      <w:marLeft w:val="0"/>
      <w:marRight w:val="0"/>
      <w:marTop w:val="0"/>
      <w:marBottom w:val="0"/>
      <w:divBdr>
        <w:top w:val="none" w:sz="0" w:space="0" w:color="auto"/>
        <w:left w:val="none" w:sz="0" w:space="0" w:color="auto"/>
        <w:bottom w:val="none" w:sz="0" w:space="0" w:color="auto"/>
        <w:right w:val="none" w:sz="0" w:space="0" w:color="auto"/>
      </w:divBdr>
    </w:div>
    <w:div w:id="71396232">
      <w:bodyDiv w:val="1"/>
      <w:marLeft w:val="0"/>
      <w:marRight w:val="0"/>
      <w:marTop w:val="0"/>
      <w:marBottom w:val="0"/>
      <w:divBdr>
        <w:top w:val="none" w:sz="0" w:space="0" w:color="auto"/>
        <w:left w:val="none" w:sz="0" w:space="0" w:color="auto"/>
        <w:bottom w:val="none" w:sz="0" w:space="0" w:color="auto"/>
        <w:right w:val="none" w:sz="0" w:space="0" w:color="auto"/>
      </w:divBdr>
    </w:div>
    <w:div w:id="83887493">
      <w:bodyDiv w:val="1"/>
      <w:marLeft w:val="0"/>
      <w:marRight w:val="0"/>
      <w:marTop w:val="0"/>
      <w:marBottom w:val="0"/>
      <w:divBdr>
        <w:top w:val="none" w:sz="0" w:space="0" w:color="auto"/>
        <w:left w:val="none" w:sz="0" w:space="0" w:color="auto"/>
        <w:bottom w:val="none" w:sz="0" w:space="0" w:color="auto"/>
        <w:right w:val="none" w:sz="0" w:space="0" w:color="auto"/>
      </w:divBdr>
    </w:div>
    <w:div w:id="218789524">
      <w:bodyDiv w:val="1"/>
      <w:marLeft w:val="0"/>
      <w:marRight w:val="0"/>
      <w:marTop w:val="0"/>
      <w:marBottom w:val="0"/>
      <w:divBdr>
        <w:top w:val="none" w:sz="0" w:space="0" w:color="auto"/>
        <w:left w:val="none" w:sz="0" w:space="0" w:color="auto"/>
        <w:bottom w:val="none" w:sz="0" w:space="0" w:color="auto"/>
        <w:right w:val="none" w:sz="0" w:space="0" w:color="auto"/>
      </w:divBdr>
    </w:div>
    <w:div w:id="226887248">
      <w:bodyDiv w:val="1"/>
      <w:marLeft w:val="0"/>
      <w:marRight w:val="0"/>
      <w:marTop w:val="0"/>
      <w:marBottom w:val="0"/>
      <w:divBdr>
        <w:top w:val="none" w:sz="0" w:space="0" w:color="auto"/>
        <w:left w:val="none" w:sz="0" w:space="0" w:color="auto"/>
        <w:bottom w:val="none" w:sz="0" w:space="0" w:color="auto"/>
        <w:right w:val="none" w:sz="0" w:space="0" w:color="auto"/>
      </w:divBdr>
    </w:div>
    <w:div w:id="300035313">
      <w:bodyDiv w:val="1"/>
      <w:marLeft w:val="0"/>
      <w:marRight w:val="0"/>
      <w:marTop w:val="0"/>
      <w:marBottom w:val="0"/>
      <w:divBdr>
        <w:top w:val="none" w:sz="0" w:space="0" w:color="auto"/>
        <w:left w:val="none" w:sz="0" w:space="0" w:color="auto"/>
        <w:bottom w:val="none" w:sz="0" w:space="0" w:color="auto"/>
        <w:right w:val="none" w:sz="0" w:space="0" w:color="auto"/>
      </w:divBdr>
    </w:div>
    <w:div w:id="302587448">
      <w:bodyDiv w:val="1"/>
      <w:marLeft w:val="0"/>
      <w:marRight w:val="0"/>
      <w:marTop w:val="0"/>
      <w:marBottom w:val="0"/>
      <w:divBdr>
        <w:top w:val="none" w:sz="0" w:space="0" w:color="auto"/>
        <w:left w:val="none" w:sz="0" w:space="0" w:color="auto"/>
        <w:bottom w:val="none" w:sz="0" w:space="0" w:color="auto"/>
        <w:right w:val="none" w:sz="0" w:space="0" w:color="auto"/>
      </w:divBdr>
    </w:div>
    <w:div w:id="327834681">
      <w:bodyDiv w:val="1"/>
      <w:marLeft w:val="0"/>
      <w:marRight w:val="0"/>
      <w:marTop w:val="0"/>
      <w:marBottom w:val="0"/>
      <w:divBdr>
        <w:top w:val="none" w:sz="0" w:space="0" w:color="auto"/>
        <w:left w:val="none" w:sz="0" w:space="0" w:color="auto"/>
        <w:bottom w:val="none" w:sz="0" w:space="0" w:color="auto"/>
        <w:right w:val="none" w:sz="0" w:space="0" w:color="auto"/>
      </w:divBdr>
    </w:div>
    <w:div w:id="335696118">
      <w:bodyDiv w:val="1"/>
      <w:marLeft w:val="0"/>
      <w:marRight w:val="0"/>
      <w:marTop w:val="0"/>
      <w:marBottom w:val="0"/>
      <w:divBdr>
        <w:top w:val="none" w:sz="0" w:space="0" w:color="auto"/>
        <w:left w:val="none" w:sz="0" w:space="0" w:color="auto"/>
        <w:bottom w:val="none" w:sz="0" w:space="0" w:color="auto"/>
        <w:right w:val="none" w:sz="0" w:space="0" w:color="auto"/>
      </w:divBdr>
    </w:div>
    <w:div w:id="361908704">
      <w:bodyDiv w:val="1"/>
      <w:marLeft w:val="0"/>
      <w:marRight w:val="0"/>
      <w:marTop w:val="0"/>
      <w:marBottom w:val="0"/>
      <w:divBdr>
        <w:top w:val="none" w:sz="0" w:space="0" w:color="auto"/>
        <w:left w:val="none" w:sz="0" w:space="0" w:color="auto"/>
        <w:bottom w:val="none" w:sz="0" w:space="0" w:color="auto"/>
        <w:right w:val="none" w:sz="0" w:space="0" w:color="auto"/>
      </w:divBdr>
      <w:divsChild>
        <w:div w:id="1475366828">
          <w:marLeft w:val="0"/>
          <w:marRight w:val="0"/>
          <w:marTop w:val="0"/>
          <w:marBottom w:val="0"/>
          <w:divBdr>
            <w:top w:val="none" w:sz="0" w:space="0" w:color="auto"/>
            <w:left w:val="none" w:sz="0" w:space="0" w:color="auto"/>
            <w:bottom w:val="none" w:sz="0" w:space="0" w:color="auto"/>
            <w:right w:val="none" w:sz="0" w:space="0" w:color="auto"/>
          </w:divBdr>
          <w:divsChild>
            <w:div w:id="655691973">
              <w:marLeft w:val="0"/>
              <w:marRight w:val="0"/>
              <w:marTop w:val="0"/>
              <w:marBottom w:val="0"/>
              <w:divBdr>
                <w:top w:val="none" w:sz="0" w:space="0" w:color="auto"/>
                <w:left w:val="none" w:sz="0" w:space="0" w:color="auto"/>
                <w:bottom w:val="none" w:sz="0" w:space="0" w:color="auto"/>
                <w:right w:val="none" w:sz="0" w:space="0" w:color="auto"/>
              </w:divBdr>
              <w:divsChild>
                <w:div w:id="209653113">
                  <w:marLeft w:val="0"/>
                  <w:marRight w:val="0"/>
                  <w:marTop w:val="0"/>
                  <w:marBottom w:val="0"/>
                  <w:divBdr>
                    <w:top w:val="none" w:sz="0" w:space="0" w:color="auto"/>
                    <w:left w:val="none" w:sz="0" w:space="0" w:color="auto"/>
                    <w:bottom w:val="none" w:sz="0" w:space="0" w:color="auto"/>
                    <w:right w:val="none" w:sz="0" w:space="0" w:color="auto"/>
                  </w:divBdr>
                </w:div>
                <w:div w:id="1519808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7340890">
      <w:bodyDiv w:val="1"/>
      <w:marLeft w:val="0"/>
      <w:marRight w:val="0"/>
      <w:marTop w:val="0"/>
      <w:marBottom w:val="0"/>
      <w:divBdr>
        <w:top w:val="none" w:sz="0" w:space="0" w:color="auto"/>
        <w:left w:val="none" w:sz="0" w:space="0" w:color="auto"/>
        <w:bottom w:val="none" w:sz="0" w:space="0" w:color="auto"/>
        <w:right w:val="none" w:sz="0" w:space="0" w:color="auto"/>
      </w:divBdr>
    </w:div>
    <w:div w:id="449209957">
      <w:bodyDiv w:val="1"/>
      <w:marLeft w:val="0"/>
      <w:marRight w:val="0"/>
      <w:marTop w:val="0"/>
      <w:marBottom w:val="0"/>
      <w:divBdr>
        <w:top w:val="none" w:sz="0" w:space="0" w:color="auto"/>
        <w:left w:val="none" w:sz="0" w:space="0" w:color="auto"/>
        <w:bottom w:val="none" w:sz="0" w:space="0" w:color="auto"/>
        <w:right w:val="none" w:sz="0" w:space="0" w:color="auto"/>
      </w:divBdr>
    </w:div>
    <w:div w:id="572855905">
      <w:bodyDiv w:val="1"/>
      <w:marLeft w:val="0"/>
      <w:marRight w:val="0"/>
      <w:marTop w:val="0"/>
      <w:marBottom w:val="0"/>
      <w:divBdr>
        <w:top w:val="none" w:sz="0" w:space="0" w:color="auto"/>
        <w:left w:val="none" w:sz="0" w:space="0" w:color="auto"/>
        <w:bottom w:val="none" w:sz="0" w:space="0" w:color="auto"/>
        <w:right w:val="none" w:sz="0" w:space="0" w:color="auto"/>
      </w:divBdr>
      <w:divsChild>
        <w:div w:id="941452620">
          <w:marLeft w:val="0"/>
          <w:marRight w:val="0"/>
          <w:marTop w:val="0"/>
          <w:marBottom w:val="0"/>
          <w:divBdr>
            <w:top w:val="none" w:sz="0" w:space="0" w:color="auto"/>
            <w:left w:val="none" w:sz="0" w:space="0" w:color="auto"/>
            <w:bottom w:val="none" w:sz="0" w:space="0" w:color="auto"/>
            <w:right w:val="none" w:sz="0" w:space="0" w:color="auto"/>
          </w:divBdr>
          <w:divsChild>
            <w:div w:id="635839639">
              <w:marLeft w:val="0"/>
              <w:marRight w:val="0"/>
              <w:marTop w:val="0"/>
              <w:marBottom w:val="0"/>
              <w:divBdr>
                <w:top w:val="none" w:sz="0" w:space="0" w:color="auto"/>
                <w:left w:val="none" w:sz="0" w:space="0" w:color="auto"/>
                <w:bottom w:val="none" w:sz="0" w:space="0" w:color="auto"/>
                <w:right w:val="none" w:sz="0" w:space="0" w:color="auto"/>
              </w:divBdr>
              <w:divsChild>
                <w:div w:id="1732340814">
                  <w:marLeft w:val="0"/>
                  <w:marRight w:val="0"/>
                  <w:marTop w:val="0"/>
                  <w:marBottom w:val="0"/>
                  <w:divBdr>
                    <w:top w:val="none" w:sz="0" w:space="0" w:color="auto"/>
                    <w:left w:val="none" w:sz="0" w:space="0" w:color="auto"/>
                    <w:bottom w:val="none" w:sz="0" w:space="0" w:color="auto"/>
                    <w:right w:val="none" w:sz="0" w:space="0" w:color="auto"/>
                  </w:divBdr>
                  <w:divsChild>
                    <w:div w:id="996618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1612172">
          <w:marLeft w:val="0"/>
          <w:marRight w:val="0"/>
          <w:marTop w:val="0"/>
          <w:marBottom w:val="0"/>
          <w:divBdr>
            <w:top w:val="none" w:sz="0" w:space="0" w:color="auto"/>
            <w:left w:val="none" w:sz="0" w:space="0" w:color="auto"/>
            <w:bottom w:val="none" w:sz="0" w:space="0" w:color="auto"/>
            <w:right w:val="none" w:sz="0" w:space="0" w:color="auto"/>
          </w:divBdr>
          <w:divsChild>
            <w:div w:id="164369489">
              <w:marLeft w:val="0"/>
              <w:marRight w:val="0"/>
              <w:marTop w:val="0"/>
              <w:marBottom w:val="0"/>
              <w:divBdr>
                <w:top w:val="none" w:sz="0" w:space="0" w:color="auto"/>
                <w:left w:val="none" w:sz="0" w:space="0" w:color="auto"/>
                <w:bottom w:val="none" w:sz="0" w:space="0" w:color="auto"/>
                <w:right w:val="none" w:sz="0" w:space="0" w:color="auto"/>
              </w:divBdr>
              <w:divsChild>
                <w:div w:id="1205487481">
                  <w:marLeft w:val="0"/>
                  <w:marRight w:val="0"/>
                  <w:marTop w:val="0"/>
                  <w:marBottom w:val="0"/>
                  <w:divBdr>
                    <w:top w:val="none" w:sz="0" w:space="0" w:color="auto"/>
                    <w:left w:val="none" w:sz="0" w:space="0" w:color="auto"/>
                    <w:bottom w:val="none" w:sz="0" w:space="0" w:color="auto"/>
                    <w:right w:val="none" w:sz="0" w:space="0" w:color="auto"/>
                  </w:divBdr>
                  <w:divsChild>
                    <w:div w:id="1222786978">
                      <w:marLeft w:val="0"/>
                      <w:marRight w:val="0"/>
                      <w:marTop w:val="0"/>
                      <w:marBottom w:val="0"/>
                      <w:divBdr>
                        <w:top w:val="none" w:sz="0" w:space="0" w:color="auto"/>
                        <w:left w:val="none" w:sz="0" w:space="0" w:color="auto"/>
                        <w:bottom w:val="none" w:sz="0" w:space="0" w:color="auto"/>
                        <w:right w:val="none" w:sz="0" w:space="0" w:color="auto"/>
                      </w:divBdr>
                      <w:divsChild>
                        <w:div w:id="635112390">
                          <w:marLeft w:val="0"/>
                          <w:marRight w:val="0"/>
                          <w:marTop w:val="0"/>
                          <w:marBottom w:val="0"/>
                          <w:divBdr>
                            <w:top w:val="none" w:sz="0" w:space="0" w:color="auto"/>
                            <w:left w:val="none" w:sz="0" w:space="0" w:color="auto"/>
                            <w:bottom w:val="none" w:sz="0" w:space="0" w:color="auto"/>
                            <w:right w:val="none" w:sz="0" w:space="0" w:color="auto"/>
                          </w:divBdr>
                          <w:divsChild>
                            <w:div w:id="2116897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47459482">
      <w:bodyDiv w:val="1"/>
      <w:marLeft w:val="0"/>
      <w:marRight w:val="0"/>
      <w:marTop w:val="0"/>
      <w:marBottom w:val="0"/>
      <w:divBdr>
        <w:top w:val="none" w:sz="0" w:space="0" w:color="auto"/>
        <w:left w:val="none" w:sz="0" w:space="0" w:color="auto"/>
        <w:bottom w:val="none" w:sz="0" w:space="0" w:color="auto"/>
        <w:right w:val="none" w:sz="0" w:space="0" w:color="auto"/>
      </w:divBdr>
    </w:div>
    <w:div w:id="766197755">
      <w:bodyDiv w:val="1"/>
      <w:marLeft w:val="0"/>
      <w:marRight w:val="0"/>
      <w:marTop w:val="0"/>
      <w:marBottom w:val="0"/>
      <w:divBdr>
        <w:top w:val="none" w:sz="0" w:space="0" w:color="auto"/>
        <w:left w:val="none" w:sz="0" w:space="0" w:color="auto"/>
        <w:bottom w:val="none" w:sz="0" w:space="0" w:color="auto"/>
        <w:right w:val="none" w:sz="0" w:space="0" w:color="auto"/>
      </w:divBdr>
    </w:div>
    <w:div w:id="876238558">
      <w:bodyDiv w:val="1"/>
      <w:marLeft w:val="0"/>
      <w:marRight w:val="0"/>
      <w:marTop w:val="0"/>
      <w:marBottom w:val="0"/>
      <w:divBdr>
        <w:top w:val="none" w:sz="0" w:space="0" w:color="auto"/>
        <w:left w:val="none" w:sz="0" w:space="0" w:color="auto"/>
        <w:bottom w:val="none" w:sz="0" w:space="0" w:color="auto"/>
        <w:right w:val="none" w:sz="0" w:space="0" w:color="auto"/>
      </w:divBdr>
    </w:div>
    <w:div w:id="909778400">
      <w:bodyDiv w:val="1"/>
      <w:marLeft w:val="0"/>
      <w:marRight w:val="0"/>
      <w:marTop w:val="0"/>
      <w:marBottom w:val="0"/>
      <w:divBdr>
        <w:top w:val="none" w:sz="0" w:space="0" w:color="auto"/>
        <w:left w:val="none" w:sz="0" w:space="0" w:color="auto"/>
        <w:bottom w:val="none" w:sz="0" w:space="0" w:color="auto"/>
        <w:right w:val="none" w:sz="0" w:space="0" w:color="auto"/>
      </w:divBdr>
    </w:div>
    <w:div w:id="954597814">
      <w:bodyDiv w:val="1"/>
      <w:marLeft w:val="0"/>
      <w:marRight w:val="0"/>
      <w:marTop w:val="0"/>
      <w:marBottom w:val="0"/>
      <w:divBdr>
        <w:top w:val="none" w:sz="0" w:space="0" w:color="auto"/>
        <w:left w:val="none" w:sz="0" w:space="0" w:color="auto"/>
        <w:bottom w:val="none" w:sz="0" w:space="0" w:color="auto"/>
        <w:right w:val="none" w:sz="0" w:space="0" w:color="auto"/>
      </w:divBdr>
    </w:div>
    <w:div w:id="1028986870">
      <w:bodyDiv w:val="1"/>
      <w:marLeft w:val="0"/>
      <w:marRight w:val="0"/>
      <w:marTop w:val="0"/>
      <w:marBottom w:val="0"/>
      <w:divBdr>
        <w:top w:val="none" w:sz="0" w:space="0" w:color="auto"/>
        <w:left w:val="none" w:sz="0" w:space="0" w:color="auto"/>
        <w:bottom w:val="none" w:sz="0" w:space="0" w:color="auto"/>
        <w:right w:val="none" w:sz="0" w:space="0" w:color="auto"/>
      </w:divBdr>
    </w:div>
    <w:div w:id="1107119328">
      <w:bodyDiv w:val="1"/>
      <w:marLeft w:val="0"/>
      <w:marRight w:val="0"/>
      <w:marTop w:val="0"/>
      <w:marBottom w:val="0"/>
      <w:divBdr>
        <w:top w:val="none" w:sz="0" w:space="0" w:color="auto"/>
        <w:left w:val="none" w:sz="0" w:space="0" w:color="auto"/>
        <w:bottom w:val="none" w:sz="0" w:space="0" w:color="auto"/>
        <w:right w:val="none" w:sz="0" w:space="0" w:color="auto"/>
      </w:divBdr>
    </w:div>
    <w:div w:id="1114060476">
      <w:bodyDiv w:val="1"/>
      <w:marLeft w:val="0"/>
      <w:marRight w:val="0"/>
      <w:marTop w:val="0"/>
      <w:marBottom w:val="0"/>
      <w:divBdr>
        <w:top w:val="none" w:sz="0" w:space="0" w:color="auto"/>
        <w:left w:val="none" w:sz="0" w:space="0" w:color="auto"/>
        <w:bottom w:val="none" w:sz="0" w:space="0" w:color="auto"/>
        <w:right w:val="none" w:sz="0" w:space="0" w:color="auto"/>
      </w:divBdr>
    </w:div>
    <w:div w:id="1222060583">
      <w:bodyDiv w:val="1"/>
      <w:marLeft w:val="0"/>
      <w:marRight w:val="0"/>
      <w:marTop w:val="0"/>
      <w:marBottom w:val="0"/>
      <w:divBdr>
        <w:top w:val="none" w:sz="0" w:space="0" w:color="auto"/>
        <w:left w:val="none" w:sz="0" w:space="0" w:color="auto"/>
        <w:bottom w:val="none" w:sz="0" w:space="0" w:color="auto"/>
        <w:right w:val="none" w:sz="0" w:space="0" w:color="auto"/>
      </w:divBdr>
    </w:div>
    <w:div w:id="1223760262">
      <w:bodyDiv w:val="1"/>
      <w:marLeft w:val="0"/>
      <w:marRight w:val="0"/>
      <w:marTop w:val="0"/>
      <w:marBottom w:val="0"/>
      <w:divBdr>
        <w:top w:val="none" w:sz="0" w:space="0" w:color="auto"/>
        <w:left w:val="none" w:sz="0" w:space="0" w:color="auto"/>
        <w:bottom w:val="none" w:sz="0" w:space="0" w:color="auto"/>
        <w:right w:val="none" w:sz="0" w:space="0" w:color="auto"/>
      </w:divBdr>
    </w:div>
    <w:div w:id="1392575768">
      <w:bodyDiv w:val="1"/>
      <w:marLeft w:val="0"/>
      <w:marRight w:val="0"/>
      <w:marTop w:val="0"/>
      <w:marBottom w:val="0"/>
      <w:divBdr>
        <w:top w:val="none" w:sz="0" w:space="0" w:color="auto"/>
        <w:left w:val="none" w:sz="0" w:space="0" w:color="auto"/>
        <w:bottom w:val="none" w:sz="0" w:space="0" w:color="auto"/>
        <w:right w:val="none" w:sz="0" w:space="0" w:color="auto"/>
      </w:divBdr>
    </w:div>
    <w:div w:id="1576891376">
      <w:bodyDiv w:val="1"/>
      <w:marLeft w:val="0"/>
      <w:marRight w:val="0"/>
      <w:marTop w:val="0"/>
      <w:marBottom w:val="0"/>
      <w:divBdr>
        <w:top w:val="none" w:sz="0" w:space="0" w:color="auto"/>
        <w:left w:val="none" w:sz="0" w:space="0" w:color="auto"/>
        <w:bottom w:val="none" w:sz="0" w:space="0" w:color="auto"/>
        <w:right w:val="none" w:sz="0" w:space="0" w:color="auto"/>
      </w:divBdr>
    </w:div>
    <w:div w:id="1653412022">
      <w:bodyDiv w:val="1"/>
      <w:marLeft w:val="0"/>
      <w:marRight w:val="0"/>
      <w:marTop w:val="0"/>
      <w:marBottom w:val="0"/>
      <w:divBdr>
        <w:top w:val="none" w:sz="0" w:space="0" w:color="auto"/>
        <w:left w:val="none" w:sz="0" w:space="0" w:color="auto"/>
        <w:bottom w:val="none" w:sz="0" w:space="0" w:color="auto"/>
        <w:right w:val="none" w:sz="0" w:space="0" w:color="auto"/>
      </w:divBdr>
    </w:div>
    <w:div w:id="1681928497">
      <w:bodyDiv w:val="1"/>
      <w:marLeft w:val="0"/>
      <w:marRight w:val="0"/>
      <w:marTop w:val="0"/>
      <w:marBottom w:val="0"/>
      <w:divBdr>
        <w:top w:val="none" w:sz="0" w:space="0" w:color="auto"/>
        <w:left w:val="none" w:sz="0" w:space="0" w:color="auto"/>
        <w:bottom w:val="none" w:sz="0" w:space="0" w:color="auto"/>
        <w:right w:val="none" w:sz="0" w:space="0" w:color="auto"/>
      </w:divBdr>
    </w:div>
    <w:div w:id="1691906116">
      <w:bodyDiv w:val="1"/>
      <w:marLeft w:val="0"/>
      <w:marRight w:val="0"/>
      <w:marTop w:val="0"/>
      <w:marBottom w:val="0"/>
      <w:divBdr>
        <w:top w:val="none" w:sz="0" w:space="0" w:color="auto"/>
        <w:left w:val="none" w:sz="0" w:space="0" w:color="auto"/>
        <w:bottom w:val="none" w:sz="0" w:space="0" w:color="auto"/>
        <w:right w:val="none" w:sz="0" w:space="0" w:color="auto"/>
      </w:divBdr>
    </w:div>
    <w:div w:id="1770545869">
      <w:bodyDiv w:val="1"/>
      <w:marLeft w:val="0"/>
      <w:marRight w:val="0"/>
      <w:marTop w:val="0"/>
      <w:marBottom w:val="0"/>
      <w:divBdr>
        <w:top w:val="none" w:sz="0" w:space="0" w:color="auto"/>
        <w:left w:val="none" w:sz="0" w:space="0" w:color="auto"/>
        <w:bottom w:val="none" w:sz="0" w:space="0" w:color="auto"/>
        <w:right w:val="none" w:sz="0" w:space="0" w:color="auto"/>
      </w:divBdr>
    </w:div>
    <w:div w:id="1797066832">
      <w:bodyDiv w:val="1"/>
      <w:marLeft w:val="0"/>
      <w:marRight w:val="0"/>
      <w:marTop w:val="0"/>
      <w:marBottom w:val="0"/>
      <w:divBdr>
        <w:top w:val="none" w:sz="0" w:space="0" w:color="auto"/>
        <w:left w:val="none" w:sz="0" w:space="0" w:color="auto"/>
        <w:bottom w:val="none" w:sz="0" w:space="0" w:color="auto"/>
        <w:right w:val="none" w:sz="0" w:space="0" w:color="auto"/>
      </w:divBdr>
      <w:divsChild>
        <w:div w:id="157549511">
          <w:marLeft w:val="0"/>
          <w:marRight w:val="0"/>
          <w:marTop w:val="0"/>
          <w:marBottom w:val="0"/>
          <w:divBdr>
            <w:top w:val="none" w:sz="0" w:space="0" w:color="auto"/>
            <w:left w:val="none" w:sz="0" w:space="0" w:color="auto"/>
            <w:bottom w:val="none" w:sz="0" w:space="0" w:color="auto"/>
            <w:right w:val="none" w:sz="0" w:space="0" w:color="auto"/>
          </w:divBdr>
        </w:div>
      </w:divsChild>
    </w:div>
    <w:div w:id="1942563447">
      <w:bodyDiv w:val="1"/>
      <w:marLeft w:val="0"/>
      <w:marRight w:val="0"/>
      <w:marTop w:val="0"/>
      <w:marBottom w:val="0"/>
      <w:divBdr>
        <w:top w:val="none" w:sz="0" w:space="0" w:color="auto"/>
        <w:left w:val="none" w:sz="0" w:space="0" w:color="auto"/>
        <w:bottom w:val="none" w:sz="0" w:space="0" w:color="auto"/>
        <w:right w:val="none" w:sz="0" w:space="0" w:color="auto"/>
      </w:divBdr>
    </w:div>
    <w:div w:id="1963417640">
      <w:bodyDiv w:val="1"/>
      <w:marLeft w:val="0"/>
      <w:marRight w:val="0"/>
      <w:marTop w:val="0"/>
      <w:marBottom w:val="0"/>
      <w:divBdr>
        <w:top w:val="none" w:sz="0" w:space="0" w:color="auto"/>
        <w:left w:val="none" w:sz="0" w:space="0" w:color="auto"/>
        <w:bottom w:val="none" w:sz="0" w:space="0" w:color="auto"/>
        <w:right w:val="none" w:sz="0" w:space="0" w:color="auto"/>
      </w:divBdr>
    </w:div>
    <w:div w:id="2007390934">
      <w:bodyDiv w:val="1"/>
      <w:marLeft w:val="0"/>
      <w:marRight w:val="0"/>
      <w:marTop w:val="0"/>
      <w:marBottom w:val="0"/>
      <w:divBdr>
        <w:top w:val="none" w:sz="0" w:space="0" w:color="auto"/>
        <w:left w:val="none" w:sz="0" w:space="0" w:color="auto"/>
        <w:bottom w:val="none" w:sz="0" w:space="0" w:color="auto"/>
        <w:right w:val="none" w:sz="0" w:space="0" w:color="auto"/>
      </w:divBdr>
    </w:div>
    <w:div w:id="20748860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hyperlink" Target="https://h2-map.eu/" TargetMode="External"/><Relationship Id="rId42" Type="http://schemas.openxmlformats.org/officeDocument/2006/relationships/chart" Target="charts/chart4.xml"/><Relationship Id="rId47" Type="http://schemas.openxmlformats.org/officeDocument/2006/relationships/chart" Target="charts/chart9.xml"/><Relationship Id="rId63" Type="http://schemas.openxmlformats.org/officeDocument/2006/relationships/image" Target="media/image27.png"/><Relationship Id="rId68" Type="http://schemas.openxmlformats.org/officeDocument/2006/relationships/chart" Target="charts/chart17.xml"/><Relationship Id="rId84" Type="http://schemas.openxmlformats.org/officeDocument/2006/relationships/hyperlink" Target="https://refhyne.eu/" TargetMode="External"/><Relationship Id="rId89" Type="http://schemas.openxmlformats.org/officeDocument/2006/relationships/hyperlink" Target="https://eu-monitoring.cancom.eu/monitoring/tactical" TargetMode="External"/><Relationship Id="rId112" Type="http://schemas.openxmlformats.org/officeDocument/2006/relationships/customXml" Target="../customXml/item3.xml"/><Relationship Id="rId16" Type="http://schemas.openxmlformats.org/officeDocument/2006/relationships/image" Target="media/image3.png"/><Relationship Id="rId107" Type="http://schemas.openxmlformats.org/officeDocument/2006/relationships/footer" Target="footer3.xml"/><Relationship Id="rId11" Type="http://schemas.openxmlformats.org/officeDocument/2006/relationships/hyperlink" Target="https://www.fch.europa.eu/content/european-hydrogen-week-2021" TargetMode="External"/><Relationship Id="rId32" Type="http://schemas.openxmlformats.org/officeDocument/2006/relationships/image" Target="media/image16.png"/><Relationship Id="rId37" Type="http://schemas.openxmlformats.org/officeDocument/2006/relationships/image" Target="media/image19.png"/><Relationship Id="rId53" Type="http://schemas.openxmlformats.org/officeDocument/2006/relationships/chart" Target="charts/chart15.xml"/><Relationship Id="rId58" Type="http://schemas.openxmlformats.org/officeDocument/2006/relationships/image" Target="media/image22.png"/><Relationship Id="rId74" Type="http://schemas.openxmlformats.org/officeDocument/2006/relationships/image" Target="media/image33.png"/><Relationship Id="rId79" Type="http://schemas.openxmlformats.org/officeDocument/2006/relationships/hyperlink" Target="https://www.certifhy.eu/" TargetMode="External"/><Relationship Id="rId102" Type="http://schemas.openxmlformats.org/officeDocument/2006/relationships/header" Target="header1.xml"/><Relationship Id="rId5" Type="http://schemas.openxmlformats.org/officeDocument/2006/relationships/webSettings" Target="webSettings.xml"/><Relationship Id="rId90" Type="http://schemas.openxmlformats.org/officeDocument/2006/relationships/chart" Target="charts/chart23.xml"/><Relationship Id="rId95" Type="http://schemas.openxmlformats.org/officeDocument/2006/relationships/chart" Target="charts/chart25.xml"/><Relationship Id="rId22" Type="http://schemas.openxmlformats.org/officeDocument/2006/relationships/image" Target="media/image7.png"/><Relationship Id="rId27" Type="http://schemas.openxmlformats.org/officeDocument/2006/relationships/image" Target="media/image11.png"/><Relationship Id="rId43" Type="http://schemas.openxmlformats.org/officeDocument/2006/relationships/chart" Target="charts/chart5.xml"/><Relationship Id="rId48" Type="http://schemas.openxmlformats.org/officeDocument/2006/relationships/chart" Target="charts/chart10.xml"/><Relationship Id="rId64" Type="http://schemas.openxmlformats.org/officeDocument/2006/relationships/image" Target="media/image28.png"/><Relationship Id="rId69" Type="http://schemas.openxmlformats.org/officeDocument/2006/relationships/chart" Target="charts/chart18.xml"/><Relationship Id="rId113" Type="http://schemas.openxmlformats.org/officeDocument/2006/relationships/customXml" Target="../customXml/item4.xml"/><Relationship Id="rId80" Type="http://schemas.openxmlformats.org/officeDocument/2006/relationships/hyperlink" Target="https://anione.eu/project-overview/" TargetMode="External"/><Relationship Id="rId85" Type="http://schemas.openxmlformats.org/officeDocument/2006/relationships/chart" Target="charts/chart20.xml"/><Relationship Id="rId12" Type="http://schemas.openxmlformats.org/officeDocument/2006/relationships/chart" Target="charts/chart1.xml"/><Relationship Id="rId17" Type="http://schemas.openxmlformats.org/officeDocument/2006/relationships/image" Target="media/image4.png"/><Relationship Id="rId33" Type="http://schemas.openxmlformats.org/officeDocument/2006/relationships/image" Target="media/image17.svg"/><Relationship Id="rId38" Type="http://schemas.openxmlformats.org/officeDocument/2006/relationships/image" Target="media/image20.jpeg"/><Relationship Id="rId59" Type="http://schemas.openxmlformats.org/officeDocument/2006/relationships/image" Target="media/image23.png"/><Relationship Id="rId103" Type="http://schemas.openxmlformats.org/officeDocument/2006/relationships/header" Target="header2.xml"/><Relationship Id="rId108" Type="http://schemas.openxmlformats.org/officeDocument/2006/relationships/image" Target="media/image40.png"/><Relationship Id="rId54" Type="http://schemas.openxmlformats.org/officeDocument/2006/relationships/chart" Target="charts/chart16.xml"/><Relationship Id="rId70" Type="http://schemas.openxmlformats.org/officeDocument/2006/relationships/chart" Target="charts/chart19.xml"/><Relationship Id="rId75" Type="http://schemas.openxmlformats.org/officeDocument/2006/relationships/image" Target="media/image34.png"/><Relationship Id="rId91" Type="http://schemas.openxmlformats.org/officeDocument/2006/relationships/chart" Target="charts/chart24.xml"/><Relationship Id="rId96" Type="http://schemas.openxmlformats.org/officeDocument/2006/relationships/image" Target="media/image37.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8.png"/><Relationship Id="rId28" Type="http://schemas.openxmlformats.org/officeDocument/2006/relationships/image" Target="media/image12.png"/><Relationship Id="rId36" Type="http://schemas.openxmlformats.org/officeDocument/2006/relationships/hyperlink" Target="HTTPS://WWW.HELMHOLTZ-BERLIN.DE/PROJECTS/PECSYS/" TargetMode="External"/><Relationship Id="rId49" Type="http://schemas.openxmlformats.org/officeDocument/2006/relationships/chart" Target="charts/chart11.xml"/><Relationship Id="rId57" Type="http://schemas.openxmlformats.org/officeDocument/2006/relationships/image" Target="media/image21.png"/><Relationship Id="rId106" Type="http://schemas.openxmlformats.org/officeDocument/2006/relationships/header" Target="header3.xml"/><Relationship Id="rId10" Type="http://schemas.openxmlformats.org/officeDocument/2006/relationships/hyperlink" Target="http://www.clean-hydrogen.europa.eu" TargetMode="External"/><Relationship Id="rId31" Type="http://schemas.openxmlformats.org/officeDocument/2006/relationships/image" Target="media/image15.png"/><Relationship Id="rId44" Type="http://schemas.openxmlformats.org/officeDocument/2006/relationships/chart" Target="charts/chart6.xml"/><Relationship Id="rId52" Type="http://schemas.openxmlformats.org/officeDocument/2006/relationships/chart" Target="charts/chart14.xml"/><Relationship Id="rId60" Type="http://schemas.openxmlformats.org/officeDocument/2006/relationships/image" Target="media/image24.png"/><Relationship Id="rId65" Type="http://schemas.openxmlformats.org/officeDocument/2006/relationships/image" Target="media/image29.png"/><Relationship Id="rId73" Type="http://schemas.openxmlformats.org/officeDocument/2006/relationships/image" Target="media/image32.png"/><Relationship Id="rId78" Type="http://schemas.openxmlformats.org/officeDocument/2006/relationships/hyperlink" Target="http://mission-innovation.net/our-work/innovation-challenges/renewable-and-clean-hydrogen/" TargetMode="External"/><Relationship Id="rId81" Type="http://schemas.openxmlformats.org/officeDocument/2006/relationships/hyperlink" Target="https://www.sintef.no/projectweb/channel-fch/" TargetMode="External"/><Relationship Id="rId86" Type="http://schemas.openxmlformats.org/officeDocument/2006/relationships/chart" Target="charts/chart21.xml"/><Relationship Id="rId94" Type="http://schemas.openxmlformats.org/officeDocument/2006/relationships/hyperlink" Target="https://www.clean-hydrogen.europa.eu/about-us/organisation/governing-board_en" TargetMode="External"/><Relationship Id="rId99" Type="http://schemas.openxmlformats.org/officeDocument/2006/relationships/chart" Target="charts/chart28.xml"/><Relationship Id="rId101" Type="http://schemas.openxmlformats.org/officeDocument/2006/relationships/image" Target="media/image39.svg"/><Relationship Id="rId4" Type="http://schemas.openxmlformats.org/officeDocument/2006/relationships/settings" Target="settings.xml"/><Relationship Id="rId9" Type="http://schemas.openxmlformats.org/officeDocument/2006/relationships/hyperlink" Target="https://h2-map.eu/" TargetMode="External"/><Relationship Id="rId13" Type="http://schemas.openxmlformats.org/officeDocument/2006/relationships/chart" Target="charts/chart2.xml"/><Relationship Id="rId18" Type="http://schemas.openxmlformats.org/officeDocument/2006/relationships/image" Target="media/image5.png"/><Relationship Id="rId39" Type="http://schemas.openxmlformats.org/officeDocument/2006/relationships/hyperlink" Target="https://publications.jrc.ec.europa.eu/repository/handle/JRC123219" TargetMode="External"/><Relationship Id="rId109" Type="http://schemas.openxmlformats.org/officeDocument/2006/relationships/fontTable" Target="fontTable.xml"/><Relationship Id="rId34" Type="http://schemas.openxmlformats.org/officeDocument/2006/relationships/chart" Target="charts/chart3.xml"/><Relationship Id="rId50" Type="http://schemas.openxmlformats.org/officeDocument/2006/relationships/chart" Target="charts/chart12.xml"/><Relationship Id="rId55" Type="http://schemas.openxmlformats.org/officeDocument/2006/relationships/hyperlink" Target="https://www.clean-hydrogen.europa.eu/about-us/key-documents/annual-activity-reports_en" TargetMode="External"/><Relationship Id="rId76" Type="http://schemas.openxmlformats.org/officeDocument/2006/relationships/hyperlink" Target="https://www.h2v.eu/" TargetMode="External"/><Relationship Id="rId97" Type="http://schemas.openxmlformats.org/officeDocument/2006/relationships/chart" Target="charts/chart26.xml"/><Relationship Id="rId104"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30.png"/><Relationship Id="rId92" Type="http://schemas.openxmlformats.org/officeDocument/2006/relationships/image" Target="media/image36.pn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hyperlink" Target="https://www.fch.europa.eu/publications/hydrogen-powered-aviation" TargetMode="External"/><Relationship Id="rId40" Type="http://schemas.openxmlformats.org/officeDocument/2006/relationships/hyperlink" Target="https://data.mendeley.com/datasets/c7bffdv7yb/1" TargetMode="External"/><Relationship Id="rId45" Type="http://schemas.openxmlformats.org/officeDocument/2006/relationships/chart" Target="charts/chart7.xml"/><Relationship Id="rId66" Type="http://schemas.openxmlformats.org/officeDocument/2006/relationships/oleObject" Target="embeddings/oleObject1.bin"/><Relationship Id="rId87" Type="http://schemas.openxmlformats.org/officeDocument/2006/relationships/chart" Target="charts/chart22.xml"/><Relationship Id="rId110" Type="http://schemas.openxmlformats.org/officeDocument/2006/relationships/theme" Target="theme/theme1.xml"/><Relationship Id="rId61" Type="http://schemas.openxmlformats.org/officeDocument/2006/relationships/image" Target="media/image25.png"/><Relationship Id="rId82" Type="http://schemas.openxmlformats.org/officeDocument/2006/relationships/hyperlink" Target="https://newely.eu/" TargetMode="External"/><Relationship Id="rId19" Type="http://schemas.openxmlformats.org/officeDocument/2006/relationships/image" Target="media/image6.png"/><Relationship Id="rId14" Type="http://schemas.openxmlformats.org/officeDocument/2006/relationships/image" Target="media/image1.png"/><Relationship Id="rId30" Type="http://schemas.openxmlformats.org/officeDocument/2006/relationships/image" Target="media/image14.png"/><Relationship Id="rId35" Type="http://schemas.openxmlformats.org/officeDocument/2006/relationships/image" Target="media/image18.png"/><Relationship Id="rId56" Type="http://schemas.openxmlformats.org/officeDocument/2006/relationships/hyperlink" Target="http://www.clean-hydrogen.europa.eu" TargetMode="External"/><Relationship Id="rId77" Type="http://schemas.openxmlformats.org/officeDocument/2006/relationships/hyperlink" Target="http://mission-innovation.net/" TargetMode="External"/><Relationship Id="rId100" Type="http://schemas.openxmlformats.org/officeDocument/2006/relationships/image" Target="media/image38.png"/><Relationship Id="rId105" Type="http://schemas.openxmlformats.org/officeDocument/2006/relationships/footer" Target="footer2.xml"/><Relationship Id="rId8" Type="http://schemas.openxmlformats.org/officeDocument/2006/relationships/hyperlink" Target="https://www.clean-hydrogen.europa.eu/about-us/organisation/governing-board_en" TargetMode="External"/><Relationship Id="rId51" Type="http://schemas.openxmlformats.org/officeDocument/2006/relationships/chart" Target="charts/chart13.xml"/><Relationship Id="rId72" Type="http://schemas.openxmlformats.org/officeDocument/2006/relationships/image" Target="media/image31.jpeg"/><Relationship Id="rId93" Type="http://schemas.openxmlformats.org/officeDocument/2006/relationships/hyperlink" Target="http://www.fch.europa.eu/page/governing-board" TargetMode="External"/><Relationship Id="rId98" Type="http://schemas.openxmlformats.org/officeDocument/2006/relationships/chart" Target="charts/chart27.xml"/><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chart" Target="charts/chart8.xml"/><Relationship Id="rId67" Type="http://schemas.openxmlformats.org/officeDocument/2006/relationships/hyperlink" Target="https://www.fch.europa.eu/" TargetMode="External"/><Relationship Id="rId20" Type="http://schemas.openxmlformats.org/officeDocument/2006/relationships/hyperlink" Target="https://www.fuelcellbuses.eu/" TargetMode="External"/><Relationship Id="rId41" Type="http://schemas.openxmlformats.org/officeDocument/2006/relationships/hyperlink" Target="https://data.europa.eu/doi/10.2760/293538" TargetMode="External"/><Relationship Id="rId62" Type="http://schemas.openxmlformats.org/officeDocument/2006/relationships/image" Target="media/image26.png"/><Relationship Id="rId83" Type="http://schemas.openxmlformats.org/officeDocument/2006/relationships/image" Target="media/image35.png"/><Relationship Id="rId88" Type="http://schemas.openxmlformats.org/officeDocument/2006/relationships/hyperlink" Target="https://sts.realdolmen.com/adfs/ls?SAMLRequest=nZJbbxoxEIXf%2BRWR39krC4oFVDQkLRIFFEge8hJNvbONJV%2B2Hm%2FS%2Fvsab66Vkof4yZqZ7%2FickacEWrV80fk7c4m%2FOyQ%2FOAnnj1aGeGzOWOcMt0CSuAGNxL3g%2B8WPNS%2BSjLfOeiusYv9hH1NAhM5La3pstZyx7eZ8vf222tyeNkUFDZbjohyNm6ocFU0VruUoq%2FK6EGOossk4B%2BjRa3QUdGYsyLJBr0bU4cqQB%2BNDPSvyYZYP89NDPuJVybPJTY8uQ1hpwEf8zvuWeJqSp8QhqNoqjSYRVqdQN5Qq6qHdY96v0tTS%2FPo45s9%2BiPj3w2E33G33h15k8RT%2FzBrqNLo9unsp8Opy%2FeJEWyO9dYF%2FZUgo29XR1XHJ1CaoJ19AxAwgiM2j%2FvTY5HEPbv5pPY0eavAwTV%2FLvTzQ8k1IvFrurJLib6wfz4V1Gvz7i8mTPFZkPWziKO8MtShkI7FmzzILpezDWXDqcca865CdpPNB7%2BXth53%2FAw%3D%3D&amp;RelayState=https%3A%2F%2Fmonitoring.realdolmencloud.com%2Fem7%2Findex.em7%3Fexec%3Devents" TargetMode="External"/><Relationship Id="rId111" Type="http://schemas.openxmlformats.org/officeDocument/2006/relationships/customXml" Target="../customXml/item2.xml"/></Relationships>
</file>

<file path=word/_rels/footnotes.xml.rels><?xml version="1.0" encoding="UTF-8" standalone="yes"?>
<Relationships xmlns="http://schemas.openxmlformats.org/package/2006/relationships"><Relationship Id="rId26" Type="http://schemas.openxmlformats.org/officeDocument/2006/relationships/hyperlink" Target="https://www.fchobservatory.eu/index.php/reports" TargetMode="External"/><Relationship Id="rId21" Type="http://schemas.openxmlformats.org/officeDocument/2006/relationships/hyperlink" Target="https://www.fch.europa.eu/page/energy" TargetMode="External"/><Relationship Id="rId42" Type="http://schemas.openxmlformats.org/officeDocument/2006/relationships/hyperlink" Target="https://www.consilium.europa.eu/en/press/press-releases/2021/12/22/ten-e-council-and-parliament-reach-provisional-agreement-on-new-rules-for-cross-border-energy-projects/" TargetMode="External"/><Relationship Id="rId47" Type="http://schemas.openxmlformats.org/officeDocument/2006/relationships/hyperlink" Target="https://www.fch.europa.eu/page/fch-regions-hub" TargetMode="External"/><Relationship Id="rId63" Type="http://schemas.openxmlformats.org/officeDocument/2006/relationships/hyperlink" Target="https://www.europarl.europa.eu/doceo/document/CONT-PR-698996_EN.pdf" TargetMode="External"/><Relationship Id="rId68" Type="http://schemas.openxmlformats.org/officeDocument/2006/relationships/hyperlink" Target="https://eusew.eu/extended-programme-sessions/clean-steel-hydrogen" TargetMode="External"/><Relationship Id="rId2" Type="http://schemas.openxmlformats.org/officeDocument/2006/relationships/hyperlink" Target="https://ec.europa.eu/info/funding-tenders/opportunities/portal/screen/opportunities/horizon-results-platform" TargetMode="External"/><Relationship Id="rId16" Type="http://schemas.openxmlformats.org/officeDocument/2006/relationships/hyperlink" Target="https://www.fch.europa.eu/page/energy" TargetMode="External"/><Relationship Id="rId29" Type="http://schemas.openxmlformats.org/officeDocument/2006/relationships/hyperlink" Target="https://www.clean-hydrogen.europa.eu/get-involved/european-hydrogen-safety-panel-0/reference-documents-ehsp_en" TargetMode="External"/><Relationship Id="rId11" Type="http://schemas.openxmlformats.org/officeDocument/2006/relationships/hyperlink" Target="http://www.pace-energy.eu" TargetMode="External"/><Relationship Id="rId24" Type="http://schemas.openxmlformats.org/officeDocument/2006/relationships/hyperlink" Target="https://www.clean-hydrogen.europa.eu/media/publications/programme-review-report-2020-2021_en" TargetMode="External"/><Relationship Id="rId32" Type="http://schemas.openxmlformats.org/officeDocument/2006/relationships/hyperlink" Target="https://www.etipbioenergy.eu/set4bio" TargetMode="External"/><Relationship Id="rId37" Type="http://schemas.openxmlformats.org/officeDocument/2006/relationships/hyperlink" Target="https://www.clean-hydrogen.europa.eu/projects-repository/e-shyips_en" TargetMode="External"/><Relationship Id="rId40" Type="http://schemas.openxmlformats.org/officeDocument/2006/relationships/hyperlink" Target="https://ec.europa.eu/info/law/better-regulation/have-your-say/initiatives/12616-State-aid-for-environmental-protection-and-energy-revised-guidelines_en" TargetMode="External"/><Relationship Id="rId45" Type="http://schemas.openxmlformats.org/officeDocument/2006/relationships/hyperlink" Target="https://www.fch.europa.eu/page/fch-regions-hub" TargetMode="External"/><Relationship Id="rId53" Type="http://schemas.openxmlformats.org/officeDocument/2006/relationships/hyperlink" Target="https://www.h2v.eu/" TargetMode="External"/><Relationship Id="rId58" Type="http://schemas.openxmlformats.org/officeDocument/2006/relationships/hyperlink" Target="https://ec.europa.eu/research/iscp/pdf/policy/com_2012_497_communication_from_commission_to_inst_en.pdf" TargetMode="External"/><Relationship Id="rId66" Type="http://schemas.openxmlformats.org/officeDocument/2006/relationships/hyperlink" Target="https://www.clean-hydrogen.europa.eu/media/news/review-anion-exchange-membrane-electrolysers-webinar-2021-07-07_en" TargetMode="External"/><Relationship Id="rId74" Type="http://schemas.openxmlformats.org/officeDocument/2006/relationships/hyperlink" Target="https://www.2021portugal.eu/en/events/high-level-conference-on-hydrogen-hydrogen-in-society-bridging-the-gaps/" TargetMode="External"/><Relationship Id="rId5" Type="http://schemas.openxmlformats.org/officeDocument/2006/relationships/hyperlink" Target="https://www.clean-hydrogen.europa.eu/knowledge-management/programme-review-days/prd-2021_en" TargetMode="External"/><Relationship Id="rId61" Type="http://schemas.openxmlformats.org/officeDocument/2006/relationships/hyperlink" Target="https://www.europarl.europa.eu/doceo/document/CONT-PR-698996_EN.pdf" TargetMode="External"/><Relationship Id="rId19" Type="http://schemas.openxmlformats.org/officeDocument/2006/relationships/hyperlink" Target="https://ec.europa.eu/jrc/sites/default/files/jrc124206_assessment_of_hydrogen_delivery_options.pdf" TargetMode="External"/><Relationship Id="rId14" Type="http://schemas.openxmlformats.org/officeDocument/2006/relationships/hyperlink" Target="https://www.fch.europa.eu/page/energy" TargetMode="External"/><Relationship Id="rId22" Type="http://schemas.openxmlformats.org/officeDocument/2006/relationships/hyperlink" Target="https://www.fch.europa.eu/page/energy" TargetMode="External"/><Relationship Id="rId27" Type="http://schemas.openxmlformats.org/officeDocument/2006/relationships/hyperlink" Target="https://www.clean-hydrogen.europa.eu/system/files/2022-02/Clean%20Hydrogen%20JU%20SRIA%20-%20approved%20by%20GB%20-%20clean%20for%20publication%20%28ID%2013246486%29.pdf" TargetMode="External"/><Relationship Id="rId30" Type="http://schemas.openxmlformats.org/officeDocument/2006/relationships/hyperlink" Target="https://www.clean-hydrogen.europa.eu/get-involved/european-hydrogen-safety-panel-0_en" TargetMode="External"/><Relationship Id="rId35" Type="http://schemas.openxmlformats.org/officeDocument/2006/relationships/hyperlink" Target="https://www.clean-hydrogen.europa.eu/projects-repository/maranda_en" TargetMode="External"/><Relationship Id="rId43" Type="http://schemas.openxmlformats.org/officeDocument/2006/relationships/hyperlink" Target="https://ec.europa.eu/international-partnerships/projects/eu-global-technical-assistance-facility-sustainable-energy-eu-gtaf_ro" TargetMode="External"/><Relationship Id="rId48" Type="http://schemas.openxmlformats.org/officeDocument/2006/relationships/hyperlink" Target="https://www.fch.europa.eu/news/project-development-assistance-kicks-selected-regions" TargetMode="External"/><Relationship Id="rId56" Type="http://schemas.openxmlformats.org/officeDocument/2006/relationships/hyperlink" Target="https://www.clean-hydrogen.europa.eu/media/news/research-and-innovation-priorities-clean-hydrogen-2022-02-28_en" TargetMode="External"/><Relationship Id="rId64" Type="http://schemas.openxmlformats.org/officeDocument/2006/relationships/hyperlink" Target="https://ec.europa.eu/research/participants/data/ref/h2020/other/mga/jtis/h2020-mga-fch_en.pdf" TargetMode="External"/><Relationship Id="rId69" Type="http://schemas.openxmlformats.org/officeDocument/2006/relationships/hyperlink" Target="https://eusew.eu/programme-sessions/key-role-european-regions-kick-starting-and-advancing-clean-hydrogen" TargetMode="External"/><Relationship Id="rId8" Type="http://schemas.openxmlformats.org/officeDocument/2006/relationships/hyperlink" Target="https://www.fch.europa.eu/page/transport" TargetMode="External"/><Relationship Id="rId51" Type="http://schemas.openxmlformats.org/officeDocument/2006/relationships/hyperlink" Target="https://www.fch.europa.eu/page/energy" TargetMode="External"/><Relationship Id="rId72" Type="http://schemas.openxmlformats.org/officeDocument/2006/relationships/hyperlink" Target="https://eu-green-deal-2020-research.eugcc-cleanergy.net/About.html" TargetMode="External"/><Relationship Id="rId3" Type="http://schemas.openxmlformats.org/officeDocument/2006/relationships/hyperlink" Target="https://www.innoradar.eu/" TargetMode="External"/><Relationship Id="rId12" Type="http://schemas.openxmlformats.org/officeDocument/2006/relationships/hyperlink" Target="https://www.cleargen.eu/" TargetMode="External"/><Relationship Id="rId17" Type="http://schemas.openxmlformats.org/officeDocument/2006/relationships/hyperlink" Target="https://www.fch.europa.eu/page/energy" TargetMode="External"/><Relationship Id="rId25" Type="http://schemas.openxmlformats.org/officeDocument/2006/relationships/hyperlink" Target="https://www.clean-hydrogen.europa.eu/knowledge-management/programme-review-days/prd-2021_en" TargetMode="External"/><Relationship Id="rId33" Type="http://schemas.openxmlformats.org/officeDocument/2006/relationships/hyperlink" Target="https://www.certifhy.eu/" TargetMode="External"/><Relationship Id="rId38" Type="http://schemas.openxmlformats.org/officeDocument/2006/relationships/hyperlink" Target="https://eur-lex.europa.eu/legal-content/EN/TXT/PDF/?uri=CELEX:52021DC0550&amp;from=EN" TargetMode="External"/><Relationship Id="rId46" Type="http://schemas.openxmlformats.org/officeDocument/2006/relationships/hyperlink" Target="https://s3platform.jrc.ec.europa.eu/hydrogen-valleys" TargetMode="External"/><Relationship Id="rId59" Type="http://schemas.openxmlformats.org/officeDocument/2006/relationships/hyperlink" Target="http://mission-innovation.net/our-work/innovation-challenges/renewable-and-clean-hydrogen/" TargetMode="External"/><Relationship Id="rId67" Type="http://schemas.openxmlformats.org/officeDocument/2006/relationships/hyperlink" Target="https://eusew.eu/extended-programme-sessions/hydrogen-and-its-potential-decarbonize-industrial-hubs-through-ports" TargetMode="External"/><Relationship Id="rId20" Type="http://schemas.openxmlformats.org/officeDocument/2006/relationships/hyperlink" Target="https://www.fch.europa.eu/page/energy" TargetMode="External"/><Relationship Id="rId41" Type="http://schemas.openxmlformats.org/officeDocument/2006/relationships/hyperlink" Target="https://ec.europa.eu/info/law/better-regulation/have-your-say/initiatives/13168-Reducing-carbon-emissions-review-of-emission-standards-for-heavy-duty-vehicles_en" TargetMode="External"/><Relationship Id="rId54" Type="http://schemas.openxmlformats.org/officeDocument/2006/relationships/hyperlink" Target="https://www.fch.europa.eu/page/mission-innovation-hydrogen-valleys-platform" TargetMode="External"/><Relationship Id="rId62" Type="http://schemas.openxmlformats.org/officeDocument/2006/relationships/hyperlink" Target="https://www.europarl.europa.eu/doceo/document/CONT-PR-698996_EN.pdf" TargetMode="External"/><Relationship Id="rId70" Type="http://schemas.openxmlformats.org/officeDocument/2006/relationships/hyperlink" Target="https://eu.app.swapcard.com/event/eu-regions-week/planning/UGxhbm5pbmdfNjMxMzA3" TargetMode="External"/><Relationship Id="rId75" Type="http://schemas.openxmlformats.org/officeDocument/2006/relationships/hyperlink" Target="https://www.clean-hydrogen.europa.eu/about-us/organisation/stakeholders-group_en" TargetMode="External"/><Relationship Id="rId1" Type="http://schemas.openxmlformats.org/officeDocument/2006/relationships/hyperlink" Target="https://assured-project.eu/storage/files/jive-presentation-user-group-11062019-element-energy-jive-assured-ug-meeting.pdf" TargetMode="External"/><Relationship Id="rId6" Type="http://schemas.openxmlformats.org/officeDocument/2006/relationships/hyperlink" Target="https://www.clean-hydrogen.europa.eu/knowledge-management/technology-monitoring-trust_en" TargetMode="External"/><Relationship Id="rId15" Type="http://schemas.openxmlformats.org/officeDocument/2006/relationships/hyperlink" Target="https://www.fch.europa.eu/page/energy" TargetMode="External"/><Relationship Id="rId23" Type="http://schemas.openxmlformats.org/officeDocument/2006/relationships/hyperlink" Target="https://www.fchobservatory.eu/observatory" TargetMode="External"/><Relationship Id="rId28" Type="http://schemas.openxmlformats.org/officeDocument/2006/relationships/hyperlink" Target="https://www.clean-hydrogen.europa.eu/get-involved/european-hydrogen-safety-panel-0/reference-documents-ehsp_en" TargetMode="External"/><Relationship Id="rId36" Type="http://schemas.openxmlformats.org/officeDocument/2006/relationships/hyperlink" Target="https://www.clean-hydrogen.europa.eu/projects-repository/flagships_en" TargetMode="External"/><Relationship Id="rId49" Type="http://schemas.openxmlformats.org/officeDocument/2006/relationships/hyperlink" Target="https://www.clean-hydrogen.europa.eu/media/news/project-development-assistance-cities-and-regions-summary-report-now-available-2021-10-19_en" TargetMode="External"/><Relationship Id="rId57" Type="http://schemas.openxmlformats.org/officeDocument/2006/relationships/hyperlink" Target="https://ec.europa.eu/info/research-and-innovation/strategy/goals-research-and-innovation-policy/innovation-union_en" TargetMode="External"/><Relationship Id="rId10" Type="http://schemas.openxmlformats.org/officeDocument/2006/relationships/hyperlink" Target="https://www.fch.europa.eu/page/transport" TargetMode="External"/><Relationship Id="rId31" Type="http://schemas.openxmlformats.org/officeDocument/2006/relationships/hyperlink" Target="https://www.clean-hydrogen.europa.eu/knowledge-management/tools-innovation-monitoring-tim-0_en" TargetMode="External"/><Relationship Id="rId44" Type="http://schemas.openxmlformats.org/officeDocument/2006/relationships/hyperlink" Target="https://eda.europa.eu/" TargetMode="External"/><Relationship Id="rId52" Type="http://schemas.openxmlformats.org/officeDocument/2006/relationships/hyperlink" Target="https://www.fch.europa.eu/page/energy" TargetMode="External"/><Relationship Id="rId60" Type="http://schemas.openxmlformats.org/officeDocument/2006/relationships/hyperlink" Target="https://www.fch.europa.eu/page/mission-innovation-hydrogen-valleys-platform" TargetMode="External"/><Relationship Id="rId65" Type="http://schemas.openxmlformats.org/officeDocument/2006/relationships/hyperlink" Target="https://dealflow.eu/" TargetMode="External"/><Relationship Id="rId73" Type="http://schemas.openxmlformats.org/officeDocument/2006/relationships/hyperlink" Target="https://setplan2021.eu/sideevents/fuel-cells-and-hydrogen-joint-undertaking-and-ecubes/" TargetMode="External"/><Relationship Id="rId4" Type="http://schemas.openxmlformats.org/officeDocument/2006/relationships/hyperlink" Target="https://www.clean-hydrogen.europa.eu/media/publications/programme-review-report-2020-2021_en" TargetMode="External"/><Relationship Id="rId9" Type="http://schemas.openxmlformats.org/officeDocument/2006/relationships/hyperlink" Target="https://www.fch.europa.eu/page/transport" TargetMode="External"/><Relationship Id="rId13" Type="http://schemas.openxmlformats.org/officeDocument/2006/relationships/hyperlink" Target="https://www.fch.europa.eu/page/hydrogen-production-and-distribution" TargetMode="External"/><Relationship Id="rId18" Type="http://schemas.openxmlformats.org/officeDocument/2006/relationships/hyperlink" Target="https://www.fch.europa.eu/page/energy" TargetMode="External"/><Relationship Id="rId39" Type="http://schemas.openxmlformats.org/officeDocument/2006/relationships/hyperlink" Target="https://ec.europa.eu/commission/presscorner/detail/en/ip_21_6682" TargetMode="External"/><Relationship Id="rId34" Type="http://schemas.openxmlformats.org/officeDocument/2006/relationships/hyperlink" Target="http://www.emsa.europa.eu/" TargetMode="External"/><Relationship Id="rId50" Type="http://schemas.openxmlformats.org/officeDocument/2006/relationships/hyperlink" Target="https://www.bighit.eu/" TargetMode="External"/><Relationship Id="rId55" Type="http://schemas.openxmlformats.org/officeDocument/2006/relationships/hyperlink" Target="http://mission-innovation.net/missions/hydrogen/" TargetMode="External"/><Relationship Id="rId7" Type="http://schemas.openxmlformats.org/officeDocument/2006/relationships/hyperlink" Target="https://www.fch.europa.eu/page/transport" TargetMode="External"/><Relationship Id="rId71" Type="http://schemas.openxmlformats.org/officeDocument/2006/relationships/hyperlink" Target="https://events.climateaction.org/2021/sustainable-innovation-forum/"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Z:\FCH%20DMS\ID2\415F070B-0284-41BE-A1EB-A596F8C1DCB5\0\13264000-13264999\13264569\L\L\Tables%20-%20Audits%20+%20IKOP%20+%20IKAA%20(ID%2013264569).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Z:\FCH%20DMS\ID2\415F070B-0284-41BE-A1EB-A596F8C1DCB5\0\11302000-11302999\11302066\L\L\D&amp;E%20-%20EU%20SURVEY%202021_rev%20(ID%2011302066).xlsx" TargetMode="External"/><Relationship Id="rId2" Type="http://schemas.microsoft.com/office/2011/relationships/chartColorStyle" Target="colors7.xml"/><Relationship Id="rId1" Type="http://schemas.microsoft.com/office/2011/relationships/chartStyle" Target="style7.xml"/></Relationships>
</file>

<file path=word/charts/_rels/chart11.xml.rels><?xml version="1.0" encoding="UTF-8" standalone="yes"?>
<Relationships xmlns="http://schemas.openxmlformats.org/package/2006/relationships"><Relationship Id="rId3" Type="http://schemas.openxmlformats.org/officeDocument/2006/relationships/oleObject" Target="file:///Z:\FCH%20DMS\ID2\415F070B-0284-41BE-A1EB-A596F8C1DCB5\0\11302000-11302999\11302066\L\L\D&amp;E%20-%20EU%20SURVEY%202021_rev%20(ID%2011302066).xlsx" TargetMode="External"/><Relationship Id="rId2" Type="http://schemas.microsoft.com/office/2011/relationships/chartColorStyle" Target="colors8.xml"/><Relationship Id="rId1" Type="http://schemas.microsoft.com/office/2011/relationships/chartStyle" Target="style8.xml"/></Relationships>
</file>

<file path=word/charts/_rels/chart12.xml.rels><?xml version="1.0" encoding="UTF-8" standalone="yes"?>
<Relationships xmlns="http://schemas.openxmlformats.org/package/2006/relationships"><Relationship Id="rId3" Type="http://schemas.openxmlformats.org/officeDocument/2006/relationships/oleObject" Target="file:///Z:\FCH%20DMS\ID2\415F070B-0284-41BE-A1EB-A596F8C1DCB5\0\11302000-11302999\11302066\L\L\D&amp;E%20-%20EU%20SURVEY%202021_rev%20(ID%2011302066).xlsx" TargetMode="External"/><Relationship Id="rId2" Type="http://schemas.microsoft.com/office/2011/relationships/chartColorStyle" Target="colors9.xml"/><Relationship Id="rId1" Type="http://schemas.microsoft.com/office/2011/relationships/chartStyle" Target="style9.xml"/></Relationships>
</file>

<file path=word/charts/_rels/chart13.xml.rels><?xml version="1.0" encoding="UTF-8" standalone="yes"?>
<Relationships xmlns="http://schemas.openxmlformats.org/package/2006/relationships"><Relationship Id="rId3" Type="http://schemas.openxmlformats.org/officeDocument/2006/relationships/oleObject" Target="file:///Z:\FCH%20DMS\ID2\415F070B-0284-41BE-A1EB-A596F8C1DCB5\0\11302000-11302999\11302066\L\L\D&amp;E%20-%20EU%20SURVEY%202021_rev%20(ID%2011302066).xlsx" TargetMode="External"/><Relationship Id="rId2" Type="http://schemas.microsoft.com/office/2011/relationships/chartColorStyle" Target="colors10.xml"/><Relationship Id="rId1" Type="http://schemas.microsoft.com/office/2011/relationships/chartStyle" Target="style10.xml"/></Relationships>
</file>

<file path=word/charts/_rels/chart14.xml.rels><?xml version="1.0" encoding="UTF-8" standalone="yes"?>
<Relationships xmlns="http://schemas.openxmlformats.org/package/2006/relationships"><Relationship Id="rId3" Type="http://schemas.openxmlformats.org/officeDocument/2006/relationships/oleObject" Target="file:///Z:\FCH%20DMS\ID2\415F070B-0284-41BE-A1EB-A596F8C1DCB5\0\11302000-11302999\11302066\L\L\D&amp;E%20-%20EU%20SURVEY%202021_rev%20(ID%2011302066).xlsx" TargetMode="External"/><Relationship Id="rId2" Type="http://schemas.microsoft.com/office/2011/relationships/chartColorStyle" Target="colors11.xml"/><Relationship Id="rId1" Type="http://schemas.microsoft.com/office/2011/relationships/chartStyle" Target="style11.xml"/></Relationships>
</file>

<file path=word/charts/_rels/chart15.xml.rels><?xml version="1.0" encoding="UTF-8" standalone="yes"?>
<Relationships xmlns="http://schemas.openxmlformats.org/package/2006/relationships"><Relationship Id="rId3" Type="http://schemas.openxmlformats.org/officeDocument/2006/relationships/oleObject" Target="file:///Z:\FCH%20DMS\ID2\415F070B-0284-41BE-A1EB-A596F8C1DCB5\0\13264000-13264999\13264569\L\L\Tables%20-%20Audits%20+%20IKOP%20+%20IKAA%20(ID%2013264569).xlsx" TargetMode="External"/><Relationship Id="rId2" Type="http://schemas.microsoft.com/office/2011/relationships/chartColorStyle" Target="colors12.xml"/><Relationship Id="rId1" Type="http://schemas.microsoft.com/office/2011/relationships/chartStyle" Target="style12.xml"/></Relationships>
</file>

<file path=word/charts/_rels/chart16.xml.rels><?xml version="1.0" encoding="UTF-8" standalone="yes"?>
<Relationships xmlns="http://schemas.openxmlformats.org/package/2006/relationships"><Relationship Id="rId3" Type="http://schemas.openxmlformats.org/officeDocument/2006/relationships/oleObject" Target="file:///Z:\FCH%20DMS\ID2\415F070B-0284-41BE-A1EB-A596F8C1DCB5\0\13264000-13264999\13264569\L\L\Tables%20-%20Audits%20+%20IKOP%20+%20IKAA%20(ID%2013264569).xlsx" TargetMode="External"/><Relationship Id="rId2" Type="http://schemas.microsoft.com/office/2011/relationships/chartColorStyle" Target="colors13.xml"/><Relationship Id="rId1" Type="http://schemas.microsoft.com/office/2011/relationships/chartStyle" Target="style13.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Pristio\Desktop\Clean%20Hydrogen%20Visuals\Charts%20(ID%2012938533).xlsx" TargetMode="External"/><Relationship Id="rId2" Type="http://schemas.microsoft.com/office/2011/relationships/chartColorStyle" Target="colors14.xml"/><Relationship Id="rId1" Type="http://schemas.microsoft.com/office/2011/relationships/chartStyle" Target="style14.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Pristio\Desktop\Clean%20Hydrogen%20Visuals\Charts%20(ID%2012938533).xlsx" TargetMode="External"/><Relationship Id="rId2" Type="http://schemas.microsoft.com/office/2011/relationships/chartColorStyle" Target="colors15.xml"/><Relationship Id="rId1" Type="http://schemas.microsoft.com/office/2011/relationships/chartStyle" Target="style15.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Pristio\Desktop\Clean%20Hydrogen%20Visuals\Charts%20(ID%2012938533).xlsx" TargetMode="External"/><Relationship Id="rId2" Type="http://schemas.microsoft.com/office/2011/relationships/chartColorStyle" Target="colors16.xml"/><Relationship Id="rId1" Type="http://schemas.microsoft.com/office/2011/relationships/chartStyle" Target="style16.xml"/></Relationships>
</file>

<file path=word/charts/_rels/chart2.xml.rels><?xml version="1.0" encoding="UTF-8" standalone="yes"?>
<Relationships xmlns="http://schemas.openxmlformats.org/package/2006/relationships"><Relationship Id="rId3" Type="http://schemas.openxmlformats.org/officeDocument/2006/relationships/oleObject" Target="file:///Z:\FCH%20DMS\ID2\415F070B-0284-41BE-A1EB-A596F8C1DCB5\0\13264000-13264999\13264569\L\L\Tables%20-%20Audits%20+%20IKOP%20+%20IKAA%20(ID%2013264569).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Z:\FCH%20DMS\ID2\415F070B-0284-41BE-A1EB-A596F8C1DCB5\0\12887000-12887999\12887441\L\L\Tables%20for%20report%20on%20budgetary%20and%20financial%20management%20(ID%2012887441).xlsx" TargetMode="External"/><Relationship Id="rId2" Type="http://schemas.microsoft.com/office/2011/relationships/chartColorStyle" Target="colors17.xml"/><Relationship Id="rId1" Type="http://schemas.microsoft.com/office/2011/relationships/chartStyle" Target="style17.xml"/></Relationships>
</file>

<file path=word/charts/_rels/chart21.xml.rels><?xml version="1.0" encoding="UTF-8" standalone="yes"?>
<Relationships xmlns="http://schemas.openxmlformats.org/package/2006/relationships"><Relationship Id="rId3" Type="http://schemas.openxmlformats.org/officeDocument/2006/relationships/oleObject" Target="file:///Z:\FCH%20DMS\ID2\415F070B-0284-41BE-A1EB-A596F8C1DCB5\0\12887000-12887999\12887441\L\L\Tables%20for%20report%20on%20budgetary%20and%20financial%20management%20(ID%2012887441).xlsx" TargetMode="External"/><Relationship Id="rId2" Type="http://schemas.microsoft.com/office/2011/relationships/chartColorStyle" Target="colors18.xml"/><Relationship Id="rId1" Type="http://schemas.microsoft.com/office/2011/relationships/chartStyle" Target="style18.xml"/></Relationships>
</file>

<file path=word/charts/_rels/chart22.xml.rels><?xml version="1.0" encoding="UTF-8" standalone="yes"?>
<Relationships xmlns="http://schemas.openxmlformats.org/package/2006/relationships"><Relationship Id="rId3" Type="http://schemas.openxmlformats.org/officeDocument/2006/relationships/oleObject" Target="file:///Z:\FCH%20DMS\ID2\415F070B-0284-41BE-A1EB-A596F8C1DCB5\0\12887000-12887999\12887441\L\L\Tables%20for%20report%20on%20budgetary%20and%20financial%20management%20(ID%2012887441).xlsx" TargetMode="External"/><Relationship Id="rId2" Type="http://schemas.microsoft.com/office/2011/relationships/chartColorStyle" Target="colors19.xml"/><Relationship Id="rId1" Type="http://schemas.microsoft.com/office/2011/relationships/chartStyle" Target="style19.xml"/></Relationships>
</file>

<file path=word/charts/_rels/chart23.xml.rels><?xml version="1.0" encoding="UTF-8" standalone="yes"?>
<Relationships xmlns="http://schemas.openxmlformats.org/package/2006/relationships"><Relationship Id="rId3" Type="http://schemas.openxmlformats.org/officeDocument/2006/relationships/oleObject" Target="file:///Z:\FCH%20DMS\10.%20NEW%20HORIZONTAL%20&amp;%20ONGOING%20ISSUES\AAR%202021%20-%20Working%20file\HR%20charts%202022.xlsx" TargetMode="External"/><Relationship Id="rId2" Type="http://schemas.microsoft.com/office/2011/relationships/chartColorStyle" Target="colors20.xml"/><Relationship Id="rId1" Type="http://schemas.microsoft.com/office/2011/relationships/chartStyle" Target="style20.xml"/></Relationships>
</file>

<file path=word/charts/_rels/chart24.xml.rels><?xml version="1.0" encoding="UTF-8" standalone="yes"?>
<Relationships xmlns="http://schemas.openxmlformats.org/package/2006/relationships"><Relationship Id="rId3" Type="http://schemas.openxmlformats.org/officeDocument/2006/relationships/oleObject" Target="file:///Z:\FCH%20DMS\10.%20NEW%20HORIZONTAL%20&amp;%20ONGOING%20ISSUES\AAR%202021%20-%20Working%20file\HR%20charts%202022.xlsx" TargetMode="External"/><Relationship Id="rId2" Type="http://schemas.microsoft.com/office/2011/relationships/chartColorStyle" Target="colors21.xml"/><Relationship Id="rId1" Type="http://schemas.microsoft.com/office/2011/relationships/chartStyle" Target="style21.xml"/></Relationships>
</file>

<file path=word/charts/_rels/chart25.xml.rels><?xml version="1.0" encoding="UTF-8" standalone="yes"?>
<Relationships xmlns="http://schemas.openxmlformats.org/package/2006/relationships"><Relationship Id="rId3" Type="http://schemas.openxmlformats.org/officeDocument/2006/relationships/oleObject" Target="file:///Z:\FCH%20DMS\ID2\415F070B-0284-41BE-A1EB-A596F8C1DCB5\0\13378000-13378999\13378860\L\L\Additional%20table%20for%20audit%20coverage%20(ID%2013378860).xlsx" TargetMode="External"/><Relationship Id="rId2" Type="http://schemas.microsoft.com/office/2011/relationships/chartColorStyle" Target="colors22.xml"/><Relationship Id="rId1" Type="http://schemas.microsoft.com/office/2011/relationships/chartStyle" Target="style22.xml"/></Relationships>
</file>

<file path=word/charts/_rels/chart26.xml.rels><?xml version="1.0" encoding="UTF-8" standalone="yes"?>
<Relationships xmlns="http://schemas.openxmlformats.org/package/2006/relationships"><Relationship Id="rId3" Type="http://schemas.openxmlformats.org/officeDocument/2006/relationships/oleObject" Target="file:///Z:\FCH%20DMS\ID2\415F070B-0284-41BE-A1EB-A596F8C1DCB5\0\13264000-13264999\13264569\L\L\Tables%20-%20Audits%20+%20IKOP%20+%20IKAA%20(ID%2013264569).xlsx" TargetMode="External"/><Relationship Id="rId2" Type="http://schemas.microsoft.com/office/2011/relationships/chartColorStyle" Target="colors23.xml"/><Relationship Id="rId1" Type="http://schemas.microsoft.com/office/2011/relationships/chartStyle" Target="style23.xml"/></Relationships>
</file>

<file path=word/charts/_rels/chart27.xml.rels><?xml version="1.0" encoding="UTF-8" standalone="yes"?>
<Relationships xmlns="http://schemas.openxmlformats.org/package/2006/relationships"><Relationship Id="rId3" Type="http://schemas.openxmlformats.org/officeDocument/2006/relationships/oleObject" Target="file:///Z:\FCH%20DMS\ID2\415F070B-0284-41BE-A1EB-A596F8C1DCB5\0\13264000-13264999\13264569\L\L\Tables%20-%20Audits%20+%20IKOP%20+%20IKAA%20(ID%2013264569).xlsx" TargetMode="External"/><Relationship Id="rId2" Type="http://schemas.microsoft.com/office/2011/relationships/chartColorStyle" Target="colors24.xml"/><Relationship Id="rId1" Type="http://schemas.microsoft.com/office/2011/relationships/chartStyle" Target="style24.xml"/></Relationships>
</file>

<file path=word/charts/_rels/chart28.xml.rels><?xml version="1.0" encoding="UTF-8" standalone="yes"?>
<Relationships xmlns="http://schemas.openxmlformats.org/package/2006/relationships"><Relationship Id="rId3" Type="http://schemas.openxmlformats.org/officeDocument/2006/relationships/oleObject" Target="file:///Z:\FCH%20DMS\ID2\415F070B-0284-41BE-A1EB-A596F8C1DCB5\0\13264000-13264999\13264569\L\L\Tables%20-%20Audits%20+%20IKOP%20+%20IKAA%20(ID%2013264569).xlsx" TargetMode="External"/><Relationship Id="rId2" Type="http://schemas.microsoft.com/office/2011/relationships/chartColorStyle" Target="colors25.xml"/><Relationship Id="rId1" Type="http://schemas.microsoft.com/office/2011/relationships/chartStyle" Target="style25.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1" Type="http://schemas.openxmlformats.org/officeDocument/2006/relationships/oleObject" Target="file:///Z:\FCH%20DMS\ID2\415F070B-0284-41BE-A1EB-A596F8C1DCB5\0\12801000-12801999\12801538\L\L\AAR2021%20-%20IRdata%20(ID%2012801538).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Z:\FCH%20DMS\ID2\415F070B-0284-41BE-A1EB-A596F8C1DCB5\0\12801000-12801999\12801538\L\L\AAR2021%20-%20IRdata%20(ID%2012801538).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Z:\FCH%20DMS\ID2\415F070B-0284-41BE-A1EB-A596F8C1DCB5\0\12801000-12801999\12801538\L\L\AAR2021%20-%20IRdata%20(ID%2012801538).xlsx" TargetMode="External"/></Relationships>
</file>

<file path=word/charts/_rels/chart7.xml.rels><?xml version="1.0" encoding="UTF-8" standalone="yes"?>
<Relationships xmlns="http://schemas.openxmlformats.org/package/2006/relationships"><Relationship Id="rId3" Type="http://schemas.openxmlformats.org/officeDocument/2006/relationships/oleObject" Target="file:///Z:\FCH%20DMS\ID2\415F070B-0284-41BE-A1EB-A596F8C1DCB5\0\11302000-11302999\11302066\L\L\D&amp;E%20-%20EU%20SURVEY%202021_rev%20(ID%2011302066).xlsx" TargetMode="External"/><Relationship Id="rId2" Type="http://schemas.microsoft.com/office/2011/relationships/chartColorStyle" Target="colors4.xml"/><Relationship Id="rId1" Type="http://schemas.microsoft.com/office/2011/relationships/chartStyle" Target="style4.xml"/></Relationships>
</file>

<file path=word/charts/_rels/chart8.xml.rels><?xml version="1.0" encoding="UTF-8" standalone="yes"?>
<Relationships xmlns="http://schemas.openxmlformats.org/package/2006/relationships"><Relationship Id="rId3" Type="http://schemas.openxmlformats.org/officeDocument/2006/relationships/oleObject" Target="file:///Z:\FCH%20DMS\ID2\415F070B-0284-41BE-A1EB-A596F8C1DCB5\0\11302000-11302999\11302066\L\L\D&amp;E%20-%20EU%20SURVEY%202021_rev%20(ID%2011302066).xlsx" TargetMode="External"/><Relationship Id="rId2" Type="http://schemas.microsoft.com/office/2011/relationships/chartColorStyle" Target="colors5.xml"/><Relationship Id="rId1" Type="http://schemas.microsoft.com/office/2011/relationships/chartStyle" Target="style5.xml"/></Relationships>
</file>

<file path=word/charts/_rels/chart9.xml.rels><?xml version="1.0" encoding="UTF-8" standalone="yes"?>
<Relationships xmlns="http://schemas.openxmlformats.org/package/2006/relationships"><Relationship Id="rId3" Type="http://schemas.openxmlformats.org/officeDocument/2006/relationships/oleObject" Target="file:///Z:\FCH%20DMS\ID2\415F070B-0284-41BE-A1EB-A596F8C1DCB5\0\11302000-11302999\11302066\L\L\D&amp;E%20-%20EU%20SURVEY%202021_rev%20(ID%2011302066).xlsx" TargetMode="External"/><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r>
              <a:rPr lang="en-US"/>
              <a:t>Total private - public investments in JU actions per Calls</a:t>
            </a:r>
            <a:r>
              <a:rPr lang="en-US" baseline="0"/>
              <a:t> </a:t>
            </a:r>
            <a:r>
              <a:rPr lang="en-US"/>
              <a:t>2014 - 2020 in million EUR</a:t>
            </a:r>
          </a:p>
        </c:rich>
      </c:tx>
      <c:layout>
        <c:manualLayout>
          <c:xMode val="edge"/>
          <c:yMode val="edge"/>
          <c:x val="0.14279722382154597"/>
          <c:y val="2.7777777777777776E-2"/>
        </c:manualLayout>
      </c:layout>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'Chart 1.1.1 and 1.2.1'!$B$3</c:f>
              <c:strCache>
                <c:ptCount val="1"/>
                <c:pt idx="0">
                  <c:v>Private - public partnership in 2014 - 2020 - million EUR in contributions in 134 projects in total</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'Chart 1.1.1 and 1.2.1'!$A$4:$A$10</c:f>
              <c:numCache>
                <c:formatCode>General</c:formatCode>
                <c:ptCount val="7"/>
                <c:pt idx="0">
                  <c:v>2014</c:v>
                </c:pt>
                <c:pt idx="1">
                  <c:v>2015</c:v>
                </c:pt>
                <c:pt idx="2">
                  <c:v>2016</c:v>
                </c:pt>
                <c:pt idx="3">
                  <c:v>2017</c:v>
                </c:pt>
                <c:pt idx="4">
                  <c:v>2018</c:v>
                </c:pt>
                <c:pt idx="5">
                  <c:v>2019</c:v>
                </c:pt>
                <c:pt idx="6">
                  <c:v>2020</c:v>
                </c:pt>
              </c:numCache>
            </c:numRef>
          </c:cat>
          <c:val>
            <c:numRef>
              <c:f>'Chart 1.1.1 and 1.2.1'!$B$4:$B$10</c:f>
              <c:numCache>
                <c:formatCode>#,##0.00</c:formatCode>
                <c:ptCount val="7"/>
                <c:pt idx="0">
                  <c:v>127.310946</c:v>
                </c:pt>
                <c:pt idx="1">
                  <c:v>227.25470243999999</c:v>
                </c:pt>
                <c:pt idx="2">
                  <c:v>175.75606826000001</c:v>
                </c:pt>
                <c:pt idx="3">
                  <c:v>231.65075260000006</c:v>
                </c:pt>
                <c:pt idx="4">
                  <c:v>124.33306820999999</c:v>
                </c:pt>
                <c:pt idx="5">
                  <c:v>154.63824684000002</c:v>
                </c:pt>
                <c:pt idx="6">
                  <c:v>139.35233457000001</c:v>
                </c:pt>
              </c:numCache>
            </c:numRef>
          </c:val>
          <c:extLst>
            <c:ext xmlns:c16="http://schemas.microsoft.com/office/drawing/2014/chart" uri="{C3380CC4-5D6E-409C-BE32-E72D297353CC}">
              <c16:uniqueId val="{00000000-495C-4F33-B724-3E68C47914CC}"/>
            </c:ext>
          </c:extLst>
        </c:ser>
        <c:dLbls>
          <c:dLblPos val="inEnd"/>
          <c:showLegendKey val="0"/>
          <c:showVal val="1"/>
          <c:showCatName val="0"/>
          <c:showSerName val="0"/>
          <c:showPercent val="0"/>
          <c:showBubbleSize val="0"/>
        </c:dLbls>
        <c:gapWidth val="41"/>
        <c:axId val="244288080"/>
        <c:axId val="244294320"/>
      </c:barChart>
      <c:catAx>
        <c:axId val="2442880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244294320"/>
        <c:crosses val="autoZero"/>
        <c:auto val="1"/>
        <c:lblAlgn val="ctr"/>
        <c:lblOffset val="100"/>
        <c:noMultiLvlLbl val="0"/>
      </c:catAx>
      <c:valAx>
        <c:axId val="244294320"/>
        <c:scaling>
          <c:orientation val="minMax"/>
        </c:scaling>
        <c:delete val="1"/>
        <c:axPos val="l"/>
        <c:numFmt formatCode="#,##0.00" sourceLinked="1"/>
        <c:majorTickMark val="none"/>
        <c:minorTickMark val="none"/>
        <c:tickLblPos val="nextTo"/>
        <c:crossAx val="244288080"/>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[D&amp;E - EU SURVEY 2021_rev (ID 11302066).xlsx]Expl_Analysis!PivotTable12</c:name>
    <c:fmtId val="-1"/>
  </c:pivotSource>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b="1"/>
              <a:t>Potential of Key Explotable Results</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w="19050">
            <a:solidFill>
              <a:schemeClr val="lt1"/>
            </a:solidFill>
          </a:ln>
          <a:effectLst/>
        </c:spPr>
        <c:marker>
          <c:symbol val="none"/>
        </c:marker>
        <c:dLbl>
          <c:idx val="0"/>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Lst>
        </c:dLbl>
      </c:pivotFmt>
      <c:pivotFmt>
        <c:idx val="1"/>
        <c:spPr>
          <a:solidFill>
            <a:schemeClr val="accent1"/>
          </a:solidFill>
          <a:ln w="19050">
            <a:solidFill>
              <a:schemeClr val="lt1"/>
            </a:solidFill>
          </a:ln>
          <a:effectLst/>
        </c:spPr>
      </c:pivotFmt>
      <c:pivotFmt>
        <c:idx val="2"/>
        <c:spPr>
          <a:solidFill>
            <a:schemeClr val="accent1"/>
          </a:solidFill>
          <a:ln w="19050">
            <a:solidFill>
              <a:schemeClr val="lt1"/>
            </a:solidFill>
          </a:ln>
          <a:effectLst/>
        </c:spPr>
      </c:pivotFmt>
      <c:pivotFmt>
        <c:idx val="3"/>
        <c:spPr>
          <a:solidFill>
            <a:schemeClr val="accent1"/>
          </a:solidFill>
          <a:ln w="19050">
            <a:solidFill>
              <a:schemeClr val="lt1"/>
            </a:solidFill>
          </a:ln>
          <a:effectLst/>
        </c:spPr>
      </c:pivotFmt>
      <c:pivotFmt>
        <c:idx val="4"/>
        <c:spPr>
          <a:solidFill>
            <a:schemeClr val="accent1"/>
          </a:solidFill>
          <a:ln w="19050">
            <a:solidFill>
              <a:schemeClr val="lt1"/>
            </a:solidFill>
          </a:ln>
          <a:effectLst/>
        </c:spPr>
      </c:pivotFmt>
      <c:pivotFmt>
        <c:idx val="5"/>
        <c:spPr>
          <a:solidFill>
            <a:schemeClr val="accent1"/>
          </a:solidFill>
          <a:ln w="19050">
            <a:solidFill>
              <a:schemeClr val="lt1"/>
            </a:solidFill>
          </a:ln>
          <a:effectLst/>
        </c:spPr>
      </c:pivotFmt>
      <c:pivotFmt>
        <c:idx val="6"/>
        <c:spPr>
          <a:solidFill>
            <a:schemeClr val="accent1"/>
          </a:solidFill>
          <a:ln w="19050">
            <a:solidFill>
              <a:schemeClr val="lt1"/>
            </a:solidFill>
          </a:ln>
          <a:effectLst/>
        </c:spPr>
      </c:pivotFmt>
      <c:pivotFmt>
        <c:idx val="7"/>
        <c:spPr>
          <a:solidFill>
            <a:schemeClr val="accent1"/>
          </a:solidFill>
          <a:ln w="19050">
            <a:solidFill>
              <a:schemeClr val="lt1"/>
            </a:solidFill>
          </a:ln>
          <a:effectLst/>
        </c:spPr>
        <c:marker>
          <c:symbol val="none"/>
        </c:marker>
        <c:dLbl>
          <c:idx val="0"/>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eparator>
</c:separator>
          <c:extLst>
            <c:ext xmlns:c15="http://schemas.microsoft.com/office/drawing/2012/chart" uri="{CE6537A1-D6FC-4f65-9D91-7224C49458BB}"/>
          </c:extLst>
        </c:dLbl>
      </c:pivotFmt>
      <c:pivotFmt>
        <c:idx val="8"/>
        <c:spPr>
          <a:solidFill>
            <a:schemeClr val="accent1"/>
          </a:solidFill>
          <a:ln w="19050">
            <a:solidFill>
              <a:schemeClr val="lt1"/>
            </a:solidFill>
          </a:ln>
          <a:effectLst/>
        </c:spPr>
      </c:pivotFmt>
      <c:pivotFmt>
        <c:idx val="9"/>
        <c:spPr>
          <a:solidFill>
            <a:schemeClr val="accent1"/>
          </a:solidFill>
          <a:ln w="19050">
            <a:solidFill>
              <a:schemeClr val="lt1"/>
            </a:solidFill>
          </a:ln>
          <a:effectLst/>
        </c:spPr>
      </c:pivotFmt>
      <c:pivotFmt>
        <c:idx val="10"/>
        <c:spPr>
          <a:solidFill>
            <a:schemeClr val="accent1"/>
          </a:solidFill>
          <a:ln w="19050">
            <a:solidFill>
              <a:schemeClr val="lt1"/>
            </a:solidFill>
          </a:ln>
          <a:effectLst/>
        </c:spPr>
      </c:pivotFmt>
      <c:pivotFmt>
        <c:idx val="11"/>
        <c:spPr>
          <a:solidFill>
            <a:schemeClr val="accent1"/>
          </a:solidFill>
          <a:ln w="19050">
            <a:solidFill>
              <a:schemeClr val="lt1"/>
            </a:solidFill>
          </a:ln>
          <a:effectLst/>
        </c:spPr>
      </c:pivotFmt>
      <c:pivotFmt>
        <c:idx val="12"/>
        <c:spPr>
          <a:solidFill>
            <a:schemeClr val="accent1"/>
          </a:solidFill>
          <a:ln w="19050">
            <a:solidFill>
              <a:schemeClr val="lt1"/>
            </a:solidFill>
          </a:ln>
          <a:effectLst/>
        </c:spPr>
      </c:pivotFmt>
      <c:pivotFmt>
        <c:idx val="13"/>
        <c:spPr>
          <a:solidFill>
            <a:schemeClr val="accent1"/>
          </a:solidFill>
          <a:ln w="19050">
            <a:solidFill>
              <a:schemeClr val="lt1"/>
            </a:solidFill>
          </a:ln>
          <a:effectLst/>
        </c:spPr>
        <c:marker>
          <c:symbol val="none"/>
        </c:marker>
        <c:dLbl>
          <c:idx val="0"/>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eparator>
</c:separator>
          <c:extLst>
            <c:ext xmlns:c15="http://schemas.microsoft.com/office/drawing/2012/chart" uri="{CE6537A1-D6FC-4f65-9D91-7224C49458BB}"/>
          </c:extLst>
        </c:dLbl>
      </c:pivotFmt>
      <c:pivotFmt>
        <c:idx val="14"/>
        <c:spPr>
          <a:solidFill>
            <a:schemeClr val="accent1"/>
          </a:solidFill>
          <a:ln w="19050">
            <a:solidFill>
              <a:schemeClr val="lt1"/>
            </a:solidFill>
          </a:ln>
          <a:effectLst/>
        </c:spPr>
      </c:pivotFmt>
      <c:pivotFmt>
        <c:idx val="15"/>
        <c:spPr>
          <a:solidFill>
            <a:schemeClr val="accent1"/>
          </a:solidFill>
          <a:ln w="19050">
            <a:solidFill>
              <a:schemeClr val="lt1"/>
            </a:solidFill>
          </a:ln>
          <a:effectLst/>
        </c:spPr>
      </c:pivotFmt>
      <c:pivotFmt>
        <c:idx val="16"/>
        <c:spPr>
          <a:solidFill>
            <a:schemeClr val="accent1"/>
          </a:solidFill>
          <a:ln w="19050">
            <a:solidFill>
              <a:schemeClr val="lt1"/>
            </a:solidFill>
          </a:ln>
          <a:effectLst/>
        </c:spPr>
      </c:pivotFmt>
      <c:pivotFmt>
        <c:idx val="17"/>
        <c:spPr>
          <a:solidFill>
            <a:schemeClr val="accent1"/>
          </a:solidFill>
          <a:ln w="19050">
            <a:solidFill>
              <a:schemeClr val="lt1"/>
            </a:solidFill>
          </a:ln>
          <a:effectLst/>
        </c:spPr>
      </c:pivotFmt>
      <c:pivotFmt>
        <c:idx val="18"/>
        <c:spPr>
          <a:solidFill>
            <a:schemeClr val="accent1"/>
          </a:solidFill>
          <a:ln w="19050">
            <a:solidFill>
              <a:schemeClr val="lt1"/>
            </a:solidFill>
          </a:ln>
          <a:effectLst/>
        </c:spPr>
        <c:marker>
          <c:symbol val="none"/>
        </c:marker>
        <c:dLbl>
          <c:idx val="0"/>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Lst>
        </c:dLbl>
      </c:pivotFmt>
      <c:pivotFmt>
        <c:idx val="19"/>
        <c:spPr>
          <a:solidFill>
            <a:schemeClr val="accent1"/>
          </a:solidFill>
          <a:ln w="19050">
            <a:solidFill>
              <a:schemeClr val="lt1"/>
            </a:solidFill>
          </a:ln>
          <a:effectLst/>
        </c:spPr>
      </c:pivotFmt>
      <c:pivotFmt>
        <c:idx val="20"/>
        <c:spPr>
          <a:solidFill>
            <a:schemeClr val="accent1"/>
          </a:solidFill>
          <a:ln w="19050">
            <a:solidFill>
              <a:schemeClr val="lt1"/>
            </a:solidFill>
          </a:ln>
          <a:effectLst/>
        </c:spPr>
      </c:pivotFmt>
      <c:pivotFmt>
        <c:idx val="21"/>
        <c:spPr>
          <a:solidFill>
            <a:schemeClr val="accent1"/>
          </a:solidFill>
          <a:ln w="19050">
            <a:solidFill>
              <a:schemeClr val="lt1"/>
            </a:solidFill>
          </a:ln>
          <a:effectLst/>
        </c:spPr>
      </c:pivotFmt>
      <c:pivotFmt>
        <c:idx val="22"/>
        <c:spPr>
          <a:solidFill>
            <a:schemeClr val="accent1"/>
          </a:solidFill>
          <a:ln w="19050">
            <a:solidFill>
              <a:schemeClr val="lt1"/>
            </a:solidFill>
          </a:ln>
          <a:effectLst/>
        </c:spPr>
      </c:pivotFmt>
      <c:pivotFmt>
        <c:idx val="23"/>
        <c:spPr>
          <a:solidFill>
            <a:schemeClr val="accent1"/>
          </a:solidFill>
          <a:ln w="19050">
            <a:solidFill>
              <a:schemeClr val="lt1"/>
            </a:solidFill>
          </a:ln>
          <a:effectLst/>
        </c:spPr>
        <c:marker>
          <c:symbol val="none"/>
        </c:marker>
        <c:dLbl>
          <c:idx val="0"/>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eparator>
</c:separator>
          <c:extLst>
            <c:ext xmlns:c15="http://schemas.microsoft.com/office/drawing/2012/chart" uri="{CE6537A1-D6FC-4f65-9D91-7224C49458BB}"/>
          </c:extLst>
        </c:dLbl>
      </c:pivotFmt>
      <c:pivotFmt>
        <c:idx val="24"/>
        <c:spPr>
          <a:solidFill>
            <a:schemeClr val="accent1"/>
          </a:solidFill>
          <a:ln w="19050">
            <a:solidFill>
              <a:schemeClr val="lt1"/>
            </a:solidFill>
          </a:ln>
          <a:effectLst/>
        </c:spPr>
      </c:pivotFmt>
      <c:pivotFmt>
        <c:idx val="25"/>
        <c:spPr>
          <a:solidFill>
            <a:schemeClr val="accent1"/>
          </a:solidFill>
          <a:ln w="19050">
            <a:solidFill>
              <a:schemeClr val="lt1"/>
            </a:solidFill>
          </a:ln>
          <a:effectLst/>
        </c:spPr>
      </c:pivotFmt>
      <c:pivotFmt>
        <c:idx val="26"/>
        <c:spPr>
          <a:solidFill>
            <a:schemeClr val="accent1"/>
          </a:solidFill>
          <a:ln w="19050">
            <a:solidFill>
              <a:schemeClr val="lt1"/>
            </a:solidFill>
          </a:ln>
          <a:effectLst/>
        </c:spPr>
      </c:pivotFmt>
      <c:pivotFmt>
        <c:idx val="27"/>
        <c:spPr>
          <a:solidFill>
            <a:schemeClr val="accent1"/>
          </a:solidFill>
          <a:ln w="19050">
            <a:solidFill>
              <a:schemeClr val="lt1"/>
            </a:solidFill>
          </a:ln>
          <a:effectLst/>
        </c:spPr>
      </c:pivotFmt>
      <c:pivotFmt>
        <c:idx val="28"/>
        <c:spPr>
          <a:solidFill>
            <a:schemeClr val="accent1"/>
          </a:solidFill>
          <a:ln w="19050">
            <a:solidFill>
              <a:schemeClr val="lt1"/>
            </a:solidFill>
          </a:ln>
          <a:effectLst/>
        </c:spPr>
        <c:marker>
          <c:symbol val="none"/>
        </c:marker>
        <c:dLbl>
          <c:idx val="0"/>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Lst>
        </c:dLbl>
      </c:pivotFmt>
      <c:pivotFmt>
        <c:idx val="29"/>
        <c:spPr>
          <a:solidFill>
            <a:schemeClr val="accent1"/>
          </a:solidFill>
          <a:ln w="19050">
            <a:solidFill>
              <a:schemeClr val="lt1"/>
            </a:solidFill>
          </a:ln>
          <a:effectLst/>
        </c:spPr>
      </c:pivotFmt>
      <c:pivotFmt>
        <c:idx val="30"/>
        <c:spPr>
          <a:solidFill>
            <a:schemeClr val="accent1"/>
          </a:solidFill>
          <a:ln w="19050">
            <a:solidFill>
              <a:schemeClr val="lt1"/>
            </a:solidFill>
          </a:ln>
          <a:effectLst/>
        </c:spPr>
      </c:pivotFmt>
      <c:pivotFmt>
        <c:idx val="31"/>
        <c:spPr>
          <a:solidFill>
            <a:schemeClr val="accent1"/>
          </a:solidFill>
          <a:ln w="19050">
            <a:solidFill>
              <a:schemeClr val="lt1"/>
            </a:solidFill>
          </a:ln>
          <a:effectLst/>
        </c:spPr>
      </c:pivotFmt>
      <c:pivotFmt>
        <c:idx val="32"/>
        <c:spPr>
          <a:solidFill>
            <a:schemeClr val="accent1"/>
          </a:solidFill>
          <a:ln w="19050">
            <a:solidFill>
              <a:schemeClr val="lt1"/>
            </a:solidFill>
          </a:ln>
          <a:effectLst/>
        </c:spPr>
      </c:pivotFmt>
    </c:pivotFmts>
    <c:plotArea>
      <c:layout/>
      <c:pieChart>
        <c:varyColors val="1"/>
        <c:ser>
          <c:idx val="0"/>
          <c:order val="0"/>
          <c:tx>
            <c:strRef>
              <c:f>Expl_Analysis!$I$4</c:f>
              <c:strCache>
                <c:ptCount val="1"/>
                <c:pt idx="0">
                  <c:v>Count of Projects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469-4E28-BE67-F93BCF564A1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469-4E28-BE67-F93BCF564A1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469-4E28-BE67-F93BCF564A1E}"/>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5469-4E28-BE67-F93BCF564A1E}"/>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5469-4E28-BE67-F93BCF564A1E}"/>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5469-4E28-BE67-F93BCF564A1E}"/>
              </c:ext>
            </c:extLst>
          </c:dPt>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Expl_Analysis!$H$5:$H$9</c:f>
              <c:strCache>
                <c:ptCount val="4"/>
                <c:pt idx="0">
                  <c:v>Technological, business or economic </c:v>
                </c:pt>
                <c:pt idx="1">
                  <c:v>Scientific</c:v>
                </c:pt>
                <c:pt idx="2">
                  <c:v>Societal</c:v>
                </c:pt>
                <c:pt idx="3">
                  <c:v>Policy or regulatory</c:v>
                </c:pt>
              </c:strCache>
            </c:strRef>
          </c:cat>
          <c:val>
            <c:numRef>
              <c:f>Expl_Analysis!$I$5:$I$9</c:f>
              <c:numCache>
                <c:formatCode>General</c:formatCode>
                <c:ptCount val="4"/>
                <c:pt idx="0">
                  <c:v>26</c:v>
                </c:pt>
                <c:pt idx="1">
                  <c:v>4</c:v>
                </c:pt>
                <c:pt idx="2">
                  <c:v>2</c:v>
                </c:pt>
                <c:pt idx="3">
                  <c:v>1</c:v>
                </c:pt>
              </c:numCache>
            </c:numRef>
          </c:val>
          <c:extLst>
            <c:ext xmlns:c16="http://schemas.microsoft.com/office/drawing/2014/chart" uri="{C3380CC4-5D6E-409C-BE32-E72D297353CC}">
              <c16:uniqueId val="{0000000C-5469-4E28-BE67-F93BCF564A1E}"/>
            </c:ext>
          </c:extLst>
        </c:ser>
        <c:ser>
          <c:idx val="1"/>
          <c:order val="1"/>
          <c:tx>
            <c:strRef>
              <c:f>Expl_Analysis!$J$4</c:f>
              <c:strCache>
                <c:ptCount val="1"/>
                <c:pt idx="0">
                  <c:v>Count of Result Potential</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E-5469-4E28-BE67-F93BCF564A1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10-5469-4E28-BE67-F93BCF564A1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12-5469-4E28-BE67-F93BCF564A1E}"/>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14-5469-4E28-BE67-F93BCF564A1E}"/>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16-5469-4E28-BE67-F93BCF564A1E}"/>
              </c:ext>
            </c:extLst>
          </c:dPt>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Expl_Analysis!$H$5:$H$9</c:f>
              <c:strCache>
                <c:ptCount val="4"/>
                <c:pt idx="0">
                  <c:v>Technological, business or economic </c:v>
                </c:pt>
                <c:pt idx="1">
                  <c:v>Scientific</c:v>
                </c:pt>
                <c:pt idx="2">
                  <c:v>Societal</c:v>
                </c:pt>
                <c:pt idx="3">
                  <c:v>Policy or regulatory</c:v>
                </c:pt>
              </c:strCache>
            </c:strRef>
          </c:cat>
          <c:val>
            <c:numRef>
              <c:f>Expl_Analysis!$J$5:$J$9</c:f>
              <c:numCache>
                <c:formatCode>General</c:formatCode>
                <c:ptCount val="4"/>
                <c:pt idx="0">
                  <c:v>57</c:v>
                </c:pt>
                <c:pt idx="1">
                  <c:v>9</c:v>
                </c:pt>
                <c:pt idx="2">
                  <c:v>5</c:v>
                </c:pt>
                <c:pt idx="3">
                  <c:v>2</c:v>
                </c:pt>
              </c:numCache>
            </c:numRef>
          </c:val>
          <c:extLst>
            <c:ext xmlns:c16="http://schemas.microsoft.com/office/drawing/2014/chart" uri="{C3380CC4-5D6E-409C-BE32-E72D297353CC}">
              <c16:uniqueId val="{00000017-5469-4E28-BE67-F93BCF564A1E}"/>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[D&amp;E - EU SURVEY 2021_rev (ID 11302066).xlsx]Expl_Analysis!PivotTable6</c:name>
    <c:fmtId val="-1"/>
  </c:pivotSource>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b="1"/>
              <a:t>Market Maturity</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w="19050">
            <a:solidFill>
              <a:schemeClr val="lt1"/>
            </a:solidFill>
          </a:ln>
          <a:effectLst/>
        </c:spPr>
        <c:marker>
          <c:symbol val="none"/>
        </c:marker>
        <c:dLbl>
          <c:idx val="0"/>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1"/>
        <c:spPr>
          <a:solidFill>
            <a:schemeClr val="accent1"/>
          </a:solidFill>
          <a:ln w="19050">
            <a:solidFill>
              <a:schemeClr val="lt1"/>
            </a:solidFill>
          </a:ln>
          <a:effectLst/>
        </c:spPr>
        <c:dLbl>
          <c:idx val="0"/>
          <c:layout>
            <c:manualLayout>
              <c:x val="-6.6646675079275727E-2"/>
              <c:y val="8.0228457358323207E-2"/>
            </c:manualLayout>
          </c:layout>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2"/>
        <c:spPr>
          <a:solidFill>
            <a:schemeClr val="accent1"/>
          </a:solidFill>
          <a:ln w="19050">
            <a:solidFill>
              <a:schemeClr val="lt1"/>
            </a:solidFill>
          </a:ln>
          <a:effectLst/>
        </c:spPr>
      </c:pivotFmt>
      <c:pivotFmt>
        <c:idx val="3"/>
        <c:spPr>
          <a:solidFill>
            <a:schemeClr val="accent1"/>
          </a:solidFill>
          <a:ln w="19050">
            <a:solidFill>
              <a:schemeClr val="lt1"/>
            </a:solidFill>
          </a:ln>
          <a:effectLst/>
        </c:spPr>
      </c:pivotFmt>
      <c:pivotFmt>
        <c:idx val="4"/>
        <c:spPr>
          <a:solidFill>
            <a:schemeClr val="accent1"/>
          </a:solidFill>
          <a:ln w="19050">
            <a:solidFill>
              <a:schemeClr val="lt1"/>
            </a:solidFill>
          </a:ln>
          <a:effectLst/>
        </c:spPr>
      </c:pivotFmt>
      <c:pivotFmt>
        <c:idx val="5"/>
        <c:spPr>
          <a:solidFill>
            <a:schemeClr val="accent1"/>
          </a:solidFill>
          <a:ln w="19050">
            <a:solidFill>
              <a:schemeClr val="lt1"/>
            </a:solidFill>
          </a:ln>
          <a:effectLst/>
        </c:spPr>
        <c:marker>
          <c:symbol val="none"/>
        </c:marker>
        <c:dLbl>
          <c:idx val="0"/>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6"/>
        <c:spPr>
          <a:solidFill>
            <a:schemeClr val="accent1"/>
          </a:solidFill>
          <a:ln w="19050">
            <a:solidFill>
              <a:schemeClr val="lt1"/>
            </a:solidFill>
          </a:ln>
          <a:effectLst/>
        </c:spPr>
      </c:pivotFmt>
      <c:pivotFmt>
        <c:idx val="7"/>
        <c:spPr>
          <a:solidFill>
            <a:schemeClr val="accent1"/>
          </a:solidFill>
          <a:ln w="19050">
            <a:solidFill>
              <a:schemeClr val="lt1"/>
            </a:solidFill>
          </a:ln>
          <a:effectLst/>
        </c:spPr>
        <c:dLbl>
          <c:idx val="0"/>
          <c:layout>
            <c:manualLayout>
              <c:x val="-6.6646675079275727E-2"/>
              <c:y val="8.0228457358323207E-2"/>
            </c:manualLayout>
          </c:layout>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8"/>
        <c:spPr>
          <a:solidFill>
            <a:schemeClr val="accent1"/>
          </a:solidFill>
          <a:ln w="19050">
            <a:solidFill>
              <a:schemeClr val="lt1"/>
            </a:solidFill>
          </a:ln>
          <a:effectLst/>
        </c:spPr>
      </c:pivotFmt>
      <c:pivotFmt>
        <c:idx val="9"/>
        <c:spPr>
          <a:solidFill>
            <a:schemeClr val="accent1"/>
          </a:solidFill>
          <a:ln w="19050">
            <a:solidFill>
              <a:schemeClr val="lt1"/>
            </a:solidFill>
          </a:ln>
          <a:effectLst/>
        </c:spPr>
      </c:pivotFmt>
      <c:pivotFmt>
        <c:idx val="10"/>
        <c:spPr>
          <a:solidFill>
            <a:schemeClr val="accent1"/>
          </a:solidFill>
          <a:ln w="19050">
            <a:solidFill>
              <a:schemeClr val="lt1"/>
            </a:solidFill>
          </a:ln>
          <a:effectLst/>
        </c:spPr>
        <c:marker>
          <c:symbol val="none"/>
        </c:marker>
        <c:dLbl>
          <c:idx val="0"/>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11"/>
        <c:spPr>
          <a:solidFill>
            <a:schemeClr val="accent1"/>
          </a:solidFill>
          <a:ln w="19050">
            <a:solidFill>
              <a:schemeClr val="lt1"/>
            </a:solidFill>
          </a:ln>
          <a:effectLst/>
        </c:spPr>
      </c:pivotFmt>
      <c:pivotFmt>
        <c:idx val="12"/>
        <c:spPr>
          <a:solidFill>
            <a:schemeClr val="accent1"/>
          </a:solidFill>
          <a:ln w="19050">
            <a:solidFill>
              <a:schemeClr val="lt1"/>
            </a:solidFill>
          </a:ln>
          <a:effectLst/>
        </c:spPr>
        <c:dLbl>
          <c:idx val="0"/>
          <c:layout>
            <c:manualLayout>
              <c:x val="-6.6646675079275727E-2"/>
              <c:y val="8.0228457358323207E-2"/>
            </c:manualLayout>
          </c:layout>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13"/>
        <c:spPr>
          <a:solidFill>
            <a:schemeClr val="accent1"/>
          </a:solidFill>
          <a:ln w="19050">
            <a:solidFill>
              <a:schemeClr val="lt1"/>
            </a:solidFill>
          </a:ln>
          <a:effectLst/>
        </c:spPr>
      </c:pivotFmt>
      <c:pivotFmt>
        <c:idx val="14"/>
        <c:spPr>
          <a:solidFill>
            <a:schemeClr val="accent1"/>
          </a:solidFill>
          <a:ln w="19050">
            <a:solidFill>
              <a:schemeClr val="lt1"/>
            </a:solidFill>
          </a:ln>
          <a:effectLst/>
        </c:spPr>
      </c:pivotFmt>
    </c:pivotFmts>
    <c:plotArea>
      <c:layout/>
      <c:pieChart>
        <c:varyColors val="1"/>
        <c:ser>
          <c:idx val="0"/>
          <c:order val="0"/>
          <c:tx>
            <c:strRef>
              <c:f>Expl_Analysis!$AH$5</c:f>
              <c:strCache>
                <c:ptCount val="1"/>
                <c:pt idx="0">
                  <c:v>Total</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97F-4488-9404-8DB3E905B88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97F-4488-9404-8DB3E905B88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97F-4488-9404-8DB3E905B881}"/>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97F-4488-9404-8DB3E905B881}"/>
              </c:ext>
            </c:extLst>
          </c:dPt>
          <c:dLbls>
            <c:dLbl>
              <c:idx val="1"/>
              <c:layout>
                <c:manualLayout>
                  <c:x val="-6.6646675079275727E-2"/>
                  <c:y val="8.0228457358323207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E97F-4488-9404-8DB3E905B881}"/>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Expl_Analysis!$AG$6:$AG$10</c:f>
              <c:strCache>
                <c:ptCount val="4"/>
                <c:pt idx="0">
                  <c:v>Not existing: Not clear if a new market can be created</c:v>
                </c:pt>
                <c:pt idx="1">
                  <c:v>Market creating: potential for the creation of a new market</c:v>
                </c:pt>
                <c:pt idx="2">
                  <c:v>Emerging: Growing demand and few offerings</c:v>
                </c:pt>
                <c:pt idx="3">
                  <c:v>Mature: the market is already stupplied with similar products</c:v>
                </c:pt>
              </c:strCache>
            </c:strRef>
          </c:cat>
          <c:val>
            <c:numRef>
              <c:f>Expl_Analysis!$AH$6:$AH$10</c:f>
              <c:numCache>
                <c:formatCode>General</c:formatCode>
                <c:ptCount val="4"/>
                <c:pt idx="0">
                  <c:v>3</c:v>
                </c:pt>
                <c:pt idx="1">
                  <c:v>6</c:v>
                </c:pt>
                <c:pt idx="2">
                  <c:v>27</c:v>
                </c:pt>
                <c:pt idx="3">
                  <c:v>6</c:v>
                </c:pt>
              </c:numCache>
            </c:numRef>
          </c:val>
          <c:extLst>
            <c:ext xmlns:c16="http://schemas.microsoft.com/office/drawing/2014/chart" uri="{C3380CC4-5D6E-409C-BE32-E72D297353CC}">
              <c16:uniqueId val="{00000008-E97F-4488-9404-8DB3E905B881}"/>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13694170786791185"/>
          <c:y val="0.71515008351228826"/>
          <c:w val="0.72611658426417625"/>
          <c:h val="0.2666680983058935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[D&amp;E - EU SURVEY 2021_rev (ID 11302066).xlsx]Expl_Analysis!PivotTable13</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Expected Impact</a:t>
            </a:r>
            <a:r>
              <a:rPr lang="en-US" b="1" baseline="0"/>
              <a:t> Time</a:t>
            </a:r>
            <a:endParaRPr lang="en-US" b="1"/>
          </a:p>
        </c:rich>
      </c:tx>
      <c:layout>
        <c:manualLayout>
          <c:xMode val="edge"/>
          <c:yMode val="edge"/>
          <c:x val="0.22750507099391482"/>
          <c:y val="2.145593869731800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Lst>
        </c:dLbl>
      </c:pivotFmt>
      <c:pivotFmt>
        <c:idx val="1"/>
        <c:spPr>
          <a:solidFill>
            <a:schemeClr val="accent1"/>
          </a:solidFill>
          <a:ln w="19050">
            <a:solidFill>
              <a:schemeClr val="lt1"/>
            </a:solidFill>
          </a:ln>
          <a:effectLst/>
        </c:spPr>
        <c:dLbl>
          <c:idx val="0"/>
          <c:layout>
            <c:manualLayout>
              <c:x val="0.19892191601049874"/>
              <c:y val="5.6027996500437445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Lst>
        </c:dLbl>
      </c:pivotFmt>
      <c:pivotFmt>
        <c:idx val="2"/>
        <c:spPr>
          <a:solidFill>
            <a:schemeClr val="accent1"/>
          </a:solidFill>
          <a:ln w="19050">
            <a:solidFill>
              <a:schemeClr val="lt1"/>
            </a:solidFill>
          </a:ln>
          <a:effectLst/>
        </c:spPr>
        <c:dLbl>
          <c:idx val="0"/>
          <c:layout>
            <c:manualLayout>
              <c:x val="-1.6943159882792411E-2"/>
              <c:y val="1.9890262585955023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11402777777777778"/>
                  <c:h val="0.27756962671332752"/>
                </c:manualLayout>
              </c15:layout>
            </c:ext>
          </c:extLst>
        </c:dLbl>
      </c:pivotFmt>
      <c:pivotFmt>
        <c:idx val="3"/>
        <c:spPr>
          <a:solidFill>
            <a:schemeClr val="accent1"/>
          </a:solidFill>
          <a:ln w="19050">
            <a:solidFill>
              <a:schemeClr val="lt1"/>
            </a:solidFill>
          </a:ln>
          <a:effectLst/>
        </c:spPr>
        <c:dLbl>
          <c:idx val="0"/>
          <c:layout>
            <c:manualLayout>
              <c:x val="0.10515157827493786"/>
              <c:y val="-0.11355185805394236"/>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Lst>
        </c:dLbl>
      </c:pivotFmt>
      <c:pivotFmt>
        <c:idx val="4"/>
        <c:spPr>
          <a:solidFill>
            <a:schemeClr val="accent1"/>
          </a:solidFill>
          <a:ln w="19050">
            <a:solidFill>
              <a:schemeClr val="lt1"/>
            </a:solidFill>
          </a:ln>
          <a:effectLst/>
        </c:spPr>
      </c:pivotFmt>
      <c:pivotFmt>
        <c:idx val="5"/>
        <c:spPr>
          <a:solidFill>
            <a:schemeClr val="accent1"/>
          </a:solidFill>
          <a:ln w="19050">
            <a:solidFill>
              <a:schemeClr val="lt1"/>
            </a:solidFill>
          </a:ln>
          <a:effectLst/>
        </c:spPr>
      </c:pivotFmt>
      <c:pivotFmt>
        <c:idx val="6"/>
        <c:spPr>
          <a:solidFill>
            <a:schemeClr val="accent1"/>
          </a:solidFill>
          <a:ln w="19050">
            <a:solidFill>
              <a:schemeClr val="lt1"/>
            </a:solidFill>
          </a:ln>
          <a:effectLst/>
        </c:spPr>
      </c:pivotFmt>
      <c:pivotFmt>
        <c:idx val="7"/>
        <c:spPr>
          <a:solidFill>
            <a:schemeClr val="accent1"/>
          </a:solidFill>
          <a:ln w="19050">
            <a:solidFill>
              <a:schemeClr val="lt1"/>
            </a:solidFill>
          </a:ln>
          <a:effectLst/>
        </c:spPr>
      </c:pivotFmt>
      <c:pivotFmt>
        <c:idx val="8"/>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Lst>
        </c:dLbl>
      </c:pivotFmt>
      <c:pivotFmt>
        <c:idx val="9"/>
        <c:spPr>
          <a:solidFill>
            <a:schemeClr val="accent1"/>
          </a:solidFill>
          <a:ln w="19050">
            <a:solidFill>
              <a:schemeClr val="lt1"/>
            </a:solidFill>
          </a:ln>
          <a:effectLst/>
        </c:spPr>
      </c:pivotFmt>
      <c:pivotFmt>
        <c:idx val="10"/>
        <c:spPr>
          <a:solidFill>
            <a:schemeClr val="accent1"/>
          </a:solidFill>
          <a:ln w="19050">
            <a:solidFill>
              <a:schemeClr val="lt1"/>
            </a:solidFill>
          </a:ln>
          <a:effectLst/>
        </c:spPr>
      </c:pivotFmt>
      <c:pivotFmt>
        <c:idx val="11"/>
        <c:spPr>
          <a:solidFill>
            <a:schemeClr val="accent1"/>
          </a:solidFill>
          <a:ln w="19050">
            <a:solidFill>
              <a:schemeClr val="lt1"/>
            </a:solidFill>
          </a:ln>
          <a:effectLst/>
        </c:spPr>
        <c:dLbl>
          <c:idx val="0"/>
          <c:layout>
            <c:manualLayout>
              <c:x val="0.10515157827493786"/>
              <c:y val="-0.11355185805394236"/>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Lst>
        </c:dLbl>
      </c:pivotFmt>
      <c:pivotFmt>
        <c:idx val="12"/>
        <c:spPr>
          <a:solidFill>
            <a:schemeClr val="accent1"/>
          </a:solidFill>
          <a:ln w="19050">
            <a:solidFill>
              <a:schemeClr val="lt1"/>
            </a:solidFill>
          </a:ln>
          <a:effectLst/>
        </c:spPr>
        <c:dLbl>
          <c:idx val="0"/>
          <c:layout>
            <c:manualLayout>
              <c:x val="0.19892191601049874"/>
              <c:y val="5.6027996500437445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Lst>
        </c:dLbl>
      </c:pivotFmt>
      <c:pivotFmt>
        <c:idx val="13"/>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Lst>
        </c:dLbl>
      </c:pivotFmt>
      <c:pivotFmt>
        <c:idx val="14"/>
        <c:spPr>
          <a:solidFill>
            <a:schemeClr val="accent1"/>
          </a:solidFill>
          <a:ln w="19050">
            <a:solidFill>
              <a:schemeClr val="lt1"/>
            </a:solidFill>
          </a:ln>
          <a:effectLst/>
        </c:spPr>
      </c:pivotFmt>
      <c:pivotFmt>
        <c:idx val="15"/>
        <c:spPr>
          <a:solidFill>
            <a:schemeClr val="accent1"/>
          </a:solidFill>
          <a:ln w="19050">
            <a:solidFill>
              <a:schemeClr val="lt1"/>
            </a:solidFill>
          </a:ln>
          <a:effectLst/>
        </c:spPr>
      </c:pivotFmt>
      <c:pivotFmt>
        <c:idx val="16"/>
        <c:spPr>
          <a:solidFill>
            <a:schemeClr val="accent1"/>
          </a:solidFill>
          <a:ln w="19050">
            <a:solidFill>
              <a:schemeClr val="lt1"/>
            </a:solidFill>
          </a:ln>
          <a:effectLst/>
        </c:spPr>
        <c:dLbl>
          <c:idx val="0"/>
          <c:layout>
            <c:manualLayout>
              <c:x val="0.10515157827493786"/>
              <c:y val="-0.11355185805394236"/>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Lst>
        </c:dLbl>
      </c:pivotFmt>
      <c:pivotFmt>
        <c:idx val="17"/>
        <c:spPr>
          <a:solidFill>
            <a:schemeClr val="accent1"/>
          </a:solidFill>
          <a:ln w="19050">
            <a:solidFill>
              <a:schemeClr val="lt1"/>
            </a:solidFill>
          </a:ln>
          <a:effectLst/>
        </c:spPr>
        <c:dLbl>
          <c:idx val="0"/>
          <c:layout>
            <c:manualLayout>
              <c:x val="0.19892191601049874"/>
              <c:y val="5.6027996500437445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Lst>
        </c:dLbl>
      </c:pivotFmt>
    </c:pivotFmts>
    <c:plotArea>
      <c:layout/>
      <c:pieChart>
        <c:varyColors val="1"/>
        <c:ser>
          <c:idx val="0"/>
          <c:order val="0"/>
          <c:tx>
            <c:strRef>
              <c:f>Expl_Analysis!$M$5</c:f>
              <c:strCache>
                <c:ptCount val="1"/>
                <c:pt idx="0">
                  <c:v>Total</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2CA-4E36-B8B8-9AC98DC8EF9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2CA-4E36-B8B8-9AC98DC8EF9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2CA-4E36-B8B8-9AC98DC8EF9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2CA-4E36-B8B8-9AC98DC8EF95}"/>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22CA-4E36-B8B8-9AC98DC8EF95}"/>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22CA-4E36-B8B8-9AC98DC8EF95}"/>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22CA-4E36-B8B8-9AC98DC8EF95}"/>
              </c:ext>
            </c:extLst>
          </c:dPt>
          <c:dLbls>
            <c:dLbl>
              <c:idx val="0"/>
              <c:layout>
                <c:manualLayout>
                  <c:x val="-0.18775870054782706"/>
                  <c:y val="-4.3874377771744105E-2"/>
                </c:manualLayout>
              </c:layout>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22CA-4E36-B8B8-9AC98DC8EF95}"/>
                </c:ext>
              </c:extLst>
            </c:dLbl>
            <c:dLbl>
              <c:idx val="1"/>
              <c:layout>
                <c:manualLayout>
                  <c:x val="0.17351934963504814"/>
                  <c:y val="2.4314719280779502E-2"/>
                </c:manualLayout>
              </c:layout>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2CA-4E36-B8B8-9AC98DC8EF95}"/>
                </c:ext>
              </c:extLst>
            </c:dLbl>
            <c:dLbl>
              <c:idx val="2"/>
              <c:layout>
                <c:manualLayout>
                  <c:x val="-0.11797224129945218"/>
                  <c:y val="-1.0794099013485383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22CA-4E36-B8B8-9AC98DC8EF95}"/>
                </c:ext>
              </c:extLst>
            </c:dLbl>
            <c:dLbl>
              <c:idx val="3"/>
              <c:layout>
                <c:manualLayout>
                  <c:x val="4.3922997800950554E-2"/>
                  <c:y val="1.618125320541829E-2"/>
                </c:manualLayout>
              </c:layout>
              <c:showLegendKey val="0"/>
              <c:showVal val="0"/>
              <c:showCatName val="1"/>
              <c:showSerName val="0"/>
              <c:showPercent val="1"/>
              <c:showBubbleSize val="0"/>
              <c:extLst>
                <c:ext xmlns:c15="http://schemas.microsoft.com/office/drawing/2012/chart" uri="{CE6537A1-D6FC-4f65-9D91-7224C49458BB}">
                  <c15:layout>
                    <c:manualLayout>
                      <c:w val="0.28801801801801796"/>
                      <c:h val="0.14387739463601532"/>
                    </c:manualLayout>
                  </c15:layout>
                </c:ext>
                <c:ext xmlns:c16="http://schemas.microsoft.com/office/drawing/2014/chart" uri="{C3380CC4-5D6E-409C-BE32-E72D297353CC}">
                  <c16:uniqueId val="{00000007-22CA-4E36-B8B8-9AC98DC8EF95}"/>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Expl_Analysis!$L$6:$L$10</c:f>
              <c:strCache>
                <c:ptCount val="4"/>
                <c:pt idx="0">
                  <c:v>1-5 years</c:v>
                </c:pt>
                <c:pt idx="1">
                  <c:v>Up to 12 months</c:v>
                </c:pt>
                <c:pt idx="2">
                  <c:v>5-10 years</c:v>
                </c:pt>
                <c:pt idx="3">
                  <c:v>More than 10 years</c:v>
                </c:pt>
              </c:strCache>
            </c:strRef>
          </c:cat>
          <c:val>
            <c:numRef>
              <c:f>Expl_Analysis!$M$6:$M$10</c:f>
              <c:numCache>
                <c:formatCode>General</c:formatCode>
                <c:ptCount val="4"/>
                <c:pt idx="0">
                  <c:v>28</c:v>
                </c:pt>
                <c:pt idx="1">
                  <c:v>19</c:v>
                </c:pt>
                <c:pt idx="2">
                  <c:v>2</c:v>
                </c:pt>
                <c:pt idx="3">
                  <c:v>1</c:v>
                </c:pt>
              </c:numCache>
            </c:numRef>
          </c:val>
          <c:extLst>
            <c:ext xmlns:c16="http://schemas.microsoft.com/office/drawing/2014/chart" uri="{C3380CC4-5D6E-409C-BE32-E72D297353CC}">
              <c16:uniqueId val="{0000000E-22CA-4E36-B8B8-9AC98DC8EF95}"/>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[D&amp;E - EU SURVEY 2021_rev (ID 11302066).xlsx]Expl_Analysis!PivotTable15</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Exploitation Activities (reported)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w="19050">
            <a:solidFill>
              <a:schemeClr val="lt1"/>
            </a:solidFill>
          </a:ln>
          <a:effectLst/>
        </c:spPr>
        <c:marker>
          <c:symbol val="none"/>
        </c:marker>
        <c:dLbl>
          <c:idx val="0"/>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1"/>
        <c:spPr>
          <a:solidFill>
            <a:schemeClr val="accent1"/>
          </a:solidFill>
          <a:ln w="19050">
            <a:solidFill>
              <a:schemeClr val="lt1"/>
            </a:solidFill>
          </a:ln>
          <a:effectLst/>
        </c:spPr>
      </c:pivotFmt>
      <c:pivotFmt>
        <c:idx val="2"/>
        <c:spPr>
          <a:solidFill>
            <a:schemeClr val="accent1"/>
          </a:solidFill>
          <a:ln w="19050">
            <a:solidFill>
              <a:schemeClr val="lt1"/>
            </a:solidFill>
          </a:ln>
          <a:effectLst/>
        </c:spPr>
      </c:pivotFmt>
      <c:pivotFmt>
        <c:idx val="3"/>
        <c:spPr>
          <a:solidFill>
            <a:schemeClr val="accent1"/>
          </a:solidFill>
          <a:ln w="19050">
            <a:solidFill>
              <a:schemeClr val="lt1"/>
            </a:solidFill>
          </a:ln>
          <a:effectLst/>
        </c:spPr>
      </c:pivotFmt>
      <c:pivotFmt>
        <c:idx val="4"/>
        <c:spPr>
          <a:solidFill>
            <a:schemeClr val="accent1"/>
          </a:solidFill>
          <a:ln w="19050">
            <a:solidFill>
              <a:schemeClr val="lt1"/>
            </a:solidFill>
          </a:ln>
          <a:effectLst/>
        </c:spPr>
      </c:pivotFmt>
      <c:pivotFmt>
        <c:idx val="5"/>
        <c:spPr>
          <a:solidFill>
            <a:schemeClr val="accent1"/>
          </a:solidFill>
          <a:ln w="19050">
            <a:solidFill>
              <a:schemeClr val="lt1"/>
            </a:solidFill>
          </a:ln>
          <a:effectLst/>
        </c:spPr>
      </c:pivotFmt>
      <c:pivotFmt>
        <c:idx val="6"/>
        <c:spPr>
          <a:solidFill>
            <a:schemeClr val="accent1"/>
          </a:solidFill>
          <a:ln w="19050">
            <a:solidFill>
              <a:schemeClr val="lt1"/>
            </a:solidFill>
          </a:ln>
          <a:effectLst/>
        </c:spPr>
      </c:pivotFmt>
      <c:pivotFmt>
        <c:idx val="7"/>
        <c:spPr>
          <a:solidFill>
            <a:schemeClr val="accent1"/>
          </a:solidFill>
          <a:ln w="19050">
            <a:solidFill>
              <a:schemeClr val="lt1"/>
            </a:solidFill>
          </a:ln>
          <a:effectLst/>
        </c:spPr>
      </c:pivotFmt>
      <c:pivotFmt>
        <c:idx val="8"/>
        <c:spPr>
          <a:solidFill>
            <a:schemeClr val="accent1"/>
          </a:solidFill>
          <a:ln w="19050">
            <a:solidFill>
              <a:schemeClr val="lt1"/>
            </a:solidFill>
          </a:ln>
          <a:effectLst/>
        </c:spPr>
      </c:pivotFmt>
      <c:pivotFmt>
        <c:idx val="9"/>
        <c:spPr>
          <a:solidFill>
            <a:schemeClr val="accent1"/>
          </a:solidFill>
          <a:ln w="19050">
            <a:solidFill>
              <a:schemeClr val="lt1"/>
            </a:solidFill>
          </a:ln>
          <a:effectLst/>
        </c:spPr>
      </c:pivotFmt>
      <c:pivotFmt>
        <c:idx val="10"/>
        <c:spPr>
          <a:solidFill>
            <a:schemeClr val="accent1"/>
          </a:solidFill>
          <a:ln w="19050">
            <a:solidFill>
              <a:schemeClr val="lt1"/>
            </a:solidFill>
          </a:ln>
          <a:effectLst/>
        </c:spPr>
      </c:pivotFmt>
      <c:pivotFmt>
        <c:idx val="11"/>
        <c:spPr>
          <a:solidFill>
            <a:schemeClr val="accent1"/>
          </a:solidFill>
          <a:ln w="19050">
            <a:solidFill>
              <a:schemeClr val="lt1"/>
            </a:solidFill>
          </a:ln>
          <a:effectLst/>
        </c:spPr>
      </c:pivotFmt>
      <c:pivotFmt>
        <c:idx val="12"/>
        <c:spPr>
          <a:solidFill>
            <a:schemeClr val="accent1"/>
          </a:solidFill>
          <a:ln w="19050">
            <a:solidFill>
              <a:schemeClr val="lt1"/>
            </a:solidFill>
          </a:ln>
          <a:effectLst/>
        </c:spPr>
        <c:marker>
          <c:symbol val="none"/>
        </c:marker>
        <c:dLbl>
          <c:idx val="0"/>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13"/>
        <c:spPr>
          <a:solidFill>
            <a:schemeClr val="accent1"/>
          </a:solidFill>
          <a:ln w="19050">
            <a:solidFill>
              <a:schemeClr val="lt1"/>
            </a:solidFill>
          </a:ln>
          <a:effectLst/>
        </c:spPr>
      </c:pivotFmt>
      <c:pivotFmt>
        <c:idx val="14"/>
        <c:spPr>
          <a:solidFill>
            <a:schemeClr val="accent1"/>
          </a:solidFill>
          <a:ln w="19050">
            <a:solidFill>
              <a:schemeClr val="lt1"/>
            </a:solidFill>
          </a:ln>
          <a:effectLst/>
        </c:spPr>
      </c:pivotFmt>
      <c:pivotFmt>
        <c:idx val="15"/>
        <c:spPr>
          <a:solidFill>
            <a:schemeClr val="accent1"/>
          </a:solidFill>
          <a:ln w="19050">
            <a:solidFill>
              <a:schemeClr val="lt1"/>
            </a:solidFill>
          </a:ln>
          <a:effectLst/>
        </c:spPr>
      </c:pivotFmt>
      <c:pivotFmt>
        <c:idx val="16"/>
        <c:spPr>
          <a:solidFill>
            <a:schemeClr val="accent1"/>
          </a:solidFill>
          <a:ln w="19050">
            <a:solidFill>
              <a:schemeClr val="lt1"/>
            </a:solidFill>
          </a:ln>
          <a:effectLst/>
        </c:spPr>
      </c:pivotFmt>
      <c:pivotFmt>
        <c:idx val="17"/>
        <c:spPr>
          <a:solidFill>
            <a:schemeClr val="accent1"/>
          </a:solidFill>
          <a:ln w="19050">
            <a:solidFill>
              <a:schemeClr val="lt1"/>
            </a:solidFill>
          </a:ln>
          <a:effectLst/>
        </c:spPr>
      </c:pivotFmt>
      <c:pivotFmt>
        <c:idx val="18"/>
        <c:spPr>
          <a:solidFill>
            <a:schemeClr val="accent1"/>
          </a:solidFill>
          <a:ln w="19050">
            <a:solidFill>
              <a:schemeClr val="lt1"/>
            </a:solidFill>
          </a:ln>
          <a:effectLst/>
        </c:spPr>
      </c:pivotFmt>
      <c:pivotFmt>
        <c:idx val="19"/>
        <c:spPr>
          <a:solidFill>
            <a:schemeClr val="accent1"/>
          </a:solidFill>
          <a:ln w="19050">
            <a:solidFill>
              <a:schemeClr val="lt1"/>
            </a:solidFill>
          </a:ln>
          <a:effectLst/>
        </c:spPr>
      </c:pivotFmt>
      <c:pivotFmt>
        <c:idx val="20"/>
        <c:spPr>
          <a:solidFill>
            <a:schemeClr val="accent1"/>
          </a:solidFill>
          <a:ln w="19050">
            <a:solidFill>
              <a:schemeClr val="lt1"/>
            </a:solidFill>
          </a:ln>
          <a:effectLst/>
        </c:spPr>
      </c:pivotFmt>
      <c:pivotFmt>
        <c:idx val="21"/>
        <c:spPr>
          <a:solidFill>
            <a:schemeClr val="accent1"/>
          </a:solidFill>
          <a:ln w="19050">
            <a:solidFill>
              <a:schemeClr val="lt1"/>
            </a:solidFill>
          </a:ln>
          <a:effectLst/>
        </c:spPr>
      </c:pivotFmt>
      <c:pivotFmt>
        <c:idx val="22"/>
        <c:spPr>
          <a:solidFill>
            <a:schemeClr val="accent1"/>
          </a:solidFill>
          <a:ln w="19050">
            <a:solidFill>
              <a:schemeClr val="lt1"/>
            </a:solidFill>
          </a:ln>
          <a:effectLst/>
        </c:spPr>
      </c:pivotFmt>
      <c:pivotFmt>
        <c:idx val="23"/>
        <c:spPr>
          <a:solidFill>
            <a:schemeClr val="accent1"/>
          </a:solidFill>
          <a:ln w="19050">
            <a:solidFill>
              <a:schemeClr val="lt1"/>
            </a:solidFill>
          </a:ln>
          <a:effectLst/>
        </c:spPr>
        <c:marker>
          <c:symbol val="none"/>
        </c:marker>
        <c:dLbl>
          <c:idx val="0"/>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24"/>
        <c:spPr>
          <a:solidFill>
            <a:schemeClr val="accent1"/>
          </a:solidFill>
          <a:ln w="19050">
            <a:solidFill>
              <a:schemeClr val="lt1"/>
            </a:solidFill>
          </a:ln>
          <a:effectLst/>
        </c:spPr>
      </c:pivotFmt>
      <c:pivotFmt>
        <c:idx val="25"/>
        <c:spPr>
          <a:solidFill>
            <a:schemeClr val="accent1"/>
          </a:solidFill>
          <a:ln w="19050">
            <a:solidFill>
              <a:schemeClr val="lt1"/>
            </a:solidFill>
          </a:ln>
          <a:effectLst/>
        </c:spPr>
      </c:pivotFmt>
      <c:pivotFmt>
        <c:idx val="26"/>
        <c:spPr>
          <a:solidFill>
            <a:schemeClr val="accent1"/>
          </a:solidFill>
          <a:ln w="19050">
            <a:solidFill>
              <a:schemeClr val="lt1"/>
            </a:solidFill>
          </a:ln>
          <a:effectLst/>
        </c:spPr>
      </c:pivotFmt>
      <c:pivotFmt>
        <c:idx val="27"/>
        <c:spPr>
          <a:solidFill>
            <a:schemeClr val="accent1"/>
          </a:solidFill>
          <a:ln w="19050">
            <a:solidFill>
              <a:schemeClr val="lt1"/>
            </a:solidFill>
          </a:ln>
          <a:effectLst/>
        </c:spPr>
      </c:pivotFmt>
      <c:pivotFmt>
        <c:idx val="28"/>
        <c:spPr>
          <a:solidFill>
            <a:schemeClr val="accent1"/>
          </a:solidFill>
          <a:ln w="19050">
            <a:solidFill>
              <a:schemeClr val="lt1"/>
            </a:solidFill>
          </a:ln>
          <a:effectLst/>
        </c:spPr>
      </c:pivotFmt>
      <c:pivotFmt>
        <c:idx val="29"/>
        <c:spPr>
          <a:solidFill>
            <a:schemeClr val="accent1"/>
          </a:solidFill>
          <a:ln w="19050">
            <a:solidFill>
              <a:schemeClr val="lt1"/>
            </a:solidFill>
          </a:ln>
          <a:effectLst/>
        </c:spPr>
      </c:pivotFmt>
      <c:pivotFmt>
        <c:idx val="30"/>
        <c:spPr>
          <a:solidFill>
            <a:schemeClr val="accent1"/>
          </a:solidFill>
          <a:ln w="19050">
            <a:solidFill>
              <a:schemeClr val="lt1"/>
            </a:solidFill>
          </a:ln>
          <a:effectLst/>
        </c:spPr>
      </c:pivotFmt>
      <c:pivotFmt>
        <c:idx val="31"/>
        <c:spPr>
          <a:solidFill>
            <a:schemeClr val="accent1"/>
          </a:solidFill>
          <a:ln w="19050">
            <a:solidFill>
              <a:schemeClr val="lt1"/>
            </a:solidFill>
          </a:ln>
          <a:effectLst/>
        </c:spPr>
      </c:pivotFmt>
      <c:pivotFmt>
        <c:idx val="32"/>
        <c:spPr>
          <a:solidFill>
            <a:schemeClr val="accent1"/>
          </a:solidFill>
          <a:ln w="19050">
            <a:solidFill>
              <a:schemeClr val="lt1"/>
            </a:solidFill>
          </a:ln>
          <a:effectLst/>
        </c:spPr>
      </c:pivotFmt>
      <c:pivotFmt>
        <c:idx val="33"/>
        <c:spPr>
          <a:solidFill>
            <a:schemeClr val="accent1"/>
          </a:solidFill>
          <a:ln w="19050">
            <a:solidFill>
              <a:schemeClr val="lt1"/>
            </a:solidFill>
          </a:ln>
          <a:effectLst/>
        </c:spPr>
      </c:pivotFmt>
    </c:pivotFmts>
    <c:plotArea>
      <c:layout/>
      <c:pieChart>
        <c:varyColors val="1"/>
        <c:ser>
          <c:idx val="0"/>
          <c:order val="0"/>
          <c:tx>
            <c:strRef>
              <c:f>Expl_Analysis!$T$5</c:f>
              <c:strCache>
                <c:ptCount val="1"/>
                <c:pt idx="0">
                  <c:v>Total</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A84-45F2-AF6F-65F20B43C7E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A84-45F2-AF6F-65F20B43C7E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A84-45F2-AF6F-65F20B43C7E9}"/>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A84-45F2-AF6F-65F20B43C7E9}"/>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2A84-45F2-AF6F-65F20B43C7E9}"/>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2A84-45F2-AF6F-65F20B43C7E9}"/>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2A84-45F2-AF6F-65F20B43C7E9}"/>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2A84-45F2-AF6F-65F20B43C7E9}"/>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2A84-45F2-AF6F-65F20B43C7E9}"/>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2A84-45F2-AF6F-65F20B43C7E9}"/>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2A84-45F2-AF6F-65F20B43C7E9}"/>
              </c:ext>
            </c:extLst>
          </c:dPt>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Expl_Analysis!$S$6:$S$16</c:f>
              <c:strCache>
                <c:ptCount val="10"/>
                <c:pt idx="0">
                  <c:v>IPR activities</c:v>
                </c:pt>
                <c:pt idx="1">
                  <c:v>Business Model/Plan</c:v>
                </c:pt>
                <c:pt idx="2">
                  <c:v>Meeting with user communities</c:v>
                </c:pt>
                <c:pt idx="3">
                  <c:v>Meeting with potential investors</c:v>
                </c:pt>
                <c:pt idx="4">
                  <c:v>Steps towards standardisation</c:v>
                </c:pt>
                <c:pt idx="5">
                  <c:v>None</c:v>
                </c:pt>
                <c:pt idx="6">
                  <c:v>Patent Application</c:v>
                </c:pt>
                <c:pt idx="7">
                  <c:v>Market survey</c:v>
                </c:pt>
                <c:pt idx="8">
                  <c:v>Explotation strategy workshops/seminars</c:v>
                </c:pt>
                <c:pt idx="9">
                  <c:v>Recruitment of specialised staff</c:v>
                </c:pt>
              </c:strCache>
            </c:strRef>
          </c:cat>
          <c:val>
            <c:numRef>
              <c:f>Expl_Analysis!$T$6:$T$16</c:f>
              <c:numCache>
                <c:formatCode>General</c:formatCode>
                <c:ptCount val="10"/>
                <c:pt idx="0">
                  <c:v>9</c:v>
                </c:pt>
                <c:pt idx="1">
                  <c:v>6</c:v>
                </c:pt>
                <c:pt idx="2">
                  <c:v>6</c:v>
                </c:pt>
                <c:pt idx="3">
                  <c:v>6</c:v>
                </c:pt>
                <c:pt idx="4">
                  <c:v>5</c:v>
                </c:pt>
                <c:pt idx="5">
                  <c:v>5</c:v>
                </c:pt>
                <c:pt idx="6">
                  <c:v>3</c:v>
                </c:pt>
                <c:pt idx="7">
                  <c:v>2</c:v>
                </c:pt>
                <c:pt idx="8">
                  <c:v>1</c:v>
                </c:pt>
                <c:pt idx="9">
                  <c:v>1</c:v>
                </c:pt>
              </c:numCache>
            </c:numRef>
          </c:val>
          <c:extLst>
            <c:ext xmlns:c16="http://schemas.microsoft.com/office/drawing/2014/chart" uri="{C3380CC4-5D6E-409C-BE32-E72D297353CC}">
              <c16:uniqueId val="{00000016-2A84-45F2-AF6F-65F20B43C7E9}"/>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57749017214874965"/>
          <c:y val="0.18357675685276181"/>
          <c:w val="0.40462607226257669"/>
          <c:h val="0.7036412882600201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[D&amp;E - EU SURVEY 2021_rev (ID 11302066).xlsx]Expl_Analysis!PivotTable14</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Audience/Target Group</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Expl_Analysis!$Q$5</c:f>
              <c:strCache>
                <c:ptCount val="1"/>
                <c:pt idx="0">
                  <c:v>Total</c:v>
                </c:pt>
              </c:strCache>
            </c:strRef>
          </c:tx>
          <c:spPr>
            <a:solidFill>
              <a:schemeClr val="accent1"/>
            </a:solidFill>
            <a:ln>
              <a:noFill/>
            </a:ln>
            <a:effectLst/>
          </c:spPr>
          <c:invertIfNegative val="0"/>
          <c:cat>
            <c:strRef>
              <c:f>Expl_Analysis!$P$6:$P$14</c:f>
              <c:strCache>
                <c:ptCount val="8"/>
                <c:pt idx="0">
                  <c:v>Industry/Business Partners</c:v>
                </c:pt>
                <c:pt idx="1">
                  <c:v>Research Communities</c:v>
                </c:pt>
                <c:pt idx="2">
                  <c:v>Standardisation Bodies</c:v>
                </c:pt>
                <c:pt idx="3">
                  <c:v>Innovators</c:v>
                </c:pt>
                <c:pt idx="4">
                  <c:v>Public</c:v>
                </c:pt>
                <c:pt idx="5">
                  <c:v>Civil society, international</c:v>
                </c:pt>
                <c:pt idx="6">
                  <c:v>Investors</c:v>
                </c:pt>
                <c:pt idx="7">
                  <c:v>Policy-makers and authorities, regional or local</c:v>
                </c:pt>
              </c:strCache>
            </c:strRef>
          </c:cat>
          <c:val>
            <c:numRef>
              <c:f>Expl_Analysis!$Q$6:$Q$14</c:f>
              <c:numCache>
                <c:formatCode>General</c:formatCode>
                <c:ptCount val="8"/>
                <c:pt idx="0">
                  <c:v>33</c:v>
                </c:pt>
                <c:pt idx="1">
                  <c:v>8</c:v>
                </c:pt>
                <c:pt idx="2">
                  <c:v>3</c:v>
                </c:pt>
                <c:pt idx="3">
                  <c:v>2</c:v>
                </c:pt>
                <c:pt idx="4">
                  <c:v>1</c:v>
                </c:pt>
                <c:pt idx="5">
                  <c:v>1</c:v>
                </c:pt>
                <c:pt idx="6">
                  <c:v>1</c:v>
                </c:pt>
                <c:pt idx="7">
                  <c:v>1</c:v>
                </c:pt>
              </c:numCache>
            </c:numRef>
          </c:val>
          <c:extLst>
            <c:ext xmlns:c16="http://schemas.microsoft.com/office/drawing/2014/chart" uri="{C3380CC4-5D6E-409C-BE32-E72D297353CC}">
              <c16:uniqueId val="{00000000-791B-4BA4-AB1A-EF2A81E12500}"/>
            </c:ext>
          </c:extLst>
        </c:ser>
        <c:dLbls>
          <c:showLegendKey val="0"/>
          <c:showVal val="0"/>
          <c:showCatName val="0"/>
          <c:showSerName val="0"/>
          <c:showPercent val="0"/>
          <c:showBubbleSize val="0"/>
        </c:dLbls>
        <c:gapWidth val="219"/>
        <c:overlap val="-27"/>
        <c:axId val="1723322383"/>
        <c:axId val="1723319055"/>
      </c:barChart>
      <c:catAx>
        <c:axId val="17233223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23319055"/>
        <c:crosses val="autoZero"/>
        <c:auto val="1"/>
        <c:lblAlgn val="ctr"/>
        <c:lblOffset val="100"/>
        <c:noMultiLvlLbl val="0"/>
      </c:catAx>
      <c:valAx>
        <c:axId val="172331905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2332238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sVisible val="1"/>
      </c14:pivotOptions>
    </c:ext>
    <c:ext xmlns:c16="http://schemas.microsoft.com/office/drawing/2014/chart" uri="{E28EC0CA-F0BB-4C9C-879D-F8772B89E7AC}">
      <c16:pivotOptions16>
        <c16:showExpandCollapseFieldButtons val="1"/>
      </c16:pivotOptions16>
    </c:ext>
  </c:extLst>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b="0" i="0" u="none" strike="noStrike" baseline="0">
                <a:effectLst/>
              </a:rPr>
              <a:t>EU and certified private contributions in light of the achievement of the EUR 380 million and EUR 665 million thresholds</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areaChart>
        <c:grouping val="stacked"/>
        <c:varyColors val="0"/>
        <c:ser>
          <c:idx val="4"/>
          <c:order val="4"/>
          <c:tx>
            <c:strRef>
              <c:f>'GRAPH 1.7.1.'!$A$24</c:f>
              <c:strCache>
                <c:ptCount val="1"/>
                <c:pt idx="0">
                  <c:v>Starting point</c:v>
                </c:pt>
              </c:strCache>
            </c:strRef>
          </c:tx>
          <c:spPr>
            <a:noFill/>
            <a:ln>
              <a:noFill/>
            </a:ln>
            <a:effectLst/>
          </c:spPr>
          <c:cat>
            <c:numRef>
              <c:f>'GRAPH 1.7.1.'!$B$19:$I$19</c:f>
              <c:numCache>
                <c:formatCode>General</c:formatCode>
                <c:ptCount val="8"/>
                <c:pt idx="0">
                  <c:v>2015</c:v>
                </c:pt>
                <c:pt idx="1">
                  <c:v>2016</c:v>
                </c:pt>
                <c:pt idx="2">
                  <c:v>2017</c:v>
                </c:pt>
                <c:pt idx="3">
                  <c:v>2018</c:v>
                </c:pt>
                <c:pt idx="4">
                  <c:v>2019</c:v>
                </c:pt>
                <c:pt idx="5">
                  <c:v>2020</c:v>
                </c:pt>
                <c:pt idx="6">
                  <c:v>2021</c:v>
                </c:pt>
                <c:pt idx="7">
                  <c:v>2022</c:v>
                </c:pt>
              </c:numCache>
            </c:numRef>
          </c:cat>
          <c:val>
            <c:numRef>
              <c:f>'GRAPH 1.7.1.'!$B$24:$I$24</c:f>
              <c:numCache>
                <c:formatCode>#,##0.00</c:formatCode>
                <c:ptCount val="8"/>
                <c:pt idx="0">
                  <c:v>80.09</c:v>
                </c:pt>
                <c:pt idx="1">
                  <c:v>187.4</c:v>
                </c:pt>
                <c:pt idx="2">
                  <c:v>275.38</c:v>
                </c:pt>
                <c:pt idx="3">
                  <c:v>388.47</c:v>
                </c:pt>
                <c:pt idx="4">
                  <c:v>460.08000000000004</c:v>
                </c:pt>
                <c:pt idx="5">
                  <c:v>529.21</c:v>
                </c:pt>
                <c:pt idx="6">
                  <c:v>616.05000000000007</c:v>
                </c:pt>
                <c:pt idx="7">
                  <c:v>627.05000000000007</c:v>
                </c:pt>
              </c:numCache>
            </c:numRef>
          </c:val>
          <c:extLst>
            <c:ext xmlns:c16="http://schemas.microsoft.com/office/drawing/2014/chart" uri="{C3380CC4-5D6E-409C-BE32-E72D297353CC}">
              <c16:uniqueId val="{00000000-BA26-49CA-A4F3-21198989AF39}"/>
            </c:ext>
          </c:extLst>
        </c:ser>
        <c:ser>
          <c:idx val="5"/>
          <c:order val="5"/>
          <c:tx>
            <c:strRef>
              <c:f>'GRAPH 1.7.1.'!$A$25</c:f>
              <c:strCache>
                <c:ptCount val="1"/>
                <c:pt idx="0">
                  <c:v>Leverage effect</c:v>
                </c:pt>
              </c:strCache>
            </c:strRef>
          </c:tx>
          <c:spPr>
            <a:gradFill flip="none" rotWithShape="1">
              <a:gsLst>
                <a:gs pos="0">
                  <a:schemeClr val="accent6">
                    <a:lumMod val="60000"/>
                    <a:lumOff val="40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2700000" scaled="1"/>
              <a:tileRect/>
            </a:gradFill>
            <a:ln>
              <a:noFill/>
            </a:ln>
            <a:effectLst/>
          </c:spPr>
          <c:cat>
            <c:numRef>
              <c:f>'GRAPH 1.7.1.'!$B$19:$I$19</c:f>
              <c:numCache>
                <c:formatCode>General</c:formatCode>
                <c:ptCount val="8"/>
                <c:pt idx="0">
                  <c:v>2015</c:v>
                </c:pt>
                <c:pt idx="1">
                  <c:v>2016</c:v>
                </c:pt>
                <c:pt idx="2">
                  <c:v>2017</c:v>
                </c:pt>
                <c:pt idx="3">
                  <c:v>2018</c:v>
                </c:pt>
                <c:pt idx="4">
                  <c:v>2019</c:v>
                </c:pt>
                <c:pt idx="5">
                  <c:v>2020</c:v>
                </c:pt>
                <c:pt idx="6">
                  <c:v>2021</c:v>
                </c:pt>
                <c:pt idx="7">
                  <c:v>2022</c:v>
                </c:pt>
              </c:numCache>
            </c:numRef>
          </c:cat>
          <c:val>
            <c:numRef>
              <c:f>'GRAPH 1.7.1.'!$B$25:$I$25</c:f>
              <c:numCache>
                <c:formatCode>#,##0.00</c:formatCode>
                <c:ptCount val="8"/>
                <c:pt idx="0">
                  <c:v>-79.790000000000006</c:v>
                </c:pt>
                <c:pt idx="1">
                  <c:v>30.939999999999998</c:v>
                </c:pt>
                <c:pt idx="2">
                  <c:v>108.08000000000004</c:v>
                </c:pt>
                <c:pt idx="3">
                  <c:v>103.01999999999998</c:v>
                </c:pt>
                <c:pt idx="4">
                  <c:v>212.39999999999998</c:v>
                </c:pt>
                <c:pt idx="5">
                  <c:v>358.9</c:v>
                </c:pt>
                <c:pt idx="6">
                  <c:v>443.42999999999995</c:v>
                </c:pt>
                <c:pt idx="7">
                  <c:v>461.79999999999984</c:v>
                </c:pt>
              </c:numCache>
            </c:numRef>
          </c:val>
          <c:extLst>
            <c:ext xmlns:c16="http://schemas.microsoft.com/office/drawing/2014/chart" uri="{C3380CC4-5D6E-409C-BE32-E72D297353CC}">
              <c16:uniqueId val="{00000001-BA26-49CA-A4F3-21198989AF39}"/>
            </c:ext>
          </c:extLst>
        </c:ser>
        <c:dLbls>
          <c:showLegendKey val="0"/>
          <c:showVal val="0"/>
          <c:showCatName val="0"/>
          <c:showSerName val="0"/>
          <c:showPercent val="0"/>
          <c:showBubbleSize val="0"/>
        </c:dLbls>
        <c:axId val="404869247"/>
        <c:axId val="404880479"/>
      </c:areaChart>
      <c:lineChart>
        <c:grouping val="standard"/>
        <c:varyColors val="0"/>
        <c:ser>
          <c:idx val="0"/>
          <c:order val="0"/>
          <c:tx>
            <c:strRef>
              <c:f>'GRAPH 1.7.1.'!$A$20</c:f>
              <c:strCache>
                <c:ptCount val="1"/>
                <c:pt idx="0">
                  <c:v>EU target</c:v>
                </c:pt>
              </c:strCache>
            </c:strRef>
          </c:tx>
          <c:spPr>
            <a:ln w="28575" cap="rnd">
              <a:solidFill>
                <a:schemeClr val="accent1">
                  <a:lumMod val="75000"/>
                </a:schemeClr>
              </a:solidFill>
              <a:prstDash val="sysDash"/>
              <a:round/>
            </a:ln>
            <a:effectLst/>
          </c:spPr>
          <c:marker>
            <c:symbol val="none"/>
          </c:marker>
          <c:cat>
            <c:numRef>
              <c:f>'GRAPH 1.7.1.'!$B$19:$I$19</c:f>
              <c:numCache>
                <c:formatCode>General</c:formatCode>
                <c:ptCount val="8"/>
                <c:pt idx="0">
                  <c:v>2015</c:v>
                </c:pt>
                <c:pt idx="1">
                  <c:v>2016</c:v>
                </c:pt>
                <c:pt idx="2">
                  <c:v>2017</c:v>
                </c:pt>
                <c:pt idx="3">
                  <c:v>2018</c:v>
                </c:pt>
                <c:pt idx="4">
                  <c:v>2019</c:v>
                </c:pt>
                <c:pt idx="5">
                  <c:v>2020</c:v>
                </c:pt>
                <c:pt idx="6">
                  <c:v>2021</c:v>
                </c:pt>
                <c:pt idx="7">
                  <c:v>2022</c:v>
                </c:pt>
              </c:numCache>
            </c:numRef>
          </c:cat>
          <c:val>
            <c:numRef>
              <c:f>'GRAPH 1.7.1.'!$B$20:$I$20</c:f>
              <c:numCache>
                <c:formatCode>#,##0.00</c:formatCode>
                <c:ptCount val="8"/>
                <c:pt idx="0">
                  <c:v>665</c:v>
                </c:pt>
                <c:pt idx="1">
                  <c:v>665</c:v>
                </c:pt>
                <c:pt idx="2">
                  <c:v>665</c:v>
                </c:pt>
                <c:pt idx="3">
                  <c:v>665</c:v>
                </c:pt>
                <c:pt idx="4">
                  <c:v>665</c:v>
                </c:pt>
                <c:pt idx="5">
                  <c:v>665</c:v>
                </c:pt>
                <c:pt idx="6">
                  <c:v>665</c:v>
                </c:pt>
                <c:pt idx="7">
                  <c:v>665</c:v>
                </c:pt>
              </c:numCache>
            </c:numRef>
          </c:val>
          <c:smooth val="0"/>
          <c:extLst>
            <c:ext xmlns:c16="http://schemas.microsoft.com/office/drawing/2014/chart" uri="{C3380CC4-5D6E-409C-BE32-E72D297353CC}">
              <c16:uniqueId val="{00000002-BA26-49CA-A4F3-21198989AF39}"/>
            </c:ext>
          </c:extLst>
        </c:ser>
        <c:ser>
          <c:idx val="1"/>
          <c:order val="1"/>
          <c:tx>
            <c:strRef>
              <c:f>'GRAPH 1.7.1.'!$A$21</c:f>
              <c:strCache>
                <c:ptCount val="1"/>
                <c:pt idx="0">
                  <c:v>EU contributions</c:v>
                </c:pt>
              </c:strCache>
            </c:strRef>
          </c:tx>
          <c:spPr>
            <a:ln w="28575" cap="rnd">
              <a:solidFill>
                <a:schemeClr val="accent1">
                  <a:lumMod val="75000"/>
                </a:schemeClr>
              </a:solidFill>
              <a:round/>
            </a:ln>
            <a:effectLst/>
          </c:spPr>
          <c:marker>
            <c:symbol val="none"/>
          </c:marker>
          <c:cat>
            <c:numRef>
              <c:f>'GRAPH 1.7.1.'!$B$19:$I$19</c:f>
              <c:numCache>
                <c:formatCode>General</c:formatCode>
                <c:ptCount val="8"/>
                <c:pt idx="0">
                  <c:v>2015</c:v>
                </c:pt>
                <c:pt idx="1">
                  <c:v>2016</c:v>
                </c:pt>
                <c:pt idx="2">
                  <c:v>2017</c:v>
                </c:pt>
                <c:pt idx="3">
                  <c:v>2018</c:v>
                </c:pt>
                <c:pt idx="4">
                  <c:v>2019</c:v>
                </c:pt>
                <c:pt idx="5">
                  <c:v>2020</c:v>
                </c:pt>
                <c:pt idx="6">
                  <c:v>2021</c:v>
                </c:pt>
                <c:pt idx="7">
                  <c:v>2022</c:v>
                </c:pt>
              </c:numCache>
            </c:numRef>
          </c:cat>
          <c:val>
            <c:numRef>
              <c:f>'GRAPH 1.7.1.'!$B$21:$I$21</c:f>
              <c:numCache>
                <c:formatCode>#,##0.00</c:formatCode>
                <c:ptCount val="8"/>
                <c:pt idx="0">
                  <c:v>80.09</c:v>
                </c:pt>
                <c:pt idx="1">
                  <c:v>187.4</c:v>
                </c:pt>
                <c:pt idx="2">
                  <c:v>275.38</c:v>
                </c:pt>
                <c:pt idx="3">
                  <c:v>388.47</c:v>
                </c:pt>
                <c:pt idx="4">
                  <c:v>460.08000000000004</c:v>
                </c:pt>
                <c:pt idx="5">
                  <c:v>529.21</c:v>
                </c:pt>
                <c:pt idx="6">
                  <c:v>616.05000000000007</c:v>
                </c:pt>
                <c:pt idx="7">
                  <c:v>627.05000000000007</c:v>
                </c:pt>
              </c:numCache>
            </c:numRef>
          </c:val>
          <c:smooth val="0"/>
          <c:extLst>
            <c:ext xmlns:c16="http://schemas.microsoft.com/office/drawing/2014/chart" uri="{C3380CC4-5D6E-409C-BE32-E72D297353CC}">
              <c16:uniqueId val="{00000003-BA26-49CA-A4F3-21198989AF39}"/>
            </c:ext>
          </c:extLst>
        </c:ser>
        <c:ser>
          <c:idx val="2"/>
          <c:order val="2"/>
          <c:tx>
            <c:strRef>
              <c:f>'GRAPH 1.7.1.'!$A$22</c:f>
              <c:strCache>
                <c:ptCount val="1"/>
                <c:pt idx="0">
                  <c:v>Private target</c:v>
                </c:pt>
              </c:strCache>
            </c:strRef>
          </c:tx>
          <c:spPr>
            <a:ln w="28575" cap="rnd">
              <a:solidFill>
                <a:srgbClr val="FF0000"/>
              </a:solidFill>
              <a:prstDash val="sysDash"/>
              <a:round/>
            </a:ln>
            <a:effectLst/>
          </c:spPr>
          <c:marker>
            <c:symbol val="none"/>
          </c:marker>
          <c:cat>
            <c:numRef>
              <c:f>'GRAPH 1.7.1.'!$B$19:$I$19</c:f>
              <c:numCache>
                <c:formatCode>General</c:formatCode>
                <c:ptCount val="8"/>
                <c:pt idx="0">
                  <c:v>2015</c:v>
                </c:pt>
                <c:pt idx="1">
                  <c:v>2016</c:v>
                </c:pt>
                <c:pt idx="2">
                  <c:v>2017</c:v>
                </c:pt>
                <c:pt idx="3">
                  <c:v>2018</c:v>
                </c:pt>
                <c:pt idx="4">
                  <c:v>2019</c:v>
                </c:pt>
                <c:pt idx="5">
                  <c:v>2020</c:v>
                </c:pt>
                <c:pt idx="6">
                  <c:v>2021</c:v>
                </c:pt>
                <c:pt idx="7">
                  <c:v>2022</c:v>
                </c:pt>
              </c:numCache>
            </c:numRef>
          </c:cat>
          <c:val>
            <c:numRef>
              <c:f>'GRAPH 1.7.1.'!$B$22:$I$22</c:f>
              <c:numCache>
                <c:formatCode>#,##0.00</c:formatCode>
                <c:ptCount val="8"/>
                <c:pt idx="0">
                  <c:v>380</c:v>
                </c:pt>
                <c:pt idx="1">
                  <c:v>380</c:v>
                </c:pt>
                <c:pt idx="2">
                  <c:v>380</c:v>
                </c:pt>
                <c:pt idx="3">
                  <c:v>380</c:v>
                </c:pt>
                <c:pt idx="4">
                  <c:v>380</c:v>
                </c:pt>
                <c:pt idx="5">
                  <c:v>380</c:v>
                </c:pt>
                <c:pt idx="6">
                  <c:v>380</c:v>
                </c:pt>
                <c:pt idx="7">
                  <c:v>380</c:v>
                </c:pt>
              </c:numCache>
            </c:numRef>
          </c:val>
          <c:smooth val="0"/>
          <c:extLst>
            <c:ext xmlns:c16="http://schemas.microsoft.com/office/drawing/2014/chart" uri="{C3380CC4-5D6E-409C-BE32-E72D297353CC}">
              <c16:uniqueId val="{00000004-BA26-49CA-A4F3-21198989AF39}"/>
            </c:ext>
          </c:extLst>
        </c:ser>
        <c:ser>
          <c:idx val="3"/>
          <c:order val="3"/>
          <c:tx>
            <c:strRef>
              <c:f>'GRAPH 1.7.1.'!$A$23</c:f>
              <c:strCache>
                <c:ptCount val="1"/>
                <c:pt idx="0">
                  <c:v>Private contributions</c:v>
                </c:pt>
              </c:strCache>
            </c:strRef>
          </c:tx>
          <c:spPr>
            <a:ln w="28575" cap="rnd">
              <a:solidFill>
                <a:srgbClr val="FF0000"/>
              </a:solidFill>
              <a:round/>
            </a:ln>
            <a:effectLst/>
          </c:spPr>
          <c:marker>
            <c:symbol val="none"/>
          </c:marker>
          <c:cat>
            <c:numRef>
              <c:f>'GRAPH 1.7.1.'!$B$19:$I$19</c:f>
              <c:numCache>
                <c:formatCode>General</c:formatCode>
                <c:ptCount val="8"/>
                <c:pt idx="0">
                  <c:v>2015</c:v>
                </c:pt>
                <c:pt idx="1">
                  <c:v>2016</c:v>
                </c:pt>
                <c:pt idx="2">
                  <c:v>2017</c:v>
                </c:pt>
                <c:pt idx="3">
                  <c:v>2018</c:v>
                </c:pt>
                <c:pt idx="4">
                  <c:v>2019</c:v>
                </c:pt>
                <c:pt idx="5">
                  <c:v>2020</c:v>
                </c:pt>
                <c:pt idx="6">
                  <c:v>2021</c:v>
                </c:pt>
                <c:pt idx="7">
                  <c:v>2022</c:v>
                </c:pt>
              </c:numCache>
            </c:numRef>
          </c:cat>
          <c:val>
            <c:numRef>
              <c:f>'GRAPH 1.7.1.'!$B$23:$I$23</c:f>
              <c:numCache>
                <c:formatCode>#,##0.00</c:formatCode>
                <c:ptCount val="8"/>
                <c:pt idx="0">
                  <c:v>0.3</c:v>
                </c:pt>
                <c:pt idx="1">
                  <c:v>218.34</c:v>
                </c:pt>
                <c:pt idx="2">
                  <c:v>383.46000000000004</c:v>
                </c:pt>
                <c:pt idx="3">
                  <c:v>491.49</c:v>
                </c:pt>
                <c:pt idx="4">
                  <c:v>672.48</c:v>
                </c:pt>
                <c:pt idx="5">
                  <c:v>888.11</c:v>
                </c:pt>
                <c:pt idx="6">
                  <c:v>1059.48</c:v>
                </c:pt>
                <c:pt idx="7">
                  <c:v>1088.8499999999999</c:v>
                </c:pt>
              </c:numCache>
            </c:numRef>
          </c:val>
          <c:smooth val="0"/>
          <c:extLst>
            <c:ext xmlns:c16="http://schemas.microsoft.com/office/drawing/2014/chart" uri="{C3380CC4-5D6E-409C-BE32-E72D297353CC}">
              <c16:uniqueId val="{00000005-BA26-49CA-A4F3-21198989AF39}"/>
            </c:ext>
          </c:extLst>
        </c:ser>
        <c:dLbls>
          <c:showLegendKey val="0"/>
          <c:showVal val="0"/>
          <c:showCatName val="0"/>
          <c:showSerName val="0"/>
          <c:showPercent val="0"/>
          <c:showBubbleSize val="0"/>
        </c:dLbls>
        <c:marker val="1"/>
        <c:smooth val="0"/>
        <c:axId val="404869247"/>
        <c:axId val="404880479"/>
      </c:lineChart>
      <c:catAx>
        <c:axId val="404869247"/>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GB" sz="1100"/>
                  <a:t>Year of certification</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4880479"/>
        <c:crosses val="autoZero"/>
        <c:auto val="1"/>
        <c:lblAlgn val="ctr"/>
        <c:lblOffset val="100"/>
        <c:noMultiLvlLbl val="0"/>
      </c:catAx>
      <c:valAx>
        <c:axId val="40488047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GB" sz="1100"/>
                  <a:t>Certified</a:t>
                </a:r>
                <a:r>
                  <a:rPr lang="en-GB" sz="1100" baseline="0"/>
                  <a:t> / targeted contributions in EUR million</a:t>
                </a:r>
                <a:endParaRPr lang="en-GB" sz="1100"/>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4869247"/>
        <c:crosses val="autoZero"/>
        <c:crossBetween val="between"/>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Certified IKAA for the period 2014 - 2020 vs. minimal IKAA target of EUR 285 million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'IKAA Graph 1.7.2.'!$B$1</c:f>
              <c:strCache>
                <c:ptCount val="1"/>
                <c:pt idx="0">
                  <c:v>2014/2015</c:v>
                </c:pt>
              </c:strCache>
            </c:strRef>
          </c:tx>
          <c:spPr>
            <a:solidFill>
              <a:schemeClr val="accent1"/>
            </a:solidFill>
            <a:ln>
              <a:noFill/>
            </a:ln>
            <a:effectLst/>
            <a:sp3d/>
          </c:spPr>
          <c:invertIfNegative val="0"/>
          <c:cat>
            <c:strRef>
              <c:f>'IKAA Graph 1.7.2.'!$A$2:$A$3</c:f>
              <c:strCache>
                <c:ptCount val="2"/>
                <c:pt idx="0">
                  <c:v>Certified IKAA</c:v>
                </c:pt>
                <c:pt idx="1">
                  <c:v>Minimum IKAA threshold</c:v>
                </c:pt>
              </c:strCache>
            </c:strRef>
          </c:cat>
          <c:val>
            <c:numRef>
              <c:f>'IKAA Graph 1.7.2.'!$B$2:$B$3</c:f>
              <c:numCache>
                <c:formatCode>General</c:formatCode>
                <c:ptCount val="2"/>
                <c:pt idx="0" formatCode="#,##0.00">
                  <c:v>217.56</c:v>
                </c:pt>
              </c:numCache>
            </c:numRef>
          </c:val>
          <c:extLst>
            <c:ext xmlns:c16="http://schemas.microsoft.com/office/drawing/2014/chart" uri="{C3380CC4-5D6E-409C-BE32-E72D297353CC}">
              <c16:uniqueId val="{00000000-AAF2-4082-A5C9-74110D83E9DB}"/>
            </c:ext>
          </c:extLst>
        </c:ser>
        <c:ser>
          <c:idx val="1"/>
          <c:order val="1"/>
          <c:tx>
            <c:strRef>
              <c:f>'IKAA Graph 1.7.2.'!$C$1</c:f>
              <c:strCache>
                <c:ptCount val="1"/>
                <c:pt idx="0">
                  <c:v>2016</c:v>
                </c:pt>
              </c:strCache>
            </c:strRef>
          </c:tx>
          <c:spPr>
            <a:solidFill>
              <a:schemeClr val="accent2"/>
            </a:solidFill>
            <a:ln>
              <a:noFill/>
            </a:ln>
            <a:effectLst/>
            <a:sp3d/>
          </c:spPr>
          <c:invertIfNegative val="0"/>
          <c:cat>
            <c:strRef>
              <c:f>'IKAA Graph 1.7.2.'!$A$2:$A$3</c:f>
              <c:strCache>
                <c:ptCount val="2"/>
                <c:pt idx="0">
                  <c:v>Certified IKAA</c:v>
                </c:pt>
                <c:pt idx="1">
                  <c:v>Minimum IKAA threshold</c:v>
                </c:pt>
              </c:strCache>
            </c:strRef>
          </c:cat>
          <c:val>
            <c:numRef>
              <c:f>'IKAA Graph 1.7.2.'!$C$2:$C$3</c:f>
              <c:numCache>
                <c:formatCode>General</c:formatCode>
                <c:ptCount val="2"/>
                <c:pt idx="0" formatCode="#,##0.0">
                  <c:v>164.65</c:v>
                </c:pt>
              </c:numCache>
            </c:numRef>
          </c:val>
          <c:extLst>
            <c:ext xmlns:c16="http://schemas.microsoft.com/office/drawing/2014/chart" uri="{C3380CC4-5D6E-409C-BE32-E72D297353CC}">
              <c16:uniqueId val="{00000001-AAF2-4082-A5C9-74110D83E9DB}"/>
            </c:ext>
          </c:extLst>
        </c:ser>
        <c:ser>
          <c:idx val="2"/>
          <c:order val="2"/>
          <c:tx>
            <c:strRef>
              <c:f>'IKAA Graph 1.7.2.'!$D$1</c:f>
              <c:strCache>
                <c:ptCount val="1"/>
                <c:pt idx="0">
                  <c:v>2017</c:v>
                </c:pt>
              </c:strCache>
            </c:strRef>
          </c:tx>
          <c:spPr>
            <a:solidFill>
              <a:schemeClr val="accent3"/>
            </a:solidFill>
            <a:ln>
              <a:noFill/>
            </a:ln>
            <a:effectLst/>
            <a:sp3d/>
          </c:spPr>
          <c:invertIfNegative val="0"/>
          <c:cat>
            <c:strRef>
              <c:f>'IKAA Graph 1.7.2.'!$A$2:$A$3</c:f>
              <c:strCache>
                <c:ptCount val="2"/>
                <c:pt idx="0">
                  <c:v>Certified IKAA</c:v>
                </c:pt>
                <c:pt idx="1">
                  <c:v>Minimum IKAA threshold</c:v>
                </c:pt>
              </c:strCache>
            </c:strRef>
          </c:cat>
          <c:val>
            <c:numRef>
              <c:f>'IKAA Graph 1.7.2.'!$D$2:$D$3</c:f>
              <c:numCache>
                <c:formatCode>General</c:formatCode>
                <c:ptCount val="2"/>
                <c:pt idx="0" formatCode="#,##0.0">
                  <c:v>107.34</c:v>
                </c:pt>
              </c:numCache>
            </c:numRef>
          </c:val>
          <c:extLst>
            <c:ext xmlns:c16="http://schemas.microsoft.com/office/drawing/2014/chart" uri="{C3380CC4-5D6E-409C-BE32-E72D297353CC}">
              <c16:uniqueId val="{00000002-AAF2-4082-A5C9-74110D83E9DB}"/>
            </c:ext>
          </c:extLst>
        </c:ser>
        <c:ser>
          <c:idx val="3"/>
          <c:order val="3"/>
          <c:tx>
            <c:strRef>
              <c:f>'IKAA Graph 1.7.2.'!$E$1</c:f>
              <c:strCache>
                <c:ptCount val="1"/>
                <c:pt idx="0">
                  <c:v>2018</c:v>
                </c:pt>
              </c:strCache>
            </c:strRef>
          </c:tx>
          <c:spPr>
            <a:solidFill>
              <a:schemeClr val="accent4"/>
            </a:solidFill>
            <a:ln>
              <a:noFill/>
            </a:ln>
            <a:effectLst/>
            <a:sp3d/>
          </c:spPr>
          <c:invertIfNegative val="0"/>
          <c:cat>
            <c:strRef>
              <c:f>'IKAA Graph 1.7.2.'!$A$2:$A$3</c:f>
              <c:strCache>
                <c:ptCount val="2"/>
                <c:pt idx="0">
                  <c:v>Certified IKAA</c:v>
                </c:pt>
                <c:pt idx="1">
                  <c:v>Minimum IKAA threshold</c:v>
                </c:pt>
              </c:strCache>
            </c:strRef>
          </c:cat>
          <c:val>
            <c:numRef>
              <c:f>'IKAA Graph 1.7.2.'!$E$2:$E$3</c:f>
              <c:numCache>
                <c:formatCode>General</c:formatCode>
                <c:ptCount val="2"/>
                <c:pt idx="0" formatCode="#,##0.0">
                  <c:v>177.45</c:v>
                </c:pt>
              </c:numCache>
            </c:numRef>
          </c:val>
          <c:extLst>
            <c:ext xmlns:c16="http://schemas.microsoft.com/office/drawing/2014/chart" uri="{C3380CC4-5D6E-409C-BE32-E72D297353CC}">
              <c16:uniqueId val="{00000003-AAF2-4082-A5C9-74110D83E9DB}"/>
            </c:ext>
          </c:extLst>
        </c:ser>
        <c:ser>
          <c:idx val="4"/>
          <c:order val="4"/>
          <c:tx>
            <c:strRef>
              <c:f>'IKAA Graph 1.7.2.'!$F$1</c:f>
              <c:strCache>
                <c:ptCount val="1"/>
                <c:pt idx="0">
                  <c:v>2019</c:v>
                </c:pt>
              </c:strCache>
            </c:strRef>
          </c:tx>
          <c:spPr>
            <a:solidFill>
              <a:schemeClr val="accent5"/>
            </a:solidFill>
            <a:ln>
              <a:noFill/>
            </a:ln>
            <a:effectLst/>
            <a:sp3d/>
          </c:spPr>
          <c:invertIfNegative val="0"/>
          <c:cat>
            <c:strRef>
              <c:f>'IKAA Graph 1.7.2.'!$A$2:$A$3</c:f>
              <c:strCache>
                <c:ptCount val="2"/>
                <c:pt idx="0">
                  <c:v>Certified IKAA</c:v>
                </c:pt>
                <c:pt idx="1">
                  <c:v>Minimum IKAA threshold</c:v>
                </c:pt>
              </c:strCache>
            </c:strRef>
          </c:cat>
          <c:val>
            <c:numRef>
              <c:f>'IKAA Graph 1.7.2.'!$F$2:$F$3</c:f>
              <c:numCache>
                <c:formatCode>General</c:formatCode>
                <c:ptCount val="2"/>
                <c:pt idx="0" formatCode="#,##0.0">
                  <c:v>209.55</c:v>
                </c:pt>
              </c:numCache>
            </c:numRef>
          </c:val>
          <c:extLst>
            <c:ext xmlns:c16="http://schemas.microsoft.com/office/drawing/2014/chart" uri="{C3380CC4-5D6E-409C-BE32-E72D297353CC}">
              <c16:uniqueId val="{00000004-AAF2-4082-A5C9-74110D83E9DB}"/>
            </c:ext>
          </c:extLst>
        </c:ser>
        <c:ser>
          <c:idx val="5"/>
          <c:order val="5"/>
          <c:tx>
            <c:strRef>
              <c:f>'IKAA Graph 1.7.2.'!$G$1</c:f>
              <c:strCache>
                <c:ptCount val="1"/>
                <c:pt idx="0">
                  <c:v>2020</c:v>
                </c:pt>
              </c:strCache>
            </c:strRef>
          </c:tx>
          <c:spPr>
            <a:solidFill>
              <a:schemeClr val="accent6"/>
            </a:solidFill>
            <a:ln>
              <a:noFill/>
            </a:ln>
            <a:effectLst/>
            <a:sp3d/>
          </c:spPr>
          <c:invertIfNegative val="0"/>
          <c:cat>
            <c:strRef>
              <c:f>'IKAA Graph 1.7.2.'!$A$2:$A$3</c:f>
              <c:strCache>
                <c:ptCount val="2"/>
                <c:pt idx="0">
                  <c:v>Certified IKAA</c:v>
                </c:pt>
                <c:pt idx="1">
                  <c:v>Minimum IKAA threshold</c:v>
                </c:pt>
              </c:strCache>
            </c:strRef>
          </c:cat>
          <c:val>
            <c:numRef>
              <c:f>'IKAA Graph 1.7.2.'!$G$2:$G$3</c:f>
              <c:numCache>
                <c:formatCode>#,##0.0</c:formatCode>
                <c:ptCount val="2"/>
                <c:pt idx="0">
                  <c:v>162.45000000000005</c:v>
                </c:pt>
                <c:pt idx="1">
                  <c:v>0</c:v>
                </c:pt>
              </c:numCache>
            </c:numRef>
          </c:val>
          <c:extLst>
            <c:ext xmlns:c16="http://schemas.microsoft.com/office/drawing/2014/chart" uri="{C3380CC4-5D6E-409C-BE32-E72D297353CC}">
              <c16:uniqueId val="{00000005-AAF2-4082-A5C9-74110D83E9DB}"/>
            </c:ext>
          </c:extLst>
        </c:ser>
        <c:ser>
          <c:idx val="6"/>
          <c:order val="6"/>
          <c:tx>
            <c:strRef>
              <c:f>'IKAA Graph 1.7.2.'!$H$1</c:f>
              <c:strCache>
                <c:ptCount val="1"/>
                <c:pt idx="0">
                  <c:v>2014 - 2020</c:v>
                </c:pt>
              </c:strCache>
            </c:strRef>
          </c:tx>
          <c:spPr>
            <a:solidFill>
              <a:schemeClr val="accent1">
                <a:lumMod val="60000"/>
              </a:schemeClr>
            </a:solidFill>
            <a:ln>
              <a:noFill/>
            </a:ln>
            <a:effectLst/>
            <a:sp3d/>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6-AAF2-4082-A5C9-74110D83E9D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1"/>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'IKAA Graph 1.7.2.'!$A$2:$A$3</c:f>
              <c:strCache>
                <c:ptCount val="2"/>
                <c:pt idx="0">
                  <c:v>Certified IKAA</c:v>
                </c:pt>
                <c:pt idx="1">
                  <c:v>Minimum IKAA threshold</c:v>
                </c:pt>
              </c:strCache>
            </c:strRef>
          </c:cat>
          <c:val>
            <c:numRef>
              <c:f>'IKAA Graph 1.7.2.'!$H$2:$H$3</c:f>
              <c:numCache>
                <c:formatCode>General</c:formatCode>
                <c:ptCount val="2"/>
                <c:pt idx="1">
                  <c:v>285</c:v>
                </c:pt>
              </c:numCache>
            </c:numRef>
          </c:val>
          <c:extLst>
            <c:ext xmlns:c16="http://schemas.microsoft.com/office/drawing/2014/chart" uri="{C3380CC4-5D6E-409C-BE32-E72D297353CC}">
              <c16:uniqueId val="{00000007-AAF2-4082-A5C9-74110D83E9DB}"/>
            </c:ext>
          </c:extLst>
        </c:ser>
        <c:dLbls>
          <c:showLegendKey val="0"/>
          <c:showVal val="0"/>
          <c:showCatName val="0"/>
          <c:showSerName val="0"/>
          <c:showPercent val="0"/>
          <c:showBubbleSize val="0"/>
        </c:dLbls>
        <c:gapWidth val="150"/>
        <c:shape val="box"/>
        <c:axId val="1846750767"/>
        <c:axId val="1846752431"/>
        <c:axId val="0"/>
      </c:bar3DChart>
      <c:catAx>
        <c:axId val="184675076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46752431"/>
        <c:crosses val="autoZero"/>
        <c:auto val="1"/>
        <c:lblAlgn val="ctr"/>
        <c:lblOffset val="100"/>
        <c:noMultiLvlLbl val="0"/>
      </c:catAx>
      <c:valAx>
        <c:axId val="1846752431"/>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467507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GB" sz="1600" dirty="0"/>
              <a:t>YouTube</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col"/>
        <c:grouping val="clustered"/>
        <c:varyColors val="0"/>
        <c:ser>
          <c:idx val="0"/>
          <c:order val="0"/>
          <c:tx>
            <c:strRef>
              <c:f>'Chart-5'!$B$13</c:f>
              <c:strCache>
                <c:ptCount val="1"/>
                <c:pt idx="0">
                  <c:v>Views</c:v>
                </c:pt>
              </c:strCache>
            </c:strRef>
          </c:tx>
          <c:spPr>
            <a:solidFill>
              <a:schemeClr val="accent2"/>
            </a:solidFill>
            <a:ln>
              <a:noFill/>
            </a:ln>
            <a:effectLst/>
          </c:spPr>
          <c:invertIfNegative val="0"/>
          <c:cat>
            <c:numRef>
              <c:f>'Chart-5'!$C$12:$D$12</c:f>
              <c:numCache>
                <c:formatCode>General</c:formatCode>
                <c:ptCount val="2"/>
                <c:pt idx="0">
                  <c:v>2020</c:v>
                </c:pt>
                <c:pt idx="1">
                  <c:v>2021</c:v>
                </c:pt>
              </c:numCache>
            </c:numRef>
          </c:cat>
          <c:val>
            <c:numRef>
              <c:f>'Chart-5'!$C$13:$D$13</c:f>
              <c:numCache>
                <c:formatCode>#,##0</c:formatCode>
                <c:ptCount val="2"/>
                <c:pt idx="0" formatCode="General">
                  <c:v>3912</c:v>
                </c:pt>
                <c:pt idx="1">
                  <c:v>11333</c:v>
                </c:pt>
              </c:numCache>
            </c:numRef>
          </c:val>
          <c:extLst>
            <c:ext xmlns:c16="http://schemas.microsoft.com/office/drawing/2014/chart" uri="{C3380CC4-5D6E-409C-BE32-E72D297353CC}">
              <c16:uniqueId val="{00000000-453C-4AF5-A3E2-C00E14867E26}"/>
            </c:ext>
          </c:extLst>
        </c:ser>
        <c:ser>
          <c:idx val="1"/>
          <c:order val="1"/>
          <c:tx>
            <c:strRef>
              <c:f>'Chart-5'!$B$14</c:f>
              <c:strCache>
                <c:ptCount val="1"/>
                <c:pt idx="0">
                  <c:v>Traffic source external</c:v>
                </c:pt>
              </c:strCache>
            </c:strRef>
          </c:tx>
          <c:spPr>
            <a:solidFill>
              <a:schemeClr val="accent4"/>
            </a:solidFill>
            <a:ln>
              <a:noFill/>
            </a:ln>
            <a:effectLst/>
          </c:spPr>
          <c:invertIfNegative val="0"/>
          <c:cat>
            <c:numRef>
              <c:f>'Chart-5'!$C$12:$D$12</c:f>
              <c:numCache>
                <c:formatCode>General</c:formatCode>
                <c:ptCount val="2"/>
                <c:pt idx="0">
                  <c:v>2020</c:v>
                </c:pt>
                <c:pt idx="1">
                  <c:v>2021</c:v>
                </c:pt>
              </c:numCache>
            </c:numRef>
          </c:cat>
          <c:val>
            <c:numRef>
              <c:f>'Chart-5'!$C$14:$D$14</c:f>
              <c:numCache>
                <c:formatCode>#,##0</c:formatCode>
                <c:ptCount val="2"/>
                <c:pt idx="0">
                  <c:v>1820</c:v>
                </c:pt>
                <c:pt idx="1">
                  <c:v>5138</c:v>
                </c:pt>
              </c:numCache>
            </c:numRef>
          </c:val>
          <c:extLst>
            <c:ext xmlns:c16="http://schemas.microsoft.com/office/drawing/2014/chart" uri="{C3380CC4-5D6E-409C-BE32-E72D297353CC}">
              <c16:uniqueId val="{00000001-453C-4AF5-A3E2-C00E14867E26}"/>
            </c:ext>
          </c:extLst>
        </c:ser>
        <c:dLbls>
          <c:showLegendKey val="0"/>
          <c:showVal val="0"/>
          <c:showCatName val="0"/>
          <c:showSerName val="0"/>
          <c:showPercent val="0"/>
          <c:showBubbleSize val="0"/>
        </c:dLbls>
        <c:gapWidth val="150"/>
        <c:axId val="58399632"/>
        <c:axId val="58396720"/>
      </c:barChart>
      <c:lineChart>
        <c:grouping val="standard"/>
        <c:varyColors val="0"/>
        <c:ser>
          <c:idx val="2"/>
          <c:order val="2"/>
          <c:tx>
            <c:strRef>
              <c:f>'Chart-5'!$B$15</c:f>
              <c:strCache>
                <c:ptCount val="1"/>
                <c:pt idx="0">
                  <c:v>Traffic source YouTube seach</c:v>
                </c:pt>
              </c:strCache>
            </c:strRef>
          </c:tx>
          <c:spPr>
            <a:ln w="28575" cap="rnd">
              <a:solidFill>
                <a:schemeClr val="accent6"/>
              </a:solidFill>
              <a:round/>
            </a:ln>
            <a:effectLst/>
          </c:spPr>
          <c:marker>
            <c:symbol val="none"/>
          </c:marker>
          <c:cat>
            <c:numRef>
              <c:f>'Chart-5'!$C$12:$D$12</c:f>
              <c:numCache>
                <c:formatCode>General</c:formatCode>
                <c:ptCount val="2"/>
                <c:pt idx="0">
                  <c:v>2020</c:v>
                </c:pt>
                <c:pt idx="1">
                  <c:v>2021</c:v>
                </c:pt>
              </c:numCache>
            </c:numRef>
          </c:cat>
          <c:val>
            <c:numRef>
              <c:f>'Chart-5'!$C$15:$D$15</c:f>
              <c:numCache>
                <c:formatCode>#,##0</c:formatCode>
                <c:ptCount val="2"/>
                <c:pt idx="0">
                  <c:v>428</c:v>
                </c:pt>
                <c:pt idx="1">
                  <c:v>1188</c:v>
                </c:pt>
              </c:numCache>
            </c:numRef>
          </c:val>
          <c:smooth val="0"/>
          <c:extLst>
            <c:ext xmlns:c16="http://schemas.microsoft.com/office/drawing/2014/chart" uri="{C3380CC4-5D6E-409C-BE32-E72D297353CC}">
              <c16:uniqueId val="{00000002-453C-4AF5-A3E2-C00E14867E26}"/>
            </c:ext>
          </c:extLst>
        </c:ser>
        <c:dLbls>
          <c:showLegendKey val="0"/>
          <c:showVal val="0"/>
          <c:showCatName val="0"/>
          <c:showSerName val="0"/>
          <c:showPercent val="0"/>
          <c:showBubbleSize val="0"/>
        </c:dLbls>
        <c:marker val="1"/>
        <c:smooth val="0"/>
        <c:axId val="58397136"/>
        <c:axId val="58396304"/>
        <c:extLst>
          <c:ext xmlns:c15="http://schemas.microsoft.com/office/drawing/2012/chart" uri="{02D57815-91ED-43cb-92C2-25804820EDAC}">
            <c15:filteredLineSeries>
              <c15:ser>
                <c:idx val="3"/>
                <c:order val="3"/>
                <c:tx>
                  <c:strRef>
                    <c:extLst>
                      <c:ext uri="{02D57815-91ED-43cb-92C2-25804820EDAC}">
                        <c15:formulaRef>
                          <c15:sqref>'Chart-5'!#REF!</c15:sqref>
                        </c15:formulaRef>
                      </c:ext>
                    </c:extLst>
                    <c:strCache>
                      <c:ptCount val="1"/>
                      <c:pt idx="0">
                        <c:v>#REF!</c:v>
                      </c:pt>
                    </c:strCache>
                  </c:strRef>
                </c:tx>
                <c:spPr>
                  <a:ln w="28575" cap="rnd">
                    <a:solidFill>
                      <a:schemeClr val="accent2">
                        <a:lumMod val="60000"/>
                      </a:schemeClr>
                    </a:solidFill>
                    <a:round/>
                  </a:ln>
                  <a:effectLst/>
                </c:spPr>
                <c:marker>
                  <c:symbol val="none"/>
                </c:marker>
                <c:cat>
                  <c:numRef>
                    <c:extLst>
                      <c:ext uri="{02D57815-91ED-43cb-92C2-25804820EDAC}">
                        <c15:formulaRef>
                          <c15:sqref>'Chart-5'!$C$12:$D$12</c15:sqref>
                        </c15:formulaRef>
                      </c:ext>
                    </c:extLst>
                    <c:numCache>
                      <c:formatCode>General</c:formatCode>
                      <c:ptCount val="2"/>
                      <c:pt idx="0">
                        <c:v>2020</c:v>
                      </c:pt>
                      <c:pt idx="1">
                        <c:v>2021</c:v>
                      </c:pt>
                    </c:numCache>
                  </c:numRef>
                </c:cat>
                <c:val>
                  <c:numRef>
                    <c:extLst>
                      <c:ext uri="{02D57815-91ED-43cb-92C2-25804820EDAC}">
                        <c15:formulaRef>
                          <c15:sqref>'Chart-5'!#REF!</c15:sqref>
                        </c15:formulaRef>
                      </c:ext>
                    </c:extLst>
                    <c:numCache>
                      <c:formatCode>General</c:formatCode>
                      <c:ptCount val="1"/>
                      <c:pt idx="0">
                        <c:v>1</c:v>
                      </c:pt>
                    </c:numCache>
                  </c:numRef>
                </c:val>
                <c:smooth val="0"/>
                <c:extLst>
                  <c:ext xmlns:c16="http://schemas.microsoft.com/office/drawing/2014/chart" uri="{C3380CC4-5D6E-409C-BE32-E72D297353CC}">
                    <c16:uniqueId val="{00000003-453C-4AF5-A3E2-C00E14867E26}"/>
                  </c:ext>
                </c:extLst>
              </c15:ser>
            </c15:filteredLineSeries>
          </c:ext>
        </c:extLst>
      </c:lineChart>
      <c:catAx>
        <c:axId val="58399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58396720"/>
        <c:crosses val="autoZero"/>
        <c:auto val="1"/>
        <c:lblAlgn val="ctr"/>
        <c:lblOffset val="100"/>
        <c:noMultiLvlLbl val="0"/>
      </c:catAx>
      <c:valAx>
        <c:axId val="583967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58399632"/>
        <c:crosses val="autoZero"/>
        <c:crossBetween val="between"/>
      </c:valAx>
      <c:valAx>
        <c:axId val="58396304"/>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58397136"/>
        <c:crosses val="max"/>
        <c:crossBetween val="between"/>
      </c:valAx>
      <c:catAx>
        <c:axId val="58397136"/>
        <c:scaling>
          <c:orientation val="minMax"/>
        </c:scaling>
        <c:delete val="1"/>
        <c:axPos val="b"/>
        <c:numFmt formatCode="General" sourceLinked="1"/>
        <c:majorTickMark val="none"/>
        <c:minorTickMark val="none"/>
        <c:tickLblPos val="nextTo"/>
        <c:crossAx val="58396304"/>
        <c:crosses val="autoZero"/>
        <c:auto val="1"/>
        <c:lblAlgn val="ctr"/>
        <c:lblOffset val="100"/>
        <c:noMultiLvlLbl val="0"/>
      </c:catAx>
      <c:spPr>
        <a:noFill/>
        <a:ln>
          <a:noFill/>
        </a:ln>
        <a:effectLst/>
      </c:spPr>
    </c:plotArea>
    <c:legend>
      <c:legendPos val="b"/>
      <c:layout>
        <c:manualLayout>
          <c:xMode val="edge"/>
          <c:yMode val="edge"/>
          <c:x val="1.3607156076632928E-2"/>
          <c:y val="0.91680067979399704"/>
          <c:w val="0.95869018359116831"/>
          <c:h val="6.638977238283944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600" b="1" dirty="0">
                <a:solidFill>
                  <a:schemeClr val="tx1"/>
                </a:solidFill>
              </a:rPr>
              <a:t>Twitter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'Chart-5'!$C$22:$C$23</c:f>
              <c:strCache>
                <c:ptCount val="2"/>
                <c:pt idx="0">
                  <c:v>Twitter</c:v>
                </c:pt>
                <c:pt idx="1">
                  <c:v>2020</c:v>
                </c:pt>
              </c:strCache>
            </c:strRef>
          </c:tx>
          <c:spPr>
            <a:solidFill>
              <a:schemeClr val="accent1"/>
            </a:solidFill>
            <a:ln>
              <a:noFill/>
            </a:ln>
            <a:effectLst/>
          </c:spPr>
          <c:invertIfNegative val="0"/>
          <c:cat>
            <c:strRef>
              <c:f>'Chart-5'!$B$24:$B$26</c:f>
              <c:strCache>
                <c:ptCount val="3"/>
                <c:pt idx="0">
                  <c:v>Average tweets/month</c:v>
                </c:pt>
                <c:pt idx="1">
                  <c:v>Average impressions/month</c:v>
                </c:pt>
                <c:pt idx="2">
                  <c:v>Average new followers/month</c:v>
                </c:pt>
              </c:strCache>
            </c:strRef>
          </c:cat>
          <c:val>
            <c:numRef>
              <c:f>'Chart-5'!$C$24:$C$26</c:f>
              <c:numCache>
                <c:formatCode>#,##0</c:formatCode>
                <c:ptCount val="3"/>
                <c:pt idx="0" formatCode="General">
                  <c:v>30</c:v>
                </c:pt>
                <c:pt idx="1">
                  <c:v>78</c:v>
                </c:pt>
                <c:pt idx="2">
                  <c:v>159</c:v>
                </c:pt>
              </c:numCache>
            </c:numRef>
          </c:val>
          <c:extLst>
            <c:ext xmlns:c16="http://schemas.microsoft.com/office/drawing/2014/chart" uri="{C3380CC4-5D6E-409C-BE32-E72D297353CC}">
              <c16:uniqueId val="{00000000-FBAE-4A77-A2D1-82CBB33F0D2E}"/>
            </c:ext>
          </c:extLst>
        </c:ser>
        <c:ser>
          <c:idx val="1"/>
          <c:order val="1"/>
          <c:tx>
            <c:strRef>
              <c:f>'Chart-5'!$D$22:$D$23</c:f>
              <c:strCache>
                <c:ptCount val="2"/>
                <c:pt idx="0">
                  <c:v>Twitter</c:v>
                </c:pt>
                <c:pt idx="1">
                  <c:v>2021</c:v>
                </c:pt>
              </c:strCache>
            </c:strRef>
          </c:tx>
          <c:spPr>
            <a:solidFill>
              <a:schemeClr val="accent2"/>
            </a:solidFill>
            <a:ln>
              <a:noFill/>
            </a:ln>
            <a:effectLst/>
          </c:spPr>
          <c:invertIfNegative val="0"/>
          <c:cat>
            <c:strRef>
              <c:f>'Chart-5'!$B$24:$B$26</c:f>
              <c:strCache>
                <c:ptCount val="3"/>
                <c:pt idx="0">
                  <c:v>Average tweets/month</c:v>
                </c:pt>
                <c:pt idx="1">
                  <c:v>Average impressions/month</c:v>
                </c:pt>
                <c:pt idx="2">
                  <c:v>Average new followers/month</c:v>
                </c:pt>
              </c:strCache>
            </c:strRef>
          </c:cat>
          <c:val>
            <c:numRef>
              <c:f>'Chart-5'!$D$24:$D$26</c:f>
              <c:numCache>
                <c:formatCode>#,##0</c:formatCode>
                <c:ptCount val="3"/>
                <c:pt idx="0">
                  <c:v>22</c:v>
                </c:pt>
                <c:pt idx="1">
                  <c:v>43</c:v>
                </c:pt>
                <c:pt idx="2">
                  <c:v>107</c:v>
                </c:pt>
              </c:numCache>
            </c:numRef>
          </c:val>
          <c:extLst>
            <c:ext xmlns:c16="http://schemas.microsoft.com/office/drawing/2014/chart" uri="{C3380CC4-5D6E-409C-BE32-E72D297353CC}">
              <c16:uniqueId val="{00000001-FBAE-4A77-A2D1-82CBB33F0D2E}"/>
            </c:ext>
          </c:extLst>
        </c:ser>
        <c:dLbls>
          <c:showLegendKey val="0"/>
          <c:showVal val="0"/>
          <c:showCatName val="0"/>
          <c:showSerName val="0"/>
          <c:showPercent val="0"/>
          <c:showBubbleSize val="0"/>
        </c:dLbls>
        <c:gapWidth val="219"/>
        <c:overlap val="-27"/>
        <c:axId val="1667438207"/>
        <c:axId val="1667444031"/>
      </c:barChart>
      <c:catAx>
        <c:axId val="16674382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67444031"/>
        <c:crosses val="autoZero"/>
        <c:auto val="1"/>
        <c:lblAlgn val="ctr"/>
        <c:lblOffset val="100"/>
        <c:noMultiLvlLbl val="0"/>
      </c:catAx>
      <c:valAx>
        <c:axId val="16674440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674382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600" b="1" dirty="0">
                <a:solidFill>
                  <a:schemeClr val="tx1"/>
                </a:solidFill>
              </a:rPr>
              <a:t>LinkedIn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'Chart-5'!$C$33:$C$34</c:f>
              <c:strCache>
                <c:ptCount val="2"/>
                <c:pt idx="0">
                  <c:v>LinkedIn</c:v>
                </c:pt>
                <c:pt idx="1">
                  <c:v>2020</c:v>
                </c:pt>
              </c:strCache>
            </c:strRef>
          </c:tx>
          <c:spPr>
            <a:solidFill>
              <a:schemeClr val="accent1"/>
            </a:solidFill>
            <a:ln>
              <a:noFill/>
            </a:ln>
            <a:effectLst/>
          </c:spPr>
          <c:invertIfNegative val="0"/>
          <c:cat>
            <c:strRef>
              <c:f>'Chart-5'!$B$35:$B$37</c:f>
              <c:strCache>
                <c:ptCount val="3"/>
                <c:pt idx="0">
                  <c:v>Average posts/month</c:v>
                </c:pt>
                <c:pt idx="1">
                  <c:v>Average impressions/month</c:v>
                </c:pt>
                <c:pt idx="2">
                  <c:v>Average clicks/month</c:v>
                </c:pt>
              </c:strCache>
            </c:strRef>
          </c:cat>
          <c:val>
            <c:numRef>
              <c:f>'Chart-5'!$C$35:$C$37</c:f>
              <c:numCache>
                <c:formatCode>#,##0</c:formatCode>
                <c:ptCount val="3"/>
                <c:pt idx="0" formatCode="General">
                  <c:v>23</c:v>
                </c:pt>
                <c:pt idx="1">
                  <c:v>42</c:v>
                </c:pt>
                <c:pt idx="2">
                  <c:v>1540</c:v>
                </c:pt>
              </c:numCache>
            </c:numRef>
          </c:val>
          <c:extLst>
            <c:ext xmlns:c16="http://schemas.microsoft.com/office/drawing/2014/chart" uri="{C3380CC4-5D6E-409C-BE32-E72D297353CC}">
              <c16:uniqueId val="{00000000-919B-4B8B-B45B-596934F78E25}"/>
            </c:ext>
          </c:extLst>
        </c:ser>
        <c:ser>
          <c:idx val="1"/>
          <c:order val="1"/>
          <c:tx>
            <c:strRef>
              <c:f>'Chart-5'!$D$33:$D$34</c:f>
              <c:strCache>
                <c:ptCount val="2"/>
                <c:pt idx="0">
                  <c:v>LinkedIn</c:v>
                </c:pt>
                <c:pt idx="1">
                  <c:v>2021</c:v>
                </c:pt>
              </c:strCache>
            </c:strRef>
          </c:tx>
          <c:spPr>
            <a:solidFill>
              <a:schemeClr val="accent2"/>
            </a:solidFill>
            <a:ln>
              <a:noFill/>
            </a:ln>
            <a:effectLst/>
          </c:spPr>
          <c:invertIfNegative val="0"/>
          <c:cat>
            <c:strRef>
              <c:f>'Chart-5'!$B$35:$B$37</c:f>
              <c:strCache>
                <c:ptCount val="3"/>
                <c:pt idx="0">
                  <c:v>Average posts/month</c:v>
                </c:pt>
                <c:pt idx="1">
                  <c:v>Average impressions/month</c:v>
                </c:pt>
                <c:pt idx="2">
                  <c:v>Average clicks/month</c:v>
                </c:pt>
              </c:strCache>
            </c:strRef>
          </c:cat>
          <c:val>
            <c:numRef>
              <c:f>'Chart-5'!$D$35:$D$37</c:f>
              <c:numCache>
                <c:formatCode>#,##0</c:formatCode>
                <c:ptCount val="3"/>
                <c:pt idx="0">
                  <c:v>14</c:v>
                </c:pt>
                <c:pt idx="1">
                  <c:v>43</c:v>
                </c:pt>
                <c:pt idx="2">
                  <c:v>1916</c:v>
                </c:pt>
              </c:numCache>
            </c:numRef>
          </c:val>
          <c:extLst>
            <c:ext xmlns:c16="http://schemas.microsoft.com/office/drawing/2014/chart" uri="{C3380CC4-5D6E-409C-BE32-E72D297353CC}">
              <c16:uniqueId val="{00000001-919B-4B8B-B45B-596934F78E25}"/>
            </c:ext>
          </c:extLst>
        </c:ser>
        <c:dLbls>
          <c:showLegendKey val="0"/>
          <c:showVal val="0"/>
          <c:showCatName val="0"/>
          <c:showSerName val="0"/>
          <c:showPercent val="0"/>
          <c:showBubbleSize val="0"/>
        </c:dLbls>
        <c:gapWidth val="219"/>
        <c:overlap val="-27"/>
        <c:axId val="1645769727"/>
        <c:axId val="1645771391"/>
      </c:barChart>
      <c:catAx>
        <c:axId val="16457697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45771391"/>
        <c:crosses val="autoZero"/>
        <c:auto val="1"/>
        <c:lblAlgn val="ctr"/>
        <c:lblOffset val="100"/>
        <c:noMultiLvlLbl val="0"/>
      </c:catAx>
      <c:valAx>
        <c:axId val="1645771391"/>
        <c:scaling>
          <c:orientation val="minMax"/>
          <c:max val="2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4576972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'Chart 1.1.1 and 1.2.1'!$A$42</c:f>
              <c:strCache>
                <c:ptCount val="1"/>
                <c:pt idx="0">
                  <c:v>EU</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1.1.1 and 1.2.1'!$B$41:$C$41</c:f>
              <c:strCache>
                <c:ptCount val="2"/>
                <c:pt idx="0">
                  <c:v>FCH 2 JU actions</c:v>
                </c:pt>
                <c:pt idx="1">
                  <c:v>Additional Activities</c:v>
                </c:pt>
              </c:strCache>
            </c:strRef>
          </c:cat>
          <c:val>
            <c:numRef>
              <c:f>'Chart 1.1.1 and 1.2.1'!$B$42:$C$42</c:f>
              <c:numCache>
                <c:formatCode>General</c:formatCode>
                <c:ptCount val="2"/>
                <c:pt idx="0" formatCode="0.00">
                  <c:v>627.04459242000007</c:v>
                </c:pt>
              </c:numCache>
            </c:numRef>
          </c:val>
          <c:extLst>
            <c:ext xmlns:c16="http://schemas.microsoft.com/office/drawing/2014/chart" uri="{C3380CC4-5D6E-409C-BE32-E72D297353CC}">
              <c16:uniqueId val="{00000000-2FED-4697-9605-971E706A07AC}"/>
            </c:ext>
          </c:extLst>
        </c:ser>
        <c:ser>
          <c:idx val="1"/>
          <c:order val="1"/>
          <c:tx>
            <c:strRef>
              <c:f>'Chart 1.1.1 and 1.2.1'!$A$43</c:f>
              <c:strCache>
                <c:ptCount val="1"/>
                <c:pt idx="0">
                  <c:v>Private contributions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1.1.1 and 1.2.1'!$B$41:$C$41</c:f>
              <c:strCache>
                <c:ptCount val="2"/>
                <c:pt idx="0">
                  <c:v>FCH 2 JU actions</c:v>
                </c:pt>
                <c:pt idx="1">
                  <c:v>Additional Activities</c:v>
                </c:pt>
              </c:strCache>
            </c:strRef>
          </c:cat>
          <c:val>
            <c:numRef>
              <c:f>'Chart 1.1.1 and 1.2.1'!$B$43:$C$43</c:f>
              <c:numCache>
                <c:formatCode>General</c:formatCode>
                <c:ptCount val="2"/>
                <c:pt idx="0" formatCode="0.00">
                  <c:v>553.25152650000007</c:v>
                </c:pt>
              </c:numCache>
            </c:numRef>
          </c:val>
          <c:extLst>
            <c:ext xmlns:c16="http://schemas.microsoft.com/office/drawing/2014/chart" uri="{C3380CC4-5D6E-409C-BE32-E72D297353CC}">
              <c16:uniqueId val="{00000001-2FED-4697-9605-971E706A07AC}"/>
            </c:ext>
          </c:extLst>
        </c:ser>
        <c:ser>
          <c:idx val="2"/>
          <c:order val="2"/>
          <c:tx>
            <c:strRef>
              <c:f>'Chart 1.1.1 and 1.2.1'!$A$44</c:f>
              <c:strCache>
                <c:ptCount val="1"/>
                <c:pt idx="0">
                  <c:v>Additional activities</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1.1.1 and 1.2.1'!$B$41:$C$41</c:f>
              <c:strCache>
                <c:ptCount val="2"/>
                <c:pt idx="0">
                  <c:v>FCH 2 JU actions</c:v>
                </c:pt>
                <c:pt idx="1">
                  <c:v>Additional Activities</c:v>
                </c:pt>
              </c:strCache>
            </c:strRef>
          </c:cat>
          <c:val>
            <c:numRef>
              <c:f>'Chart 1.1.1 and 1.2.1'!$B$44:$C$44</c:f>
              <c:numCache>
                <c:formatCode>_(* #,##0.00_);_(* \(#,##0.00\);_(* "-"??_);_(@_)</c:formatCode>
                <c:ptCount val="2"/>
                <c:pt idx="1">
                  <c:v>1039</c:v>
                </c:pt>
              </c:numCache>
            </c:numRef>
          </c:val>
          <c:extLst>
            <c:ext xmlns:c16="http://schemas.microsoft.com/office/drawing/2014/chart" uri="{C3380CC4-5D6E-409C-BE32-E72D297353CC}">
              <c16:uniqueId val="{00000002-2FED-4697-9605-971E706A07AC}"/>
            </c:ext>
          </c:extLst>
        </c:ser>
        <c:dLbls>
          <c:showLegendKey val="0"/>
          <c:showVal val="0"/>
          <c:showCatName val="0"/>
          <c:showSerName val="0"/>
          <c:showPercent val="0"/>
          <c:showBubbleSize val="0"/>
        </c:dLbls>
        <c:gapWidth val="150"/>
        <c:overlap val="100"/>
        <c:axId val="1206649920"/>
        <c:axId val="1206660736"/>
      </c:barChart>
      <c:catAx>
        <c:axId val="1206649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06660736"/>
        <c:crosses val="autoZero"/>
        <c:auto val="1"/>
        <c:lblAlgn val="ctr"/>
        <c:lblOffset val="100"/>
        <c:noMultiLvlLbl val="0"/>
      </c:catAx>
      <c:valAx>
        <c:axId val="120666073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06649920"/>
        <c:crosses val="autoZero"/>
        <c:crossBetween val="between"/>
        <c:dispUnits>
          <c:builtInUnit val="thousands"/>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t>Total execution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4255599472990776E-2"/>
          <c:y val="0.16143634385201308"/>
          <c:w val="0.83629371427385801"/>
          <c:h val="0.73759187065708187"/>
        </c:manualLayout>
      </c:layout>
      <c:bar3DChart>
        <c:barDir val="col"/>
        <c:grouping val="clustered"/>
        <c:varyColors val="0"/>
        <c:ser>
          <c:idx val="0"/>
          <c:order val="0"/>
          <c:tx>
            <c:strRef>
              <c:f>Execution!$A$5</c:f>
              <c:strCache>
                <c:ptCount val="1"/>
                <c:pt idx="0">
                  <c:v>2014</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Execution!$B$4:$C$4</c:f>
              <c:strCache>
                <c:ptCount val="2"/>
                <c:pt idx="0">
                  <c:v>Commitment</c:v>
                </c:pt>
                <c:pt idx="1">
                  <c:v>Payment</c:v>
                </c:pt>
              </c:strCache>
            </c:strRef>
          </c:cat>
          <c:val>
            <c:numRef>
              <c:f>Execution!$B$5:$C$5</c:f>
            </c:numRef>
          </c:val>
          <c:shape val="cylinder"/>
          <c:extLst>
            <c:ext xmlns:c16="http://schemas.microsoft.com/office/drawing/2014/chart" uri="{C3380CC4-5D6E-409C-BE32-E72D297353CC}">
              <c16:uniqueId val="{00000000-5A3E-4213-9E39-99F4A4C0D4C3}"/>
            </c:ext>
          </c:extLst>
        </c:ser>
        <c:ser>
          <c:idx val="1"/>
          <c:order val="1"/>
          <c:tx>
            <c:strRef>
              <c:f>Execution!$A$6</c:f>
              <c:strCache>
                <c:ptCount val="1"/>
                <c:pt idx="0">
                  <c:v>2015</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Execution!$B$4:$C$4</c:f>
              <c:strCache>
                <c:ptCount val="2"/>
                <c:pt idx="0">
                  <c:v>Commitment</c:v>
                </c:pt>
                <c:pt idx="1">
                  <c:v>Payment</c:v>
                </c:pt>
              </c:strCache>
            </c:strRef>
          </c:cat>
          <c:val>
            <c:numRef>
              <c:f>Execution!$B$6:$C$6</c:f>
            </c:numRef>
          </c:val>
          <c:shape val="cylinder"/>
          <c:extLst>
            <c:ext xmlns:c16="http://schemas.microsoft.com/office/drawing/2014/chart" uri="{C3380CC4-5D6E-409C-BE32-E72D297353CC}">
              <c16:uniqueId val="{00000001-5A3E-4213-9E39-99F4A4C0D4C3}"/>
            </c:ext>
          </c:extLst>
        </c:ser>
        <c:ser>
          <c:idx val="4"/>
          <c:order val="4"/>
          <c:tx>
            <c:strRef>
              <c:f>Execution!$A$9</c:f>
              <c:strCache>
                <c:ptCount val="1"/>
                <c:pt idx="0">
                  <c:v>2018</c:v>
                </c:pt>
              </c:strCache>
            </c:strRef>
          </c:tx>
          <c:spPr>
            <a:solidFill>
              <a:srgbClr val="FFFF00"/>
            </a:solidFill>
            <a:ln>
              <a:noFill/>
            </a:ln>
            <a:effectLst/>
            <a:sp3d/>
          </c:spPr>
          <c:invertIfNegative val="0"/>
          <c:dLbls>
            <c:dLbl>
              <c:idx val="0"/>
              <c:layout>
                <c:manualLayout>
                  <c:x val="9.3567251461988306E-3"/>
                  <c:y val="-2.5236593059936929E-2"/>
                </c:manualLayout>
              </c:layout>
              <c:showLegendKey val="0"/>
              <c:showVal val="1"/>
              <c:showCatName val="0"/>
              <c:showSerName val="0"/>
              <c:showPercent val="0"/>
              <c:showBubbleSize val="0"/>
              <c:extLst xmlns:c15="http://schemas.microsoft.com/office/drawing/2012/chart">
                <c:ext xmlns:c15="http://schemas.microsoft.com/office/drawing/2012/chart" uri="{CE6537A1-D6FC-4f65-9D91-7224C49458BB}"/>
                <c:ext xmlns:c16="http://schemas.microsoft.com/office/drawing/2014/chart" uri="{C3380CC4-5D6E-409C-BE32-E72D297353CC}">
                  <c16:uniqueId val="{00000002-5A3E-4213-9E39-99F4A4C0D4C3}"/>
                </c:ext>
              </c:extLst>
            </c:dLbl>
            <c:dLbl>
              <c:idx val="1"/>
              <c:layout>
                <c:manualLayout>
                  <c:x val="3.0409356725146285E-2"/>
                  <c:y val="-4.62670872765510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A3E-4213-9E39-99F4A4C0D4C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Execution!$B$4:$C$4</c:f>
              <c:strCache>
                <c:ptCount val="2"/>
                <c:pt idx="0">
                  <c:v>Commitment</c:v>
                </c:pt>
                <c:pt idx="1">
                  <c:v>Payment</c:v>
                </c:pt>
              </c:strCache>
            </c:strRef>
          </c:cat>
          <c:val>
            <c:numRef>
              <c:f>Execution!$B$9:$C$9</c:f>
              <c:numCache>
                <c:formatCode>0%</c:formatCode>
                <c:ptCount val="2"/>
                <c:pt idx="0">
                  <c:v>0.93300000000000005</c:v>
                </c:pt>
                <c:pt idx="1">
                  <c:v>0.83040000000000003</c:v>
                </c:pt>
              </c:numCache>
            </c:numRef>
          </c:val>
          <c:shape val="cylinder"/>
          <c:extLst>
            <c:ext xmlns:c16="http://schemas.microsoft.com/office/drawing/2014/chart" uri="{C3380CC4-5D6E-409C-BE32-E72D297353CC}">
              <c16:uniqueId val="{00000004-5A3E-4213-9E39-99F4A4C0D4C3}"/>
            </c:ext>
          </c:extLst>
        </c:ser>
        <c:ser>
          <c:idx val="5"/>
          <c:order val="5"/>
          <c:tx>
            <c:strRef>
              <c:f>Execution!$A$10</c:f>
              <c:strCache>
                <c:ptCount val="1"/>
                <c:pt idx="0">
                  <c:v>2019</c:v>
                </c:pt>
              </c:strCache>
            </c:strRef>
          </c:tx>
          <c:spPr>
            <a:solidFill>
              <a:srgbClr val="FF0000"/>
            </a:solidFill>
            <a:ln>
              <a:noFill/>
            </a:ln>
            <a:effectLst/>
            <a:sp3d/>
          </c:spPr>
          <c:invertIfNegative val="0"/>
          <c:dLbls>
            <c:dLbl>
              <c:idx val="1"/>
              <c:layout>
                <c:manualLayout>
                  <c:x val="6.0606060606060511E-2"/>
                  <c:y val="-4.35255712731229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A3E-4213-9E39-99F4A4C0D4C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Execution!$B$4:$C$4</c:f>
              <c:strCache>
                <c:ptCount val="2"/>
                <c:pt idx="0">
                  <c:v>Commitment</c:v>
                </c:pt>
                <c:pt idx="1">
                  <c:v>Payment</c:v>
                </c:pt>
              </c:strCache>
            </c:strRef>
          </c:cat>
          <c:val>
            <c:numRef>
              <c:f>Execution!$B$10:$C$10</c:f>
              <c:numCache>
                <c:formatCode>0%</c:formatCode>
                <c:ptCount val="2"/>
                <c:pt idx="0">
                  <c:v>0.85899999999999999</c:v>
                </c:pt>
                <c:pt idx="1">
                  <c:v>0.98380000000000001</c:v>
                </c:pt>
              </c:numCache>
            </c:numRef>
          </c:val>
          <c:shape val="cylinder"/>
          <c:extLst>
            <c:ext xmlns:c16="http://schemas.microsoft.com/office/drawing/2014/chart" uri="{C3380CC4-5D6E-409C-BE32-E72D297353CC}">
              <c16:uniqueId val="{00000006-5A3E-4213-9E39-99F4A4C0D4C3}"/>
            </c:ext>
          </c:extLst>
        </c:ser>
        <c:ser>
          <c:idx val="6"/>
          <c:order val="6"/>
          <c:tx>
            <c:strRef>
              <c:f>Execution!$A$11</c:f>
              <c:strCache>
                <c:ptCount val="1"/>
                <c:pt idx="0">
                  <c:v>2020</c:v>
                </c:pt>
              </c:strCache>
            </c:strRef>
          </c:tx>
          <c:spPr>
            <a:solidFill>
              <a:srgbClr val="00B0F0"/>
            </a:solidFill>
            <a:ln>
              <a:noFill/>
            </a:ln>
            <a:effectLst/>
            <a:sp3d/>
          </c:spPr>
          <c:invertIfNegative val="0"/>
          <c:dLbls>
            <c:dLbl>
              <c:idx val="1"/>
              <c:layout>
                <c:manualLayout>
                  <c:x val="7.9051383399209488E-2"/>
                  <c:y val="-6.09357997823721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A3E-4213-9E39-99F4A4C0D4C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Execution!$B$4:$C$4</c:f>
              <c:strCache>
                <c:ptCount val="2"/>
                <c:pt idx="0">
                  <c:v>Commitment</c:v>
                </c:pt>
                <c:pt idx="1">
                  <c:v>Payment</c:v>
                </c:pt>
              </c:strCache>
            </c:strRef>
          </c:cat>
          <c:val>
            <c:numRef>
              <c:f>Execution!$B$11:$C$11</c:f>
              <c:numCache>
                <c:formatCode>0%</c:formatCode>
                <c:ptCount val="2"/>
                <c:pt idx="0">
                  <c:v>0.94405252844077958</c:v>
                </c:pt>
                <c:pt idx="1">
                  <c:v>0.95301502944811245</c:v>
                </c:pt>
              </c:numCache>
            </c:numRef>
          </c:val>
          <c:shape val="cylinder"/>
          <c:extLst>
            <c:ext xmlns:c16="http://schemas.microsoft.com/office/drawing/2014/chart" uri="{C3380CC4-5D6E-409C-BE32-E72D297353CC}">
              <c16:uniqueId val="{00000008-5A3E-4213-9E39-99F4A4C0D4C3}"/>
            </c:ext>
          </c:extLst>
        </c:ser>
        <c:ser>
          <c:idx val="7"/>
          <c:order val="7"/>
          <c:tx>
            <c:strRef>
              <c:f>Execution!$A$12</c:f>
              <c:strCache>
                <c:ptCount val="1"/>
                <c:pt idx="0">
                  <c:v>2021</c:v>
                </c:pt>
              </c:strCache>
            </c:strRef>
          </c:tx>
          <c:spPr>
            <a:solidFill>
              <a:srgbClr val="92D05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Execution!$B$4:$C$4</c:f>
              <c:strCache>
                <c:ptCount val="2"/>
                <c:pt idx="0">
                  <c:v>Commitment</c:v>
                </c:pt>
                <c:pt idx="1">
                  <c:v>Payment</c:v>
                </c:pt>
              </c:strCache>
            </c:strRef>
          </c:cat>
          <c:val>
            <c:numRef>
              <c:f>Execution!$B$12:$C$12</c:f>
              <c:numCache>
                <c:formatCode>0%</c:formatCode>
                <c:ptCount val="2"/>
                <c:pt idx="0">
                  <c:v>0.96599999999999997</c:v>
                </c:pt>
                <c:pt idx="1">
                  <c:v>0.86821961951805238</c:v>
                </c:pt>
              </c:numCache>
            </c:numRef>
          </c:val>
          <c:shape val="cylinder"/>
          <c:extLst>
            <c:ext xmlns:c16="http://schemas.microsoft.com/office/drawing/2014/chart" uri="{C3380CC4-5D6E-409C-BE32-E72D297353CC}">
              <c16:uniqueId val="{00000009-5A3E-4213-9E39-99F4A4C0D4C3}"/>
            </c:ext>
          </c:extLst>
        </c:ser>
        <c:dLbls>
          <c:showLegendKey val="0"/>
          <c:showVal val="0"/>
          <c:showCatName val="0"/>
          <c:showSerName val="0"/>
          <c:showPercent val="0"/>
          <c:showBubbleSize val="0"/>
        </c:dLbls>
        <c:gapWidth val="150"/>
        <c:shape val="box"/>
        <c:axId val="1689037327"/>
        <c:axId val="1689039407"/>
        <c:axId val="0"/>
        <c:extLst>
          <c:ext xmlns:c15="http://schemas.microsoft.com/office/drawing/2012/chart" uri="{02D57815-91ED-43cb-92C2-25804820EDAC}">
            <c15:filteredBarSeries>
              <c15:ser>
                <c:idx val="2"/>
                <c:order val="2"/>
                <c:tx>
                  <c:strRef>
                    <c:extLst>
                      <c:ext uri="{02D57815-91ED-43cb-92C2-25804820EDAC}">
                        <c15:formulaRef>
                          <c15:sqref>Execution!$A$7</c15:sqref>
                        </c15:formulaRef>
                      </c:ext>
                    </c:extLst>
                    <c:strCache>
                      <c:ptCount val="1"/>
                      <c:pt idx="0">
                        <c:v>2016</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Execution!$B$4:$C$4</c15:sqref>
                        </c15:formulaRef>
                      </c:ext>
                    </c:extLst>
                    <c:strCache>
                      <c:ptCount val="2"/>
                      <c:pt idx="0">
                        <c:v>Commitment</c:v>
                      </c:pt>
                      <c:pt idx="1">
                        <c:v>Payment</c:v>
                      </c:pt>
                    </c:strCache>
                  </c:strRef>
                </c:cat>
                <c:val>
                  <c:numRef>
                    <c:extLst>
                      <c:ext uri="{02D57815-91ED-43cb-92C2-25804820EDAC}">
                        <c15:formulaRef>
                          <c15:sqref>Execution!$B$7:$C$7</c15:sqref>
                        </c15:formulaRef>
                      </c:ext>
                    </c:extLst>
                    <c:numCache>
                      <c:formatCode>0%</c:formatCode>
                      <c:ptCount val="2"/>
                      <c:pt idx="0">
                        <c:v>0.77700000000000002</c:v>
                      </c:pt>
                      <c:pt idx="1">
                        <c:v>0.83899999999999997</c:v>
                      </c:pt>
                    </c:numCache>
                  </c:numRef>
                </c:val>
                <c:shape val="cylinder"/>
                <c:extLst>
                  <c:ext xmlns:c16="http://schemas.microsoft.com/office/drawing/2014/chart" uri="{C3380CC4-5D6E-409C-BE32-E72D297353CC}">
                    <c16:uniqueId val="{0000000A-5A3E-4213-9E39-99F4A4C0D4C3}"/>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Execution!$A$8</c15:sqref>
                        </c15:formulaRef>
                      </c:ext>
                    </c:extLst>
                    <c:strCache>
                      <c:ptCount val="1"/>
                      <c:pt idx="0">
                        <c:v>2017</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Execution!$B$4:$C$4</c15:sqref>
                        </c15:formulaRef>
                      </c:ext>
                    </c:extLst>
                    <c:strCache>
                      <c:ptCount val="2"/>
                      <c:pt idx="0">
                        <c:v>Commitment</c:v>
                      </c:pt>
                      <c:pt idx="1">
                        <c:v>Payment</c:v>
                      </c:pt>
                    </c:strCache>
                  </c:strRef>
                </c:cat>
                <c:val>
                  <c:numRef>
                    <c:extLst xmlns:c15="http://schemas.microsoft.com/office/drawing/2012/chart">
                      <c:ext xmlns:c15="http://schemas.microsoft.com/office/drawing/2012/chart" uri="{02D57815-91ED-43cb-92C2-25804820EDAC}">
                        <c15:formulaRef>
                          <c15:sqref>Execution!$B$8:$C$8</c15:sqref>
                        </c15:formulaRef>
                      </c:ext>
                    </c:extLst>
                    <c:numCache>
                      <c:formatCode>0%</c:formatCode>
                      <c:ptCount val="2"/>
                      <c:pt idx="0">
                        <c:v>0.96230000000000004</c:v>
                      </c:pt>
                      <c:pt idx="1">
                        <c:v>0.89200000000000002</c:v>
                      </c:pt>
                    </c:numCache>
                  </c:numRef>
                </c:val>
                <c:shape val="cylinder"/>
                <c:extLst xmlns:c15="http://schemas.microsoft.com/office/drawing/2012/chart">
                  <c:ext xmlns:c16="http://schemas.microsoft.com/office/drawing/2014/chart" uri="{C3380CC4-5D6E-409C-BE32-E72D297353CC}">
                    <c16:uniqueId val="{0000000B-5A3E-4213-9E39-99F4A4C0D4C3}"/>
                  </c:ext>
                </c:extLst>
              </c15:ser>
            </c15:filteredBarSeries>
          </c:ext>
        </c:extLst>
      </c:bar3DChart>
      <c:catAx>
        <c:axId val="168903732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9039407"/>
        <c:crosses val="autoZero"/>
        <c:auto val="1"/>
        <c:lblAlgn val="ctr"/>
        <c:lblOffset val="100"/>
        <c:noMultiLvlLbl val="0"/>
      </c:catAx>
      <c:valAx>
        <c:axId val="1689039407"/>
        <c:scaling>
          <c:orientation val="minMax"/>
          <c:min val="0"/>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689037327"/>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t>Operational budget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Execution!$A$15</c:f>
              <c:strCache>
                <c:ptCount val="1"/>
                <c:pt idx="0">
                  <c:v>2014</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Execution!$B$14:$C$14</c:f>
              <c:strCache>
                <c:ptCount val="2"/>
                <c:pt idx="0">
                  <c:v>Commitment</c:v>
                </c:pt>
                <c:pt idx="1">
                  <c:v>Payment</c:v>
                </c:pt>
              </c:strCache>
            </c:strRef>
          </c:cat>
          <c:val>
            <c:numRef>
              <c:f>Execution!$B$15:$C$15</c:f>
            </c:numRef>
          </c:val>
          <c:shape val="cylinder"/>
          <c:extLst>
            <c:ext xmlns:c16="http://schemas.microsoft.com/office/drawing/2014/chart" uri="{C3380CC4-5D6E-409C-BE32-E72D297353CC}">
              <c16:uniqueId val="{00000000-7377-4581-A4CE-B80F0BB8902A}"/>
            </c:ext>
          </c:extLst>
        </c:ser>
        <c:ser>
          <c:idx val="1"/>
          <c:order val="1"/>
          <c:tx>
            <c:strRef>
              <c:f>Execution!$A$16</c:f>
              <c:strCache>
                <c:ptCount val="1"/>
                <c:pt idx="0">
                  <c:v>2015</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Execution!$B$14:$C$14</c:f>
              <c:strCache>
                <c:ptCount val="2"/>
                <c:pt idx="0">
                  <c:v>Commitment</c:v>
                </c:pt>
                <c:pt idx="1">
                  <c:v>Payment</c:v>
                </c:pt>
              </c:strCache>
            </c:strRef>
          </c:cat>
          <c:val>
            <c:numRef>
              <c:f>Execution!$B$16:$C$16</c:f>
            </c:numRef>
          </c:val>
          <c:shape val="cylinder"/>
          <c:extLst>
            <c:ext xmlns:c16="http://schemas.microsoft.com/office/drawing/2014/chart" uri="{C3380CC4-5D6E-409C-BE32-E72D297353CC}">
              <c16:uniqueId val="{00000001-7377-4581-A4CE-B80F0BB8902A}"/>
            </c:ext>
          </c:extLst>
        </c:ser>
        <c:ser>
          <c:idx val="4"/>
          <c:order val="4"/>
          <c:tx>
            <c:strRef>
              <c:f>Execution!$A$19</c:f>
              <c:strCache>
                <c:ptCount val="1"/>
                <c:pt idx="0">
                  <c:v>2018</c:v>
                </c:pt>
              </c:strCache>
            </c:strRef>
          </c:tx>
          <c:spPr>
            <a:solidFill>
              <a:srgbClr val="FFFF0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Execution!$B$14:$C$14</c:f>
              <c:strCache>
                <c:ptCount val="2"/>
                <c:pt idx="0">
                  <c:v>Commitment</c:v>
                </c:pt>
                <c:pt idx="1">
                  <c:v>Payment</c:v>
                </c:pt>
              </c:strCache>
            </c:strRef>
          </c:cat>
          <c:val>
            <c:numRef>
              <c:f>Execution!$B$19:$C$19</c:f>
              <c:numCache>
                <c:formatCode>0%</c:formatCode>
                <c:ptCount val="2"/>
                <c:pt idx="0">
                  <c:v>0.93489999999999995</c:v>
                </c:pt>
                <c:pt idx="1">
                  <c:v>0.83360000000000001</c:v>
                </c:pt>
              </c:numCache>
            </c:numRef>
          </c:val>
          <c:shape val="cylinder"/>
          <c:extLst>
            <c:ext xmlns:c16="http://schemas.microsoft.com/office/drawing/2014/chart" uri="{C3380CC4-5D6E-409C-BE32-E72D297353CC}">
              <c16:uniqueId val="{00000002-7377-4581-A4CE-B80F0BB8902A}"/>
            </c:ext>
          </c:extLst>
        </c:ser>
        <c:ser>
          <c:idx val="5"/>
          <c:order val="5"/>
          <c:tx>
            <c:strRef>
              <c:f>Execution!$A$20</c:f>
              <c:strCache>
                <c:ptCount val="1"/>
                <c:pt idx="0">
                  <c:v>2019</c:v>
                </c:pt>
              </c:strCache>
            </c:strRef>
          </c:tx>
          <c:spPr>
            <a:solidFill>
              <a:srgbClr val="FF000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Execution!$B$14:$C$14</c:f>
              <c:strCache>
                <c:ptCount val="2"/>
                <c:pt idx="0">
                  <c:v>Commitment</c:v>
                </c:pt>
                <c:pt idx="1">
                  <c:v>Payment</c:v>
                </c:pt>
              </c:strCache>
            </c:strRef>
          </c:cat>
          <c:val>
            <c:numRef>
              <c:f>Execution!$B$20:$C$20</c:f>
              <c:numCache>
                <c:formatCode>0%</c:formatCode>
                <c:ptCount val="2"/>
                <c:pt idx="0">
                  <c:v>0.85570000000000002</c:v>
                </c:pt>
                <c:pt idx="1">
                  <c:v>0.99719999999999998</c:v>
                </c:pt>
              </c:numCache>
            </c:numRef>
          </c:val>
          <c:shape val="cylinder"/>
          <c:extLst>
            <c:ext xmlns:c16="http://schemas.microsoft.com/office/drawing/2014/chart" uri="{C3380CC4-5D6E-409C-BE32-E72D297353CC}">
              <c16:uniqueId val="{00000003-7377-4581-A4CE-B80F0BB8902A}"/>
            </c:ext>
          </c:extLst>
        </c:ser>
        <c:ser>
          <c:idx val="6"/>
          <c:order val="6"/>
          <c:tx>
            <c:strRef>
              <c:f>Execution!$A$21</c:f>
              <c:strCache>
                <c:ptCount val="1"/>
                <c:pt idx="0">
                  <c:v>2020</c:v>
                </c:pt>
              </c:strCache>
            </c:strRef>
          </c:tx>
          <c:spPr>
            <a:solidFill>
              <a:srgbClr val="00B0F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Execution!$B$14:$C$14</c:f>
              <c:strCache>
                <c:ptCount val="2"/>
                <c:pt idx="0">
                  <c:v>Commitment</c:v>
                </c:pt>
                <c:pt idx="1">
                  <c:v>Payment</c:v>
                </c:pt>
              </c:strCache>
            </c:strRef>
          </c:cat>
          <c:val>
            <c:numRef>
              <c:f>Execution!$B$21:$C$21</c:f>
              <c:numCache>
                <c:formatCode>0%</c:formatCode>
                <c:ptCount val="2"/>
                <c:pt idx="0">
                  <c:v>0.94914493845956693</c:v>
                </c:pt>
                <c:pt idx="1">
                  <c:v>0.96871901937312344</c:v>
                </c:pt>
              </c:numCache>
            </c:numRef>
          </c:val>
          <c:shape val="cylinder"/>
          <c:extLst>
            <c:ext xmlns:c16="http://schemas.microsoft.com/office/drawing/2014/chart" uri="{C3380CC4-5D6E-409C-BE32-E72D297353CC}">
              <c16:uniqueId val="{00000004-7377-4581-A4CE-B80F0BB8902A}"/>
            </c:ext>
          </c:extLst>
        </c:ser>
        <c:ser>
          <c:idx val="7"/>
          <c:order val="7"/>
          <c:tx>
            <c:strRef>
              <c:f>Execution!$A$22</c:f>
              <c:strCache>
                <c:ptCount val="1"/>
                <c:pt idx="0">
                  <c:v>2021</c:v>
                </c:pt>
              </c:strCache>
            </c:strRef>
          </c:tx>
          <c:spPr>
            <a:solidFill>
              <a:srgbClr val="92D05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Execution!$B$14:$C$14</c:f>
              <c:strCache>
                <c:ptCount val="2"/>
                <c:pt idx="0">
                  <c:v>Commitment</c:v>
                </c:pt>
                <c:pt idx="1">
                  <c:v>Payment</c:v>
                </c:pt>
              </c:strCache>
            </c:strRef>
          </c:cat>
          <c:val>
            <c:numRef>
              <c:f>Execution!$B$22:$C$22</c:f>
              <c:numCache>
                <c:formatCode>0%</c:formatCode>
                <c:ptCount val="2"/>
                <c:pt idx="0">
                  <c:v>0.98337540582135496</c:v>
                </c:pt>
                <c:pt idx="1">
                  <c:v>0.87995535485329457</c:v>
                </c:pt>
              </c:numCache>
            </c:numRef>
          </c:val>
          <c:shape val="cylinder"/>
          <c:extLst>
            <c:ext xmlns:c16="http://schemas.microsoft.com/office/drawing/2014/chart" uri="{C3380CC4-5D6E-409C-BE32-E72D297353CC}">
              <c16:uniqueId val="{00000005-7377-4581-A4CE-B80F0BB8902A}"/>
            </c:ext>
          </c:extLst>
        </c:ser>
        <c:dLbls>
          <c:showLegendKey val="0"/>
          <c:showVal val="0"/>
          <c:showCatName val="0"/>
          <c:showSerName val="0"/>
          <c:showPercent val="0"/>
          <c:showBubbleSize val="0"/>
        </c:dLbls>
        <c:gapWidth val="150"/>
        <c:shape val="box"/>
        <c:axId val="1689037327"/>
        <c:axId val="1689039407"/>
        <c:axId val="0"/>
        <c:extLst>
          <c:ext xmlns:c15="http://schemas.microsoft.com/office/drawing/2012/chart" uri="{02D57815-91ED-43cb-92C2-25804820EDAC}">
            <c15:filteredBarSeries>
              <c15:ser>
                <c:idx val="2"/>
                <c:order val="2"/>
                <c:tx>
                  <c:strRef>
                    <c:extLst>
                      <c:ext uri="{02D57815-91ED-43cb-92C2-25804820EDAC}">
                        <c15:formulaRef>
                          <c15:sqref>Execution!$A$17</c15:sqref>
                        </c15:formulaRef>
                      </c:ext>
                    </c:extLst>
                    <c:strCache>
                      <c:ptCount val="1"/>
                      <c:pt idx="0">
                        <c:v>2016</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Execution!$B$14:$C$14</c15:sqref>
                        </c15:formulaRef>
                      </c:ext>
                    </c:extLst>
                    <c:strCache>
                      <c:ptCount val="2"/>
                      <c:pt idx="0">
                        <c:v>Commitment</c:v>
                      </c:pt>
                      <c:pt idx="1">
                        <c:v>Payment</c:v>
                      </c:pt>
                    </c:strCache>
                  </c:strRef>
                </c:cat>
                <c:val>
                  <c:numRef>
                    <c:extLst>
                      <c:ext uri="{02D57815-91ED-43cb-92C2-25804820EDAC}">
                        <c15:formulaRef>
                          <c15:sqref>Execution!$B$17:$C$17</c15:sqref>
                        </c15:formulaRef>
                      </c:ext>
                    </c:extLst>
                    <c:numCache>
                      <c:formatCode>0%</c:formatCode>
                      <c:ptCount val="2"/>
                      <c:pt idx="0">
                        <c:v>0.77300000000000002</c:v>
                      </c:pt>
                      <c:pt idx="1">
                        <c:v>0.84399999999999997</c:v>
                      </c:pt>
                    </c:numCache>
                  </c:numRef>
                </c:val>
                <c:shape val="cylinder"/>
                <c:extLst>
                  <c:ext xmlns:c16="http://schemas.microsoft.com/office/drawing/2014/chart" uri="{C3380CC4-5D6E-409C-BE32-E72D297353CC}">
                    <c16:uniqueId val="{00000006-7377-4581-A4CE-B80F0BB8902A}"/>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Execution!$A$18</c15:sqref>
                        </c15:formulaRef>
                      </c:ext>
                    </c:extLst>
                    <c:strCache>
                      <c:ptCount val="1"/>
                      <c:pt idx="0">
                        <c:v>2017</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Execution!$B$14:$C$14</c15:sqref>
                        </c15:formulaRef>
                      </c:ext>
                    </c:extLst>
                    <c:strCache>
                      <c:ptCount val="2"/>
                      <c:pt idx="0">
                        <c:v>Commitment</c:v>
                      </c:pt>
                      <c:pt idx="1">
                        <c:v>Payment</c:v>
                      </c:pt>
                    </c:strCache>
                  </c:strRef>
                </c:cat>
                <c:val>
                  <c:numRef>
                    <c:extLst xmlns:c15="http://schemas.microsoft.com/office/drawing/2012/chart">
                      <c:ext xmlns:c15="http://schemas.microsoft.com/office/drawing/2012/chart" uri="{02D57815-91ED-43cb-92C2-25804820EDAC}">
                        <c15:formulaRef>
                          <c15:sqref>Execution!$B$18:$C$18</c15:sqref>
                        </c15:formulaRef>
                      </c:ext>
                    </c:extLst>
                    <c:numCache>
                      <c:formatCode>0%</c:formatCode>
                      <c:ptCount val="2"/>
                      <c:pt idx="0">
                        <c:v>0.96419999999999995</c:v>
                      </c:pt>
                      <c:pt idx="1">
                        <c:v>0.89549999999999996</c:v>
                      </c:pt>
                    </c:numCache>
                  </c:numRef>
                </c:val>
                <c:shape val="cylinder"/>
                <c:extLst xmlns:c15="http://schemas.microsoft.com/office/drawing/2012/chart">
                  <c:ext xmlns:c16="http://schemas.microsoft.com/office/drawing/2014/chart" uri="{C3380CC4-5D6E-409C-BE32-E72D297353CC}">
                    <c16:uniqueId val="{00000007-7377-4581-A4CE-B80F0BB8902A}"/>
                  </c:ext>
                </c:extLst>
              </c15:ser>
            </c15:filteredBarSeries>
          </c:ext>
        </c:extLst>
      </c:bar3DChart>
      <c:catAx>
        <c:axId val="168903732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9039407"/>
        <c:crosses val="autoZero"/>
        <c:auto val="1"/>
        <c:lblAlgn val="ctr"/>
        <c:lblOffset val="100"/>
        <c:noMultiLvlLbl val="0"/>
      </c:catAx>
      <c:valAx>
        <c:axId val="1689039407"/>
        <c:scaling>
          <c:orientation val="minMax"/>
          <c:min val="0"/>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689037327"/>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t>Administrative budget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0"/>
      <c:rotY val="10"/>
      <c:rAngAx val="0"/>
      <c:perspective val="1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4"/>
          <c:order val="4"/>
          <c:tx>
            <c:strRef>
              <c:f>Execution!$A$29</c:f>
              <c:strCache>
                <c:ptCount val="1"/>
                <c:pt idx="0">
                  <c:v>2018</c:v>
                </c:pt>
              </c:strCache>
            </c:strRef>
          </c:tx>
          <c:spPr>
            <a:solidFill>
              <a:srgbClr val="FFFF0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Execution!$B$24:$C$24</c:f>
              <c:strCache>
                <c:ptCount val="2"/>
                <c:pt idx="0">
                  <c:v>Commitment</c:v>
                </c:pt>
                <c:pt idx="1">
                  <c:v>Payment</c:v>
                </c:pt>
              </c:strCache>
            </c:strRef>
          </c:cat>
          <c:val>
            <c:numRef>
              <c:f>Execution!$B$29:$C$29</c:f>
              <c:numCache>
                <c:formatCode>0%</c:formatCode>
                <c:ptCount val="2"/>
                <c:pt idx="0">
                  <c:v>0.90650000000000008</c:v>
                </c:pt>
                <c:pt idx="1">
                  <c:v>0.77190000000000003</c:v>
                </c:pt>
              </c:numCache>
            </c:numRef>
          </c:val>
          <c:shape val="cylinder"/>
          <c:extLst>
            <c:ext xmlns:c16="http://schemas.microsoft.com/office/drawing/2014/chart" uri="{C3380CC4-5D6E-409C-BE32-E72D297353CC}">
              <c16:uniqueId val="{00000000-BA7E-4D55-95E9-9F1B1D6857E5}"/>
            </c:ext>
          </c:extLst>
        </c:ser>
        <c:ser>
          <c:idx val="5"/>
          <c:order val="5"/>
          <c:tx>
            <c:strRef>
              <c:f>Execution!$A$30</c:f>
              <c:strCache>
                <c:ptCount val="1"/>
                <c:pt idx="0">
                  <c:v>2019</c:v>
                </c:pt>
              </c:strCache>
            </c:strRef>
          </c:tx>
          <c:spPr>
            <a:solidFill>
              <a:srgbClr val="FF000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Execution!$B$24:$C$24</c:f>
              <c:strCache>
                <c:ptCount val="2"/>
                <c:pt idx="0">
                  <c:v>Commitment</c:v>
                </c:pt>
                <c:pt idx="1">
                  <c:v>Payment</c:v>
                </c:pt>
              </c:strCache>
            </c:strRef>
          </c:cat>
          <c:val>
            <c:numRef>
              <c:f>Execution!$B$30:$C$30</c:f>
              <c:numCache>
                <c:formatCode>0%</c:formatCode>
                <c:ptCount val="2"/>
                <c:pt idx="0">
                  <c:v>0.90859999999999996</c:v>
                </c:pt>
                <c:pt idx="1">
                  <c:v>0.76200000000000001</c:v>
                </c:pt>
              </c:numCache>
            </c:numRef>
          </c:val>
          <c:shape val="cylinder"/>
          <c:extLst>
            <c:ext xmlns:c16="http://schemas.microsoft.com/office/drawing/2014/chart" uri="{C3380CC4-5D6E-409C-BE32-E72D297353CC}">
              <c16:uniqueId val="{00000001-BA7E-4D55-95E9-9F1B1D6857E5}"/>
            </c:ext>
          </c:extLst>
        </c:ser>
        <c:ser>
          <c:idx val="6"/>
          <c:order val="6"/>
          <c:tx>
            <c:strRef>
              <c:f>Execution!$A$31</c:f>
              <c:strCache>
                <c:ptCount val="1"/>
                <c:pt idx="0">
                  <c:v>2020</c:v>
                </c:pt>
              </c:strCache>
            </c:strRef>
          </c:tx>
          <c:spPr>
            <a:solidFill>
              <a:srgbClr val="00B0F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Execution!$B$24:$C$24</c:f>
              <c:strCache>
                <c:ptCount val="2"/>
                <c:pt idx="0">
                  <c:v>Commitment</c:v>
                </c:pt>
                <c:pt idx="1">
                  <c:v>Payment</c:v>
                </c:pt>
              </c:strCache>
            </c:strRef>
          </c:cat>
          <c:val>
            <c:numRef>
              <c:f>Execution!$B$31:$C$31</c:f>
              <c:numCache>
                <c:formatCode>0%</c:formatCode>
                <c:ptCount val="2"/>
                <c:pt idx="0">
                  <c:v>0.85891737683801384</c:v>
                </c:pt>
                <c:pt idx="1">
                  <c:v>0.72736412747628865</c:v>
                </c:pt>
              </c:numCache>
            </c:numRef>
          </c:val>
          <c:shape val="cylinder"/>
          <c:extLst>
            <c:ext xmlns:c16="http://schemas.microsoft.com/office/drawing/2014/chart" uri="{C3380CC4-5D6E-409C-BE32-E72D297353CC}">
              <c16:uniqueId val="{00000002-BA7E-4D55-95E9-9F1B1D6857E5}"/>
            </c:ext>
          </c:extLst>
        </c:ser>
        <c:ser>
          <c:idx val="7"/>
          <c:order val="7"/>
          <c:tx>
            <c:strRef>
              <c:f>Execution!$A$32</c:f>
              <c:strCache>
                <c:ptCount val="1"/>
                <c:pt idx="0">
                  <c:v>2021</c:v>
                </c:pt>
              </c:strCache>
            </c:strRef>
          </c:tx>
          <c:spPr>
            <a:solidFill>
              <a:srgbClr val="92D05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Execution!$B$24:$C$24</c:f>
              <c:strCache>
                <c:ptCount val="2"/>
                <c:pt idx="0">
                  <c:v>Commitment</c:v>
                </c:pt>
                <c:pt idx="1">
                  <c:v>Payment</c:v>
                </c:pt>
              </c:strCache>
            </c:strRef>
          </c:cat>
          <c:val>
            <c:numRef>
              <c:f>Execution!$B$32:$C$32</c:f>
              <c:numCache>
                <c:formatCode>0%</c:formatCode>
                <c:ptCount val="2"/>
                <c:pt idx="0">
                  <c:v>0.934883836508697</c:v>
                </c:pt>
                <c:pt idx="1">
                  <c:v>0.77909358612674662</c:v>
                </c:pt>
              </c:numCache>
            </c:numRef>
          </c:val>
          <c:shape val="cylinder"/>
          <c:extLst>
            <c:ext xmlns:c16="http://schemas.microsoft.com/office/drawing/2014/chart" uri="{C3380CC4-5D6E-409C-BE32-E72D297353CC}">
              <c16:uniqueId val="{00000003-BA7E-4D55-95E9-9F1B1D6857E5}"/>
            </c:ext>
          </c:extLst>
        </c:ser>
        <c:dLbls>
          <c:showLegendKey val="0"/>
          <c:showVal val="0"/>
          <c:showCatName val="0"/>
          <c:showSerName val="0"/>
          <c:showPercent val="0"/>
          <c:showBubbleSize val="0"/>
        </c:dLbls>
        <c:gapWidth val="219"/>
        <c:shape val="box"/>
        <c:axId val="212561264"/>
        <c:axId val="136877120"/>
        <c:axId val="0"/>
        <c:extLst>
          <c:ext xmlns:c15="http://schemas.microsoft.com/office/drawing/2012/chart" uri="{02D57815-91ED-43cb-92C2-25804820EDAC}">
            <c15:filteredBarSeries>
              <c15:ser>
                <c:idx val="0"/>
                <c:order val="0"/>
                <c:tx>
                  <c:strRef>
                    <c:extLst>
                      <c:ext uri="{02D57815-91ED-43cb-92C2-25804820EDAC}">
                        <c15:formulaRef>
                          <c15:sqref>Execution!$A$25</c15:sqref>
                        </c15:formulaRef>
                      </c:ext>
                    </c:extLst>
                    <c:strCache>
                      <c:ptCount val="1"/>
                      <c:pt idx="0">
                        <c:v>2014</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Execution!$B$24:$C$24</c15:sqref>
                        </c15:formulaRef>
                      </c:ext>
                    </c:extLst>
                    <c:strCache>
                      <c:ptCount val="2"/>
                      <c:pt idx="0">
                        <c:v>Commitment</c:v>
                      </c:pt>
                      <c:pt idx="1">
                        <c:v>Payment</c:v>
                      </c:pt>
                    </c:strCache>
                  </c:strRef>
                </c:cat>
                <c:val>
                  <c:numRef>
                    <c:extLst>
                      <c:ext uri="{02D57815-91ED-43cb-92C2-25804820EDAC}">
                        <c15:formulaRef>
                          <c15:sqref>Execution!$B$25:$C$25</c15:sqref>
                        </c15:formulaRef>
                      </c:ext>
                    </c:extLst>
                    <c:numCache>
                      <c:formatCode>0%</c:formatCode>
                      <c:ptCount val="2"/>
                      <c:pt idx="0">
                        <c:v>0.88300000000000001</c:v>
                      </c:pt>
                      <c:pt idx="1">
                        <c:v>0.71799999999999997</c:v>
                      </c:pt>
                    </c:numCache>
                  </c:numRef>
                </c:val>
                <c:extLst>
                  <c:ext xmlns:c16="http://schemas.microsoft.com/office/drawing/2014/chart" uri="{C3380CC4-5D6E-409C-BE32-E72D297353CC}">
                    <c16:uniqueId val="{00000004-BA7E-4D55-95E9-9F1B1D6857E5}"/>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Execution!$A$26</c15:sqref>
                        </c15:formulaRef>
                      </c:ext>
                    </c:extLst>
                    <c:strCache>
                      <c:ptCount val="1"/>
                      <c:pt idx="0">
                        <c:v>2015</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Execution!$B$24:$C$24</c15:sqref>
                        </c15:formulaRef>
                      </c:ext>
                    </c:extLst>
                    <c:strCache>
                      <c:ptCount val="2"/>
                      <c:pt idx="0">
                        <c:v>Commitment</c:v>
                      </c:pt>
                      <c:pt idx="1">
                        <c:v>Payment</c:v>
                      </c:pt>
                    </c:strCache>
                  </c:strRef>
                </c:cat>
                <c:val>
                  <c:numRef>
                    <c:extLst xmlns:c15="http://schemas.microsoft.com/office/drawing/2012/chart">
                      <c:ext xmlns:c15="http://schemas.microsoft.com/office/drawing/2012/chart" uri="{02D57815-91ED-43cb-92C2-25804820EDAC}">
                        <c15:formulaRef>
                          <c15:sqref>Execution!$B$26:$C$26</c15:sqref>
                        </c15:formulaRef>
                      </c:ext>
                    </c:extLst>
                    <c:numCache>
                      <c:formatCode>0%</c:formatCode>
                      <c:ptCount val="2"/>
                      <c:pt idx="0">
                        <c:v>0.83699999999999997</c:v>
                      </c:pt>
                      <c:pt idx="1">
                        <c:v>0.751</c:v>
                      </c:pt>
                    </c:numCache>
                  </c:numRef>
                </c:val>
                <c:extLst xmlns:c15="http://schemas.microsoft.com/office/drawing/2012/chart">
                  <c:ext xmlns:c16="http://schemas.microsoft.com/office/drawing/2014/chart" uri="{C3380CC4-5D6E-409C-BE32-E72D297353CC}">
                    <c16:uniqueId val="{00000005-BA7E-4D55-95E9-9F1B1D6857E5}"/>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Execution!$A$27</c15:sqref>
                        </c15:formulaRef>
                      </c:ext>
                    </c:extLst>
                    <c:strCache>
                      <c:ptCount val="1"/>
                      <c:pt idx="0">
                        <c:v>2016</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Execution!$B$24:$C$24</c15:sqref>
                        </c15:formulaRef>
                      </c:ext>
                    </c:extLst>
                    <c:strCache>
                      <c:ptCount val="2"/>
                      <c:pt idx="0">
                        <c:v>Commitment</c:v>
                      </c:pt>
                      <c:pt idx="1">
                        <c:v>Payment</c:v>
                      </c:pt>
                    </c:strCache>
                  </c:strRef>
                </c:cat>
                <c:val>
                  <c:numRef>
                    <c:extLst xmlns:c15="http://schemas.microsoft.com/office/drawing/2012/chart">
                      <c:ext xmlns:c15="http://schemas.microsoft.com/office/drawing/2012/chart" uri="{02D57815-91ED-43cb-92C2-25804820EDAC}">
                        <c15:formulaRef>
                          <c15:sqref>Execution!$B$27:$C$27</c15:sqref>
                        </c15:formulaRef>
                      </c:ext>
                    </c:extLst>
                    <c:numCache>
                      <c:formatCode>0%</c:formatCode>
                      <c:ptCount val="2"/>
                      <c:pt idx="0">
                        <c:v>0.873</c:v>
                      </c:pt>
                      <c:pt idx="1">
                        <c:v>0.73599999999999999</c:v>
                      </c:pt>
                    </c:numCache>
                  </c:numRef>
                </c:val>
                <c:extLst xmlns:c15="http://schemas.microsoft.com/office/drawing/2012/chart">
                  <c:ext xmlns:c16="http://schemas.microsoft.com/office/drawing/2014/chart" uri="{C3380CC4-5D6E-409C-BE32-E72D297353CC}">
                    <c16:uniqueId val="{00000006-BA7E-4D55-95E9-9F1B1D6857E5}"/>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Execution!$A$28</c15:sqref>
                        </c15:formulaRef>
                      </c:ext>
                    </c:extLst>
                    <c:strCache>
                      <c:ptCount val="1"/>
                      <c:pt idx="0">
                        <c:v>2017</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Execution!$B$24:$C$24</c15:sqref>
                        </c15:formulaRef>
                      </c:ext>
                    </c:extLst>
                    <c:strCache>
                      <c:ptCount val="2"/>
                      <c:pt idx="0">
                        <c:v>Commitment</c:v>
                      </c:pt>
                      <c:pt idx="1">
                        <c:v>Payment</c:v>
                      </c:pt>
                    </c:strCache>
                  </c:strRef>
                </c:cat>
                <c:val>
                  <c:numRef>
                    <c:extLst xmlns:c15="http://schemas.microsoft.com/office/drawing/2012/chart">
                      <c:ext xmlns:c15="http://schemas.microsoft.com/office/drawing/2012/chart" uri="{02D57815-91ED-43cb-92C2-25804820EDAC}">
                        <c15:formulaRef>
                          <c15:sqref>Execution!$B$28:$C$28</c15:sqref>
                        </c15:formulaRef>
                      </c:ext>
                    </c:extLst>
                    <c:numCache>
                      <c:formatCode>0%</c:formatCode>
                      <c:ptCount val="2"/>
                      <c:pt idx="0">
                        <c:v>0.91839999999999999</c:v>
                      </c:pt>
                      <c:pt idx="1">
                        <c:v>0.78400000000000003</c:v>
                      </c:pt>
                    </c:numCache>
                  </c:numRef>
                </c:val>
                <c:extLst xmlns:c15="http://schemas.microsoft.com/office/drawing/2012/chart">
                  <c:ext xmlns:c16="http://schemas.microsoft.com/office/drawing/2014/chart" uri="{C3380CC4-5D6E-409C-BE32-E72D297353CC}">
                    <c16:uniqueId val="{00000007-BA7E-4D55-95E9-9F1B1D6857E5}"/>
                  </c:ext>
                </c:extLst>
              </c15:ser>
            </c15:filteredBarSeries>
          </c:ext>
        </c:extLst>
      </c:bar3DChart>
      <c:catAx>
        <c:axId val="212561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6877120"/>
        <c:crosses val="autoZero"/>
        <c:auto val="1"/>
        <c:lblAlgn val="ctr"/>
        <c:lblOffset val="100"/>
        <c:noMultiLvlLbl val="0"/>
      </c:catAx>
      <c:valAx>
        <c:axId val="136877120"/>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125612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cap="all" baseline="0">
                <a:solidFill>
                  <a:sysClr val="windowText" lastClr="000000">
                    <a:lumMod val="65000"/>
                    <a:lumOff val="35000"/>
                  </a:sysClr>
                </a:solidFill>
                <a:latin typeface="+mn-lt"/>
                <a:ea typeface="+mn-ea"/>
                <a:cs typeface="+mn-cs"/>
              </a:defRPr>
            </a:pPr>
            <a:r>
              <a:rPr lang="en-US" sz="1800" b="1" i="0" cap="all" baseline="0">
                <a:effectLst/>
              </a:rPr>
              <a:t>JU STAFF BY NATIONALITIES (31/12/2021)</a:t>
            </a:r>
            <a:endParaRPr lang="en-GB">
              <a:effectLst/>
            </a:endParaRPr>
          </a:p>
        </c:rich>
      </c:tx>
      <c:layout>
        <c:manualLayout>
          <c:xMode val="edge"/>
          <c:yMode val="edge"/>
          <c:x val="0.14760592972983752"/>
          <c:y val="0"/>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cap="all" baseline="0">
              <a:solidFill>
                <a:sysClr val="windowText" lastClr="000000">
                  <a:lumMod val="65000"/>
                  <a:lumOff val="35000"/>
                </a:sys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Sheet1!$A$11</c:f>
              <c:strCache>
                <c:ptCount val="1"/>
                <c:pt idx="0">
                  <c:v>population</c:v>
                </c:pt>
              </c:strCache>
            </c:strRef>
          </c:tx>
          <c:spPr>
            <a:ln>
              <a:solidFill>
                <a:schemeClr val="bg1"/>
              </a:solidFill>
            </a:ln>
          </c:spPr>
          <c:dPt>
            <c:idx val="0"/>
            <c:bubble3D val="0"/>
            <c:spPr>
              <a:solidFill>
                <a:schemeClr val="accent1">
                  <a:alpha val="90000"/>
                </a:schemeClr>
              </a:solidFill>
              <a:ln w="19050">
                <a:solidFill>
                  <a:schemeClr val="bg1"/>
                </a:solidFill>
              </a:ln>
              <a:effectLst>
                <a:innerShdw blurRad="114300">
                  <a:schemeClr val="accent1">
                    <a:lumMod val="75000"/>
                  </a:schemeClr>
                </a:innerShdw>
              </a:effectLst>
              <a:scene3d>
                <a:camera prst="orthographicFront"/>
                <a:lightRig rig="threePt" dir="t"/>
              </a:scene3d>
              <a:sp3d contourW="19050" prstMaterial="flat">
                <a:contourClr>
                  <a:schemeClr val="bg1"/>
                </a:contourClr>
              </a:sp3d>
            </c:spPr>
            <c:extLst>
              <c:ext xmlns:c16="http://schemas.microsoft.com/office/drawing/2014/chart" uri="{C3380CC4-5D6E-409C-BE32-E72D297353CC}">
                <c16:uniqueId val="{00000001-045E-49A3-A7DB-593F64FC6ADB}"/>
              </c:ext>
            </c:extLst>
          </c:dPt>
          <c:dPt>
            <c:idx val="1"/>
            <c:bubble3D val="0"/>
            <c:spPr>
              <a:solidFill>
                <a:schemeClr val="accent2">
                  <a:alpha val="90000"/>
                </a:schemeClr>
              </a:solidFill>
              <a:ln w="19050">
                <a:solidFill>
                  <a:schemeClr val="bg1"/>
                </a:solidFill>
              </a:ln>
              <a:effectLst>
                <a:innerShdw blurRad="114300">
                  <a:schemeClr val="accent2">
                    <a:lumMod val="75000"/>
                  </a:schemeClr>
                </a:innerShdw>
              </a:effectLst>
              <a:scene3d>
                <a:camera prst="orthographicFront"/>
                <a:lightRig rig="threePt" dir="t"/>
              </a:scene3d>
              <a:sp3d contourW="19050" prstMaterial="flat">
                <a:contourClr>
                  <a:schemeClr val="bg1"/>
                </a:contourClr>
              </a:sp3d>
            </c:spPr>
            <c:extLst>
              <c:ext xmlns:c16="http://schemas.microsoft.com/office/drawing/2014/chart" uri="{C3380CC4-5D6E-409C-BE32-E72D297353CC}">
                <c16:uniqueId val="{00000003-045E-49A3-A7DB-593F64FC6ADB}"/>
              </c:ext>
            </c:extLst>
          </c:dPt>
          <c:dPt>
            <c:idx val="2"/>
            <c:bubble3D val="0"/>
            <c:spPr>
              <a:solidFill>
                <a:schemeClr val="accent3">
                  <a:alpha val="90000"/>
                </a:schemeClr>
              </a:solidFill>
              <a:ln w="19050">
                <a:solidFill>
                  <a:schemeClr val="bg1"/>
                </a:solidFill>
              </a:ln>
              <a:effectLst>
                <a:innerShdw blurRad="114300">
                  <a:schemeClr val="accent3">
                    <a:lumMod val="75000"/>
                  </a:schemeClr>
                </a:innerShdw>
              </a:effectLst>
              <a:scene3d>
                <a:camera prst="orthographicFront"/>
                <a:lightRig rig="threePt" dir="t"/>
              </a:scene3d>
              <a:sp3d contourW="19050" prstMaterial="flat">
                <a:contourClr>
                  <a:schemeClr val="bg1"/>
                </a:contourClr>
              </a:sp3d>
            </c:spPr>
            <c:extLst>
              <c:ext xmlns:c16="http://schemas.microsoft.com/office/drawing/2014/chart" uri="{C3380CC4-5D6E-409C-BE32-E72D297353CC}">
                <c16:uniqueId val="{00000005-045E-49A3-A7DB-593F64FC6ADB}"/>
              </c:ext>
            </c:extLst>
          </c:dPt>
          <c:dPt>
            <c:idx val="3"/>
            <c:bubble3D val="0"/>
            <c:spPr>
              <a:solidFill>
                <a:schemeClr val="accent4">
                  <a:alpha val="90000"/>
                </a:schemeClr>
              </a:solidFill>
              <a:ln w="19050">
                <a:solidFill>
                  <a:schemeClr val="bg1"/>
                </a:solidFill>
              </a:ln>
              <a:effectLst>
                <a:innerShdw blurRad="114300">
                  <a:schemeClr val="accent4">
                    <a:lumMod val="75000"/>
                  </a:schemeClr>
                </a:innerShdw>
              </a:effectLst>
              <a:scene3d>
                <a:camera prst="orthographicFront"/>
                <a:lightRig rig="threePt" dir="t"/>
              </a:scene3d>
              <a:sp3d contourW="19050" prstMaterial="flat">
                <a:contourClr>
                  <a:schemeClr val="bg1"/>
                </a:contourClr>
              </a:sp3d>
            </c:spPr>
            <c:extLst>
              <c:ext xmlns:c16="http://schemas.microsoft.com/office/drawing/2014/chart" uri="{C3380CC4-5D6E-409C-BE32-E72D297353CC}">
                <c16:uniqueId val="{00000007-045E-49A3-A7DB-593F64FC6ADB}"/>
              </c:ext>
            </c:extLst>
          </c:dPt>
          <c:dPt>
            <c:idx val="4"/>
            <c:bubble3D val="0"/>
            <c:spPr>
              <a:solidFill>
                <a:schemeClr val="accent5">
                  <a:alpha val="90000"/>
                </a:schemeClr>
              </a:solidFill>
              <a:ln w="19050">
                <a:solidFill>
                  <a:schemeClr val="bg1"/>
                </a:solidFill>
              </a:ln>
              <a:effectLst>
                <a:innerShdw blurRad="114300">
                  <a:schemeClr val="accent5">
                    <a:lumMod val="75000"/>
                  </a:schemeClr>
                </a:innerShdw>
              </a:effectLst>
              <a:scene3d>
                <a:camera prst="orthographicFront"/>
                <a:lightRig rig="threePt" dir="t"/>
              </a:scene3d>
              <a:sp3d contourW="19050" prstMaterial="flat">
                <a:contourClr>
                  <a:schemeClr val="bg1"/>
                </a:contourClr>
              </a:sp3d>
            </c:spPr>
            <c:extLst>
              <c:ext xmlns:c16="http://schemas.microsoft.com/office/drawing/2014/chart" uri="{C3380CC4-5D6E-409C-BE32-E72D297353CC}">
                <c16:uniqueId val="{00000009-045E-49A3-A7DB-593F64FC6ADB}"/>
              </c:ext>
            </c:extLst>
          </c:dPt>
          <c:dPt>
            <c:idx val="5"/>
            <c:bubble3D val="0"/>
            <c:spPr>
              <a:solidFill>
                <a:schemeClr val="accent6">
                  <a:alpha val="90000"/>
                </a:schemeClr>
              </a:solidFill>
              <a:ln w="19050">
                <a:solidFill>
                  <a:schemeClr val="bg1"/>
                </a:solidFill>
              </a:ln>
              <a:effectLst>
                <a:innerShdw blurRad="114300">
                  <a:schemeClr val="accent6">
                    <a:lumMod val="75000"/>
                  </a:schemeClr>
                </a:innerShdw>
              </a:effectLst>
              <a:scene3d>
                <a:camera prst="orthographicFront"/>
                <a:lightRig rig="threePt" dir="t"/>
              </a:scene3d>
              <a:sp3d contourW="19050" prstMaterial="flat">
                <a:contourClr>
                  <a:schemeClr val="bg1"/>
                </a:contourClr>
              </a:sp3d>
            </c:spPr>
            <c:extLst>
              <c:ext xmlns:c16="http://schemas.microsoft.com/office/drawing/2014/chart" uri="{C3380CC4-5D6E-409C-BE32-E72D297353CC}">
                <c16:uniqueId val="{0000000B-045E-49A3-A7DB-593F64FC6ADB}"/>
              </c:ext>
            </c:extLst>
          </c:dPt>
          <c:dPt>
            <c:idx val="6"/>
            <c:bubble3D val="0"/>
            <c:spPr>
              <a:solidFill>
                <a:schemeClr val="accent1">
                  <a:lumMod val="60000"/>
                  <a:alpha val="90000"/>
                </a:schemeClr>
              </a:solidFill>
              <a:ln w="19050">
                <a:solidFill>
                  <a:schemeClr val="bg1"/>
                </a:solidFill>
              </a:ln>
              <a:effectLst>
                <a:innerShdw blurRad="114300">
                  <a:schemeClr val="accent1">
                    <a:lumMod val="60000"/>
                    <a:lumMod val="75000"/>
                  </a:schemeClr>
                </a:innerShdw>
              </a:effectLst>
              <a:scene3d>
                <a:camera prst="orthographicFront"/>
                <a:lightRig rig="threePt" dir="t"/>
              </a:scene3d>
              <a:sp3d contourW="19050" prstMaterial="flat">
                <a:contourClr>
                  <a:schemeClr val="bg1"/>
                </a:contourClr>
              </a:sp3d>
            </c:spPr>
            <c:extLst>
              <c:ext xmlns:c16="http://schemas.microsoft.com/office/drawing/2014/chart" uri="{C3380CC4-5D6E-409C-BE32-E72D297353CC}">
                <c16:uniqueId val="{0000000D-045E-49A3-A7DB-593F64FC6ADB}"/>
              </c:ext>
            </c:extLst>
          </c:dPt>
          <c:dPt>
            <c:idx val="7"/>
            <c:bubble3D val="0"/>
            <c:spPr>
              <a:solidFill>
                <a:schemeClr val="accent2">
                  <a:lumMod val="60000"/>
                  <a:alpha val="90000"/>
                </a:schemeClr>
              </a:solidFill>
              <a:ln w="19050">
                <a:solidFill>
                  <a:schemeClr val="bg1"/>
                </a:solidFill>
              </a:ln>
              <a:effectLst>
                <a:innerShdw blurRad="114300">
                  <a:schemeClr val="accent2">
                    <a:lumMod val="60000"/>
                    <a:lumMod val="75000"/>
                  </a:schemeClr>
                </a:innerShdw>
              </a:effectLst>
              <a:scene3d>
                <a:camera prst="orthographicFront"/>
                <a:lightRig rig="threePt" dir="t"/>
              </a:scene3d>
              <a:sp3d contourW="19050" prstMaterial="flat">
                <a:contourClr>
                  <a:schemeClr val="bg1"/>
                </a:contourClr>
              </a:sp3d>
            </c:spPr>
            <c:extLst>
              <c:ext xmlns:c16="http://schemas.microsoft.com/office/drawing/2014/chart" uri="{C3380CC4-5D6E-409C-BE32-E72D297353CC}">
                <c16:uniqueId val="{0000000F-045E-49A3-A7DB-593F64FC6ADB}"/>
              </c:ext>
            </c:extLst>
          </c:dPt>
          <c:dPt>
            <c:idx val="8"/>
            <c:bubble3D val="0"/>
            <c:spPr>
              <a:solidFill>
                <a:schemeClr val="accent3">
                  <a:lumMod val="60000"/>
                  <a:alpha val="90000"/>
                </a:schemeClr>
              </a:solidFill>
              <a:ln w="19050">
                <a:solidFill>
                  <a:schemeClr val="bg1"/>
                </a:solidFill>
              </a:ln>
              <a:effectLst>
                <a:innerShdw blurRad="114300">
                  <a:schemeClr val="accent3">
                    <a:lumMod val="60000"/>
                    <a:lumMod val="75000"/>
                  </a:schemeClr>
                </a:innerShdw>
              </a:effectLst>
              <a:scene3d>
                <a:camera prst="orthographicFront"/>
                <a:lightRig rig="threePt" dir="t"/>
              </a:scene3d>
              <a:sp3d contourW="19050" prstMaterial="flat">
                <a:contourClr>
                  <a:schemeClr val="bg1"/>
                </a:contourClr>
              </a:sp3d>
            </c:spPr>
            <c:extLst>
              <c:ext xmlns:c16="http://schemas.microsoft.com/office/drawing/2014/chart" uri="{C3380CC4-5D6E-409C-BE32-E72D297353CC}">
                <c16:uniqueId val="{00000011-045E-49A3-A7DB-593F64FC6ADB}"/>
              </c:ext>
            </c:extLst>
          </c:dPt>
          <c:dPt>
            <c:idx val="9"/>
            <c:bubble3D val="0"/>
            <c:spPr>
              <a:solidFill>
                <a:schemeClr val="accent4">
                  <a:lumMod val="60000"/>
                  <a:alpha val="90000"/>
                </a:schemeClr>
              </a:solidFill>
              <a:ln w="19050">
                <a:solidFill>
                  <a:schemeClr val="bg1"/>
                </a:solidFill>
              </a:ln>
              <a:effectLst>
                <a:innerShdw blurRad="114300">
                  <a:schemeClr val="accent4">
                    <a:lumMod val="60000"/>
                    <a:lumMod val="75000"/>
                  </a:schemeClr>
                </a:innerShdw>
              </a:effectLst>
              <a:scene3d>
                <a:camera prst="orthographicFront"/>
                <a:lightRig rig="threePt" dir="t"/>
              </a:scene3d>
              <a:sp3d contourW="19050" prstMaterial="flat">
                <a:contourClr>
                  <a:schemeClr val="bg1"/>
                </a:contourClr>
              </a:sp3d>
            </c:spPr>
            <c:extLst>
              <c:ext xmlns:c16="http://schemas.microsoft.com/office/drawing/2014/chart" uri="{C3380CC4-5D6E-409C-BE32-E72D297353CC}">
                <c16:uniqueId val="{00000013-045E-49A3-A7DB-593F64FC6ADB}"/>
              </c:ext>
            </c:extLst>
          </c:dPt>
          <c:dLbls>
            <c:dLbl>
              <c:idx val="0"/>
              <c:layout>
                <c:manualLayout>
                  <c:x val="3.1831364829396323E-2"/>
                  <c:y val="2.1164333624963547E-2"/>
                </c:manualLayout>
              </c:layout>
              <c:spPr>
                <a:solidFill>
                  <a:schemeClr val="lt1">
                    <a:alpha val="90000"/>
                  </a:schemeClr>
                </a:solidFill>
                <a:ln w="12700" cap="flat" cmpd="sng" algn="ctr">
                  <a:solidFill>
                    <a:schemeClr val="accent1"/>
                  </a:solidFill>
                  <a:round/>
                </a:ln>
                <a:effectLst>
                  <a:outerShdw blurRad="50800" dist="38100" dir="2700000" algn="tl" rotWithShape="0">
                    <a:schemeClr val="accent1">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1"/>
                      </a:solidFill>
                      <a:effectLst/>
                      <a:latin typeface="+mn-lt"/>
                      <a:ea typeface="+mn-ea"/>
                      <a:cs typeface="+mn-cs"/>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45E-49A3-A7DB-593F64FC6ADB}"/>
                </c:ext>
              </c:extLst>
            </c:dLbl>
            <c:dLbl>
              <c:idx val="1"/>
              <c:layout>
                <c:manualLayout>
                  <c:x val="9.3884514435694528E-3"/>
                  <c:y val="1.2425998833479106E-2"/>
                </c:manualLayout>
              </c:layout>
              <c:spPr>
                <a:solidFill>
                  <a:schemeClr val="lt1">
                    <a:alpha val="90000"/>
                  </a:schemeClr>
                </a:solidFill>
                <a:ln w="12700" cap="flat" cmpd="sng" algn="ctr">
                  <a:solidFill>
                    <a:schemeClr val="accent2"/>
                  </a:solidFill>
                  <a:round/>
                </a:ln>
                <a:effectLst>
                  <a:outerShdw blurRad="50800" dist="38100" dir="2700000" algn="tl" rotWithShape="0">
                    <a:schemeClr val="accent2">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2"/>
                      </a:solidFill>
                      <a:effectLst/>
                      <a:latin typeface="+mn-lt"/>
                      <a:ea typeface="+mn-ea"/>
                      <a:cs typeface="+mn-cs"/>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45E-49A3-A7DB-593F64FC6ADB}"/>
                </c:ext>
              </c:extLst>
            </c:dLbl>
            <c:dLbl>
              <c:idx val="2"/>
              <c:layout>
                <c:manualLayout>
                  <c:x val="8.6965426940232484E-3"/>
                  <c:y val="-4.916199046201257E-2"/>
                </c:manualLayout>
              </c:layout>
              <c:spPr>
                <a:solidFill>
                  <a:schemeClr val="lt1">
                    <a:alpha val="90000"/>
                  </a:schemeClr>
                </a:solidFill>
                <a:ln w="12700" cap="flat" cmpd="sng" algn="ctr">
                  <a:solidFill>
                    <a:schemeClr val="accent3"/>
                  </a:solidFill>
                  <a:round/>
                </a:ln>
                <a:effectLst>
                  <a:outerShdw blurRad="50800" dist="38100" dir="2700000" algn="tl" rotWithShape="0">
                    <a:schemeClr val="accent3">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3"/>
                      </a:solidFill>
                      <a:effectLst/>
                      <a:latin typeface="+mn-lt"/>
                      <a:ea typeface="+mn-ea"/>
                      <a:cs typeface="+mn-cs"/>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45E-49A3-A7DB-593F64FC6ADB}"/>
                </c:ext>
              </c:extLst>
            </c:dLbl>
            <c:dLbl>
              <c:idx val="3"/>
              <c:layout>
                <c:manualLayout>
                  <c:x val="4.2304440395360139E-2"/>
                  <c:y val="-2.3487022213756512E-2"/>
                </c:manualLayout>
              </c:layout>
              <c:spPr>
                <a:solidFill>
                  <a:schemeClr val="lt1">
                    <a:alpha val="90000"/>
                  </a:schemeClr>
                </a:solidFill>
                <a:ln w="12700" cap="flat" cmpd="sng" algn="ctr">
                  <a:solidFill>
                    <a:schemeClr val="accent4"/>
                  </a:solidFill>
                  <a:round/>
                </a:ln>
                <a:effectLst>
                  <a:outerShdw blurRad="50800" dist="38100" dir="2700000" algn="tl" rotWithShape="0">
                    <a:schemeClr val="accent4">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4"/>
                      </a:solidFill>
                      <a:effectLst/>
                      <a:latin typeface="+mn-lt"/>
                      <a:ea typeface="+mn-ea"/>
                      <a:cs typeface="+mn-cs"/>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45E-49A3-A7DB-593F64FC6ADB}"/>
                </c:ext>
              </c:extLst>
            </c:dLbl>
            <c:dLbl>
              <c:idx val="4"/>
              <c:layout>
                <c:manualLayout>
                  <c:x val="-6.6077410613824716E-2"/>
                  <c:y val="-0.11778954170744171"/>
                </c:manualLayout>
              </c:layout>
              <c:spPr>
                <a:solidFill>
                  <a:schemeClr val="lt1">
                    <a:alpha val="90000"/>
                  </a:schemeClr>
                </a:solidFill>
                <a:ln w="12700" cap="flat" cmpd="sng" algn="ctr">
                  <a:solidFill>
                    <a:schemeClr val="accent5"/>
                  </a:solidFill>
                  <a:round/>
                </a:ln>
                <a:effectLst>
                  <a:outerShdw blurRad="50800" dist="38100" dir="2700000" algn="tl" rotWithShape="0">
                    <a:schemeClr val="accent5">
                      <a:lumMod val="75000"/>
                      <a:alpha val="40000"/>
                    </a:schemeClr>
                  </a:outerShdw>
                </a:effectLst>
              </c:spPr>
              <c:txPr>
                <a:bodyPr rot="0" spcFirstLastPara="1" vertOverflow="clip" horzOverflow="clip" vert="horz" wrap="square" lIns="38100" tIns="19050" rIns="38100" bIns="19050" anchor="ctr" anchorCtr="1">
                  <a:noAutofit/>
                </a:bodyPr>
                <a:lstStyle/>
                <a:p>
                  <a:pPr>
                    <a:defRPr sz="1000" b="0" i="0" u="none" strike="noStrike" kern="1200" baseline="0">
                      <a:solidFill>
                        <a:schemeClr val="accent5"/>
                      </a:solidFill>
                      <a:effectLst/>
                      <a:latin typeface="+mn-lt"/>
                      <a:ea typeface="+mn-ea"/>
                      <a:cs typeface="+mn-cs"/>
                    </a:defRPr>
                  </a:pPr>
                  <a:endParaRPr lang="en-US"/>
                </a:p>
              </c:txPr>
              <c:dLblPos val="bestFit"/>
              <c:showLegendKey val="0"/>
              <c:showVal val="1"/>
              <c:showCatName val="1"/>
              <c:showSerName val="0"/>
              <c:showPercent val="0"/>
              <c:showBubbleSize val="0"/>
              <c:extLst>
                <c:ext xmlns:c15="http://schemas.microsoft.com/office/drawing/2012/chart" uri="{CE6537A1-D6FC-4f65-9D91-7224C49458BB}">
                  <c15:layout>
                    <c:manualLayout>
                      <c:w val="7.090725458115843E-2"/>
                      <c:h val="6.9832743254791843E-2"/>
                    </c:manualLayout>
                  </c15:layout>
                </c:ext>
                <c:ext xmlns:c16="http://schemas.microsoft.com/office/drawing/2014/chart" uri="{C3380CC4-5D6E-409C-BE32-E72D297353CC}">
                  <c16:uniqueId val="{00000009-045E-49A3-A7DB-593F64FC6ADB}"/>
                </c:ext>
              </c:extLst>
            </c:dLbl>
            <c:dLbl>
              <c:idx val="5"/>
              <c:layout>
                <c:manualLayout>
                  <c:x val="-1.5298054011876413E-2"/>
                  <c:y val="-9.3219412699803422E-3"/>
                </c:manualLayout>
              </c:layout>
              <c:spPr>
                <a:solidFill>
                  <a:schemeClr val="lt1">
                    <a:alpha val="90000"/>
                  </a:schemeClr>
                </a:solidFill>
                <a:ln w="12700" cap="flat" cmpd="sng" algn="ctr">
                  <a:solidFill>
                    <a:schemeClr val="accent6"/>
                  </a:solidFill>
                  <a:round/>
                </a:ln>
                <a:effectLst>
                  <a:outerShdw blurRad="50800" dist="38100" dir="2700000" algn="tl" rotWithShape="0">
                    <a:schemeClr val="accent6">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6"/>
                      </a:solidFill>
                      <a:effectLst/>
                      <a:latin typeface="+mn-lt"/>
                      <a:ea typeface="+mn-ea"/>
                      <a:cs typeface="+mn-cs"/>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45E-49A3-A7DB-593F64FC6ADB}"/>
                </c:ext>
              </c:extLst>
            </c:dLbl>
            <c:dLbl>
              <c:idx val="6"/>
              <c:layout>
                <c:manualLayout>
                  <c:x val="-2.2263489915770755E-2"/>
                  <c:y val="2.2838244759763779E-3"/>
                </c:manualLayout>
              </c:layout>
              <c:spPr>
                <a:solidFill>
                  <a:schemeClr val="lt1">
                    <a:alpha val="90000"/>
                  </a:schemeClr>
                </a:solidFill>
                <a:ln w="12700" cap="flat" cmpd="sng" algn="ctr">
                  <a:solidFill>
                    <a:schemeClr val="accent1">
                      <a:lumMod val="60000"/>
                    </a:schemeClr>
                  </a:solidFill>
                  <a:round/>
                </a:ln>
                <a:effectLst>
                  <a:outerShdw blurRad="50800" dist="38100" dir="2700000" algn="tl" rotWithShape="0">
                    <a:schemeClr val="accent1">
                      <a:lumMod val="60000"/>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60000"/>
                        </a:schemeClr>
                      </a:solidFill>
                      <a:effectLst/>
                      <a:latin typeface="+mn-lt"/>
                      <a:ea typeface="+mn-ea"/>
                      <a:cs typeface="+mn-cs"/>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45E-49A3-A7DB-593F64FC6ADB}"/>
                </c:ext>
              </c:extLst>
            </c:dLbl>
            <c:dLbl>
              <c:idx val="7"/>
              <c:layout>
                <c:manualLayout>
                  <c:x val="-2.1163823272090987E-2"/>
                  <c:y val="-1.2433289588801421E-2"/>
                </c:manualLayout>
              </c:layout>
              <c:spPr>
                <a:solidFill>
                  <a:schemeClr val="lt1">
                    <a:alpha val="90000"/>
                  </a:schemeClr>
                </a:solidFill>
                <a:ln w="12700" cap="flat" cmpd="sng" algn="ctr">
                  <a:solidFill>
                    <a:schemeClr val="accent2">
                      <a:lumMod val="60000"/>
                    </a:schemeClr>
                  </a:solidFill>
                  <a:round/>
                </a:ln>
                <a:effectLst>
                  <a:outerShdw blurRad="50800" dist="38100" dir="2700000" algn="tl" rotWithShape="0">
                    <a:schemeClr val="accent2">
                      <a:lumMod val="60000"/>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2">
                          <a:lumMod val="60000"/>
                        </a:schemeClr>
                      </a:solidFill>
                      <a:effectLst/>
                      <a:latin typeface="+mn-lt"/>
                      <a:ea typeface="+mn-ea"/>
                      <a:cs typeface="+mn-cs"/>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F-045E-49A3-A7DB-593F64FC6ADB}"/>
                </c:ext>
              </c:extLst>
            </c:dLbl>
            <c:dLbl>
              <c:idx val="8"/>
              <c:layout>
                <c:manualLayout>
                  <c:x val="1.4529868370897417E-2"/>
                  <c:y val="-1.629581950819475E-2"/>
                </c:manualLayout>
              </c:layout>
              <c:spPr>
                <a:solidFill>
                  <a:schemeClr val="lt1">
                    <a:alpha val="90000"/>
                  </a:schemeClr>
                </a:solidFill>
                <a:ln w="12700" cap="flat" cmpd="sng" algn="ctr">
                  <a:solidFill>
                    <a:schemeClr val="accent3">
                      <a:lumMod val="60000"/>
                    </a:schemeClr>
                  </a:solidFill>
                  <a:round/>
                </a:ln>
                <a:effectLst>
                  <a:outerShdw blurRad="50800" dist="38100" dir="2700000" algn="tl" rotWithShape="0">
                    <a:schemeClr val="accent3">
                      <a:lumMod val="60000"/>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3">
                          <a:lumMod val="60000"/>
                        </a:schemeClr>
                      </a:solidFill>
                      <a:effectLst/>
                      <a:latin typeface="+mn-lt"/>
                      <a:ea typeface="+mn-ea"/>
                      <a:cs typeface="+mn-cs"/>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1-045E-49A3-A7DB-593F64FC6ADB}"/>
                </c:ext>
              </c:extLst>
            </c:dLbl>
            <c:dLbl>
              <c:idx val="9"/>
              <c:layout>
                <c:manualLayout>
                  <c:x val="2.3527777777777779E-2"/>
                  <c:y val="-9.2636337124526093E-3"/>
                </c:manualLayout>
              </c:layout>
              <c:spPr>
                <a:solidFill>
                  <a:schemeClr val="lt1">
                    <a:alpha val="90000"/>
                  </a:schemeClr>
                </a:solidFill>
                <a:ln w="12700" cap="flat" cmpd="sng" algn="ctr">
                  <a:solidFill>
                    <a:schemeClr val="accent4">
                      <a:lumMod val="60000"/>
                    </a:schemeClr>
                  </a:solidFill>
                  <a:round/>
                </a:ln>
                <a:effectLst>
                  <a:outerShdw blurRad="50800" dist="38100" dir="2700000" algn="tl" rotWithShape="0">
                    <a:schemeClr val="accent4">
                      <a:lumMod val="60000"/>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4">
                          <a:lumMod val="60000"/>
                        </a:schemeClr>
                      </a:solidFill>
                      <a:effectLst/>
                      <a:latin typeface="+mn-lt"/>
                      <a:ea typeface="+mn-ea"/>
                      <a:cs typeface="+mn-cs"/>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3-045E-49A3-A7DB-593F64FC6ADB}"/>
                </c:ext>
              </c:extLst>
            </c:dLbl>
            <c:spPr>
              <a:solidFill>
                <a:sysClr val="window" lastClr="FFFFFF">
                  <a:alpha val="90000"/>
                </a:sysClr>
              </a:solidFill>
              <a:ln w="12700" cap="flat" cmpd="sng" algn="ctr">
                <a:solidFill>
                  <a:srgbClr val="5B9BD5"/>
                </a:solidFill>
                <a:round/>
              </a:ln>
              <a:effectLst>
                <a:outerShdw blurRad="50800" dist="38100" dir="2700000" algn="tl" rotWithShape="0">
                  <a:srgbClr val="5B9BD5">
                    <a:lumMod val="75000"/>
                    <a:alpha val="40000"/>
                  </a:srgbClr>
                </a:outerShdw>
              </a:effectLst>
            </c:spPr>
            <c:dLblPos val="inEnd"/>
            <c:showLegendKey val="0"/>
            <c:showVal val="1"/>
            <c:showCatName val="1"/>
            <c:showSerName val="0"/>
            <c:showPercent val="0"/>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Sheet1!$B$10:$K$10</c:f>
              <c:strCache>
                <c:ptCount val="10"/>
                <c:pt idx="0">
                  <c:v>BE</c:v>
                </c:pt>
                <c:pt idx="1">
                  <c:v>FR</c:v>
                </c:pt>
                <c:pt idx="2">
                  <c:v>RO</c:v>
                </c:pt>
                <c:pt idx="3">
                  <c:v>ES</c:v>
                </c:pt>
                <c:pt idx="4">
                  <c:v>EL</c:v>
                </c:pt>
                <c:pt idx="5">
                  <c:v>BG</c:v>
                </c:pt>
                <c:pt idx="6">
                  <c:v>IT</c:v>
                </c:pt>
                <c:pt idx="7">
                  <c:v>PL</c:v>
                </c:pt>
                <c:pt idx="8">
                  <c:v>SK</c:v>
                </c:pt>
                <c:pt idx="9">
                  <c:v>PT</c:v>
                </c:pt>
              </c:strCache>
            </c:strRef>
          </c:cat>
          <c:val>
            <c:numRef>
              <c:f>Sheet1!$B$11:$K$11</c:f>
              <c:numCache>
                <c:formatCode>General</c:formatCode>
                <c:ptCount val="10"/>
                <c:pt idx="0">
                  <c:v>4</c:v>
                </c:pt>
                <c:pt idx="1">
                  <c:v>1</c:v>
                </c:pt>
                <c:pt idx="2">
                  <c:v>5</c:v>
                </c:pt>
                <c:pt idx="3">
                  <c:v>3</c:v>
                </c:pt>
                <c:pt idx="4">
                  <c:v>5</c:v>
                </c:pt>
                <c:pt idx="5">
                  <c:v>1</c:v>
                </c:pt>
                <c:pt idx="6">
                  <c:v>3</c:v>
                </c:pt>
                <c:pt idx="7">
                  <c:v>1</c:v>
                </c:pt>
                <c:pt idx="8">
                  <c:v>1</c:v>
                </c:pt>
                <c:pt idx="9">
                  <c:v>1</c:v>
                </c:pt>
              </c:numCache>
            </c:numRef>
          </c:val>
          <c:extLst>
            <c:ext xmlns:c16="http://schemas.microsoft.com/office/drawing/2014/chart" uri="{C3380CC4-5D6E-409C-BE32-E72D297353CC}">
              <c16:uniqueId val="{00000014-045E-49A3-A7DB-593F64FC6ADB}"/>
            </c:ext>
          </c:extLst>
        </c:ser>
        <c:ser>
          <c:idx val="1"/>
          <c:order val="1"/>
          <c:tx>
            <c:strRef>
              <c:f>Sheet1!$A$12</c:f>
              <c:strCache>
                <c:ptCount val="1"/>
                <c:pt idx="0">
                  <c:v>woman</c:v>
                </c:pt>
              </c:strCache>
            </c:strRef>
          </c:tx>
          <c:dPt>
            <c:idx val="0"/>
            <c:bubble3D val="0"/>
            <c:spPr>
              <a:solidFill>
                <a:schemeClr val="accent1">
                  <a:alpha val="90000"/>
                </a:schemeClr>
              </a:solidFill>
              <a:ln w="19050">
                <a:solidFill>
                  <a:schemeClr val="accent1">
                    <a:lumMod val="75000"/>
                  </a:schemeClr>
                </a:solidFill>
              </a:ln>
              <a:effectLst>
                <a:innerShdw blurRad="114300">
                  <a:schemeClr val="accent1">
                    <a:lumMod val="75000"/>
                  </a:schemeClr>
                </a:innerShdw>
              </a:effectLst>
              <a:scene3d>
                <a:camera prst="orthographicFront"/>
                <a:lightRig rig="threePt" dir="t"/>
              </a:scene3d>
              <a:sp3d contourW="19050" prstMaterial="flat">
                <a:contourClr>
                  <a:schemeClr val="accent1">
                    <a:lumMod val="75000"/>
                  </a:schemeClr>
                </a:contourClr>
              </a:sp3d>
            </c:spPr>
            <c:extLst>
              <c:ext xmlns:c16="http://schemas.microsoft.com/office/drawing/2014/chart" uri="{C3380CC4-5D6E-409C-BE32-E72D297353CC}">
                <c16:uniqueId val="{00000016-045E-49A3-A7DB-593F64FC6ADB}"/>
              </c:ext>
            </c:extLst>
          </c:dPt>
          <c:dPt>
            <c:idx val="1"/>
            <c:bubble3D val="0"/>
            <c:spPr>
              <a:solidFill>
                <a:schemeClr val="accent2">
                  <a:alpha val="90000"/>
                </a:schemeClr>
              </a:solidFill>
              <a:ln w="19050">
                <a:solidFill>
                  <a:schemeClr val="accent2">
                    <a:lumMod val="75000"/>
                  </a:schemeClr>
                </a:solidFill>
              </a:ln>
              <a:effectLst>
                <a:innerShdw blurRad="114300">
                  <a:schemeClr val="accent2">
                    <a:lumMod val="75000"/>
                  </a:schemeClr>
                </a:innerShdw>
              </a:effectLst>
              <a:scene3d>
                <a:camera prst="orthographicFront"/>
                <a:lightRig rig="threePt" dir="t"/>
              </a:scene3d>
              <a:sp3d contourW="19050" prstMaterial="flat">
                <a:contourClr>
                  <a:schemeClr val="accent2">
                    <a:lumMod val="75000"/>
                  </a:schemeClr>
                </a:contourClr>
              </a:sp3d>
            </c:spPr>
            <c:extLst>
              <c:ext xmlns:c16="http://schemas.microsoft.com/office/drawing/2014/chart" uri="{C3380CC4-5D6E-409C-BE32-E72D297353CC}">
                <c16:uniqueId val="{00000018-045E-49A3-A7DB-593F64FC6ADB}"/>
              </c:ext>
            </c:extLst>
          </c:dPt>
          <c:dPt>
            <c:idx val="2"/>
            <c:bubble3D val="0"/>
            <c:spPr>
              <a:solidFill>
                <a:schemeClr val="accent3">
                  <a:alpha val="90000"/>
                </a:schemeClr>
              </a:solidFill>
              <a:ln w="19050">
                <a:solidFill>
                  <a:schemeClr val="accent3">
                    <a:lumMod val="75000"/>
                  </a:schemeClr>
                </a:solidFill>
              </a:ln>
              <a:effectLst>
                <a:innerShdw blurRad="114300">
                  <a:schemeClr val="accent3">
                    <a:lumMod val="75000"/>
                  </a:schemeClr>
                </a:innerShdw>
              </a:effectLst>
              <a:scene3d>
                <a:camera prst="orthographicFront"/>
                <a:lightRig rig="threePt" dir="t"/>
              </a:scene3d>
              <a:sp3d contourW="19050" prstMaterial="flat">
                <a:contourClr>
                  <a:schemeClr val="accent3">
                    <a:lumMod val="75000"/>
                  </a:schemeClr>
                </a:contourClr>
              </a:sp3d>
            </c:spPr>
            <c:extLst>
              <c:ext xmlns:c16="http://schemas.microsoft.com/office/drawing/2014/chart" uri="{C3380CC4-5D6E-409C-BE32-E72D297353CC}">
                <c16:uniqueId val="{0000001A-045E-49A3-A7DB-593F64FC6ADB}"/>
              </c:ext>
            </c:extLst>
          </c:dPt>
          <c:dPt>
            <c:idx val="3"/>
            <c:bubble3D val="0"/>
            <c:spPr>
              <a:solidFill>
                <a:schemeClr val="accent4">
                  <a:alpha val="90000"/>
                </a:schemeClr>
              </a:solidFill>
              <a:ln w="19050">
                <a:solidFill>
                  <a:schemeClr val="accent4">
                    <a:lumMod val="75000"/>
                  </a:schemeClr>
                </a:solidFill>
              </a:ln>
              <a:effectLst>
                <a:innerShdw blurRad="114300">
                  <a:schemeClr val="accent4">
                    <a:lumMod val="75000"/>
                  </a:schemeClr>
                </a:innerShdw>
              </a:effectLst>
              <a:scene3d>
                <a:camera prst="orthographicFront"/>
                <a:lightRig rig="threePt" dir="t"/>
              </a:scene3d>
              <a:sp3d contourW="19050" prstMaterial="flat">
                <a:contourClr>
                  <a:schemeClr val="accent4">
                    <a:lumMod val="75000"/>
                  </a:schemeClr>
                </a:contourClr>
              </a:sp3d>
            </c:spPr>
            <c:extLst>
              <c:ext xmlns:c16="http://schemas.microsoft.com/office/drawing/2014/chart" uri="{C3380CC4-5D6E-409C-BE32-E72D297353CC}">
                <c16:uniqueId val="{0000001C-045E-49A3-A7DB-593F64FC6ADB}"/>
              </c:ext>
            </c:extLst>
          </c:dPt>
          <c:dPt>
            <c:idx val="4"/>
            <c:bubble3D val="0"/>
            <c:spPr>
              <a:solidFill>
                <a:schemeClr val="accent5">
                  <a:alpha val="90000"/>
                </a:schemeClr>
              </a:solidFill>
              <a:ln w="19050">
                <a:solidFill>
                  <a:schemeClr val="accent5">
                    <a:lumMod val="75000"/>
                  </a:schemeClr>
                </a:solidFill>
              </a:ln>
              <a:effectLst>
                <a:innerShdw blurRad="114300">
                  <a:schemeClr val="accent5">
                    <a:lumMod val="75000"/>
                  </a:schemeClr>
                </a:innerShdw>
              </a:effectLst>
              <a:scene3d>
                <a:camera prst="orthographicFront"/>
                <a:lightRig rig="threePt" dir="t"/>
              </a:scene3d>
              <a:sp3d contourW="19050" prstMaterial="flat">
                <a:contourClr>
                  <a:schemeClr val="accent5">
                    <a:lumMod val="75000"/>
                  </a:schemeClr>
                </a:contourClr>
              </a:sp3d>
            </c:spPr>
            <c:extLst>
              <c:ext xmlns:c16="http://schemas.microsoft.com/office/drawing/2014/chart" uri="{C3380CC4-5D6E-409C-BE32-E72D297353CC}">
                <c16:uniqueId val="{0000001E-045E-49A3-A7DB-593F64FC6ADB}"/>
              </c:ext>
            </c:extLst>
          </c:dPt>
          <c:dPt>
            <c:idx val="5"/>
            <c:bubble3D val="0"/>
            <c:spPr>
              <a:solidFill>
                <a:schemeClr val="accent6">
                  <a:alpha val="90000"/>
                </a:schemeClr>
              </a:solidFill>
              <a:ln w="19050">
                <a:solidFill>
                  <a:schemeClr val="accent6">
                    <a:lumMod val="75000"/>
                  </a:schemeClr>
                </a:solidFill>
              </a:ln>
              <a:effectLst>
                <a:innerShdw blurRad="114300">
                  <a:schemeClr val="accent6">
                    <a:lumMod val="75000"/>
                  </a:schemeClr>
                </a:innerShdw>
              </a:effectLst>
              <a:scene3d>
                <a:camera prst="orthographicFront"/>
                <a:lightRig rig="threePt" dir="t"/>
              </a:scene3d>
              <a:sp3d contourW="19050" prstMaterial="flat">
                <a:contourClr>
                  <a:schemeClr val="accent6">
                    <a:lumMod val="75000"/>
                  </a:schemeClr>
                </a:contourClr>
              </a:sp3d>
            </c:spPr>
            <c:extLst>
              <c:ext xmlns:c16="http://schemas.microsoft.com/office/drawing/2014/chart" uri="{C3380CC4-5D6E-409C-BE32-E72D297353CC}">
                <c16:uniqueId val="{00000020-045E-49A3-A7DB-593F64FC6ADB}"/>
              </c:ext>
            </c:extLst>
          </c:dPt>
          <c:dPt>
            <c:idx val="6"/>
            <c:bubble3D val="0"/>
            <c:spPr>
              <a:solidFill>
                <a:schemeClr val="accent1">
                  <a:lumMod val="60000"/>
                  <a:alpha val="90000"/>
                </a:schemeClr>
              </a:solidFill>
              <a:ln w="19050">
                <a:solidFill>
                  <a:schemeClr val="accent1">
                    <a:lumMod val="60000"/>
                    <a:lumMod val="75000"/>
                  </a:schemeClr>
                </a:solidFill>
              </a:ln>
              <a:effectLst>
                <a:innerShdw blurRad="114300">
                  <a:schemeClr val="accent1">
                    <a:lumMod val="60000"/>
                    <a:lumMod val="75000"/>
                  </a:schemeClr>
                </a:innerShdw>
              </a:effectLst>
              <a:scene3d>
                <a:camera prst="orthographicFront"/>
                <a:lightRig rig="threePt" dir="t"/>
              </a:scene3d>
              <a:sp3d contourW="19050" prstMaterial="flat">
                <a:contourClr>
                  <a:schemeClr val="accent1">
                    <a:lumMod val="60000"/>
                    <a:lumMod val="75000"/>
                  </a:schemeClr>
                </a:contourClr>
              </a:sp3d>
            </c:spPr>
            <c:extLst>
              <c:ext xmlns:c16="http://schemas.microsoft.com/office/drawing/2014/chart" uri="{C3380CC4-5D6E-409C-BE32-E72D297353CC}">
                <c16:uniqueId val="{00000022-045E-49A3-A7DB-593F64FC6ADB}"/>
              </c:ext>
            </c:extLst>
          </c:dPt>
          <c:dPt>
            <c:idx val="7"/>
            <c:bubble3D val="0"/>
            <c:spPr>
              <a:solidFill>
                <a:schemeClr val="accent2">
                  <a:lumMod val="60000"/>
                  <a:alpha val="90000"/>
                </a:schemeClr>
              </a:solidFill>
              <a:ln w="19050">
                <a:solidFill>
                  <a:schemeClr val="accent2">
                    <a:lumMod val="60000"/>
                    <a:lumMod val="75000"/>
                  </a:schemeClr>
                </a:solidFill>
              </a:ln>
              <a:effectLst>
                <a:innerShdw blurRad="114300">
                  <a:schemeClr val="accent2">
                    <a:lumMod val="60000"/>
                    <a:lumMod val="75000"/>
                  </a:schemeClr>
                </a:innerShdw>
              </a:effectLst>
              <a:scene3d>
                <a:camera prst="orthographicFront"/>
                <a:lightRig rig="threePt" dir="t"/>
              </a:scene3d>
              <a:sp3d contourW="19050" prstMaterial="flat">
                <a:contourClr>
                  <a:schemeClr val="accent2">
                    <a:lumMod val="60000"/>
                    <a:lumMod val="75000"/>
                  </a:schemeClr>
                </a:contourClr>
              </a:sp3d>
            </c:spPr>
            <c:extLst>
              <c:ext xmlns:c16="http://schemas.microsoft.com/office/drawing/2014/chart" uri="{C3380CC4-5D6E-409C-BE32-E72D297353CC}">
                <c16:uniqueId val="{00000024-045E-49A3-A7DB-593F64FC6ADB}"/>
              </c:ext>
            </c:extLst>
          </c:dPt>
          <c:dPt>
            <c:idx val="8"/>
            <c:bubble3D val="0"/>
            <c:spPr>
              <a:solidFill>
                <a:schemeClr val="accent3">
                  <a:lumMod val="60000"/>
                  <a:alpha val="90000"/>
                </a:schemeClr>
              </a:solidFill>
              <a:ln w="19050">
                <a:solidFill>
                  <a:schemeClr val="accent3">
                    <a:lumMod val="60000"/>
                    <a:lumMod val="75000"/>
                  </a:schemeClr>
                </a:solidFill>
              </a:ln>
              <a:effectLst>
                <a:innerShdw blurRad="114300">
                  <a:schemeClr val="accent3">
                    <a:lumMod val="60000"/>
                    <a:lumMod val="75000"/>
                  </a:schemeClr>
                </a:innerShdw>
              </a:effectLst>
              <a:scene3d>
                <a:camera prst="orthographicFront"/>
                <a:lightRig rig="threePt" dir="t"/>
              </a:scene3d>
              <a:sp3d contourW="19050" prstMaterial="flat">
                <a:contourClr>
                  <a:schemeClr val="accent3">
                    <a:lumMod val="60000"/>
                    <a:lumMod val="75000"/>
                  </a:schemeClr>
                </a:contourClr>
              </a:sp3d>
            </c:spPr>
            <c:extLst>
              <c:ext xmlns:c16="http://schemas.microsoft.com/office/drawing/2014/chart" uri="{C3380CC4-5D6E-409C-BE32-E72D297353CC}">
                <c16:uniqueId val="{00000026-045E-49A3-A7DB-593F64FC6ADB}"/>
              </c:ext>
            </c:extLst>
          </c:dPt>
          <c:dPt>
            <c:idx val="9"/>
            <c:bubble3D val="0"/>
            <c:spPr>
              <a:solidFill>
                <a:schemeClr val="accent4">
                  <a:lumMod val="60000"/>
                  <a:alpha val="90000"/>
                </a:schemeClr>
              </a:solidFill>
              <a:ln w="19050">
                <a:solidFill>
                  <a:schemeClr val="accent4">
                    <a:lumMod val="60000"/>
                    <a:lumMod val="75000"/>
                  </a:schemeClr>
                </a:solidFill>
              </a:ln>
              <a:effectLst>
                <a:innerShdw blurRad="114300">
                  <a:schemeClr val="accent4">
                    <a:lumMod val="60000"/>
                    <a:lumMod val="75000"/>
                  </a:schemeClr>
                </a:innerShdw>
              </a:effectLst>
              <a:scene3d>
                <a:camera prst="orthographicFront"/>
                <a:lightRig rig="threePt" dir="t"/>
              </a:scene3d>
              <a:sp3d contourW="19050" prstMaterial="flat">
                <a:contourClr>
                  <a:schemeClr val="accent4">
                    <a:lumMod val="60000"/>
                    <a:lumMod val="75000"/>
                  </a:schemeClr>
                </a:contourClr>
              </a:sp3d>
            </c:spPr>
            <c:extLst>
              <c:ext xmlns:c16="http://schemas.microsoft.com/office/drawing/2014/chart" uri="{C3380CC4-5D6E-409C-BE32-E72D297353CC}">
                <c16:uniqueId val="{00000028-045E-49A3-A7DB-593F64FC6ADB}"/>
              </c:ext>
            </c:extLst>
          </c:dPt>
          <c:dLbls>
            <c:dLbl>
              <c:idx val="0"/>
              <c:spPr>
                <a:solidFill>
                  <a:schemeClr val="lt1">
                    <a:alpha val="90000"/>
                  </a:schemeClr>
                </a:solidFill>
                <a:ln w="12700" cap="flat" cmpd="sng" algn="ctr">
                  <a:solidFill>
                    <a:schemeClr val="accent1"/>
                  </a:solidFill>
                  <a:round/>
                </a:ln>
                <a:effectLst>
                  <a:outerShdw blurRad="50800" dist="38100" dir="2700000" algn="tl" rotWithShape="0">
                    <a:schemeClr val="accent1">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1"/>
                      </a:solidFill>
                      <a:effectLst/>
                      <a:latin typeface="+mn-lt"/>
                      <a:ea typeface="+mn-ea"/>
                      <a:cs typeface="+mn-cs"/>
                    </a:defRPr>
                  </a:pPr>
                  <a:endParaRPr lang="en-US"/>
                </a:p>
              </c:txPr>
              <c:dLblPos val="inEnd"/>
              <c:showLegendKey val="0"/>
              <c:showVal val="1"/>
              <c:showCatName val="1"/>
              <c:showSerName val="0"/>
              <c:showPercent val="0"/>
              <c:showBubbleSize val="0"/>
              <c:extLst>
                <c:ext xmlns:c16="http://schemas.microsoft.com/office/drawing/2014/chart" uri="{C3380CC4-5D6E-409C-BE32-E72D297353CC}">
                  <c16:uniqueId val="{00000016-045E-49A3-A7DB-593F64FC6ADB}"/>
                </c:ext>
              </c:extLst>
            </c:dLbl>
            <c:dLbl>
              <c:idx val="1"/>
              <c:spPr>
                <a:solidFill>
                  <a:schemeClr val="lt1">
                    <a:alpha val="90000"/>
                  </a:schemeClr>
                </a:solidFill>
                <a:ln w="12700" cap="flat" cmpd="sng" algn="ctr">
                  <a:solidFill>
                    <a:schemeClr val="accent2"/>
                  </a:solidFill>
                  <a:round/>
                </a:ln>
                <a:effectLst>
                  <a:outerShdw blurRad="50800" dist="38100" dir="2700000" algn="tl" rotWithShape="0">
                    <a:schemeClr val="accent2">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2"/>
                      </a:solidFill>
                      <a:effectLst/>
                      <a:latin typeface="+mn-lt"/>
                      <a:ea typeface="+mn-ea"/>
                      <a:cs typeface="+mn-cs"/>
                    </a:defRPr>
                  </a:pPr>
                  <a:endParaRPr lang="en-US"/>
                </a:p>
              </c:txPr>
              <c:dLblPos val="inEnd"/>
              <c:showLegendKey val="0"/>
              <c:showVal val="1"/>
              <c:showCatName val="1"/>
              <c:showSerName val="0"/>
              <c:showPercent val="0"/>
              <c:showBubbleSize val="0"/>
              <c:extLst>
                <c:ext xmlns:c16="http://schemas.microsoft.com/office/drawing/2014/chart" uri="{C3380CC4-5D6E-409C-BE32-E72D297353CC}">
                  <c16:uniqueId val="{00000018-045E-49A3-A7DB-593F64FC6ADB}"/>
                </c:ext>
              </c:extLst>
            </c:dLbl>
            <c:dLbl>
              <c:idx val="2"/>
              <c:spPr>
                <a:solidFill>
                  <a:schemeClr val="lt1">
                    <a:alpha val="90000"/>
                  </a:schemeClr>
                </a:solidFill>
                <a:ln w="12700" cap="flat" cmpd="sng" algn="ctr">
                  <a:solidFill>
                    <a:schemeClr val="accent3"/>
                  </a:solidFill>
                  <a:round/>
                </a:ln>
                <a:effectLst>
                  <a:outerShdw blurRad="50800" dist="38100" dir="2700000" algn="tl" rotWithShape="0">
                    <a:schemeClr val="accent3">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3"/>
                      </a:solidFill>
                      <a:effectLst/>
                      <a:latin typeface="+mn-lt"/>
                      <a:ea typeface="+mn-ea"/>
                      <a:cs typeface="+mn-cs"/>
                    </a:defRPr>
                  </a:pPr>
                  <a:endParaRPr lang="en-US"/>
                </a:p>
              </c:txPr>
              <c:dLblPos val="inEnd"/>
              <c:showLegendKey val="0"/>
              <c:showVal val="1"/>
              <c:showCatName val="1"/>
              <c:showSerName val="0"/>
              <c:showPercent val="0"/>
              <c:showBubbleSize val="0"/>
              <c:extLst>
                <c:ext xmlns:c16="http://schemas.microsoft.com/office/drawing/2014/chart" uri="{C3380CC4-5D6E-409C-BE32-E72D297353CC}">
                  <c16:uniqueId val="{0000001A-045E-49A3-A7DB-593F64FC6ADB}"/>
                </c:ext>
              </c:extLst>
            </c:dLbl>
            <c:dLbl>
              <c:idx val="3"/>
              <c:spPr>
                <a:solidFill>
                  <a:schemeClr val="lt1">
                    <a:alpha val="90000"/>
                  </a:schemeClr>
                </a:solidFill>
                <a:ln w="12700" cap="flat" cmpd="sng" algn="ctr">
                  <a:solidFill>
                    <a:schemeClr val="accent4"/>
                  </a:solidFill>
                  <a:round/>
                </a:ln>
                <a:effectLst>
                  <a:outerShdw blurRad="50800" dist="38100" dir="2700000" algn="tl" rotWithShape="0">
                    <a:schemeClr val="accent4">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4"/>
                      </a:solidFill>
                      <a:effectLst/>
                      <a:latin typeface="+mn-lt"/>
                      <a:ea typeface="+mn-ea"/>
                      <a:cs typeface="+mn-cs"/>
                    </a:defRPr>
                  </a:pPr>
                  <a:endParaRPr lang="en-US"/>
                </a:p>
              </c:txPr>
              <c:dLblPos val="inEnd"/>
              <c:showLegendKey val="0"/>
              <c:showVal val="1"/>
              <c:showCatName val="1"/>
              <c:showSerName val="0"/>
              <c:showPercent val="0"/>
              <c:showBubbleSize val="0"/>
              <c:extLst>
                <c:ext xmlns:c16="http://schemas.microsoft.com/office/drawing/2014/chart" uri="{C3380CC4-5D6E-409C-BE32-E72D297353CC}">
                  <c16:uniqueId val="{0000001C-045E-49A3-A7DB-593F64FC6ADB}"/>
                </c:ext>
              </c:extLst>
            </c:dLbl>
            <c:dLbl>
              <c:idx val="4"/>
              <c:spPr>
                <a:solidFill>
                  <a:schemeClr val="lt1">
                    <a:alpha val="90000"/>
                  </a:schemeClr>
                </a:solidFill>
                <a:ln w="12700" cap="flat" cmpd="sng" algn="ctr">
                  <a:solidFill>
                    <a:schemeClr val="accent5"/>
                  </a:solidFill>
                  <a:round/>
                </a:ln>
                <a:effectLst>
                  <a:outerShdw blurRad="50800" dist="38100" dir="2700000" algn="tl" rotWithShape="0">
                    <a:schemeClr val="accent5">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5"/>
                      </a:solidFill>
                      <a:effectLst/>
                      <a:latin typeface="+mn-lt"/>
                      <a:ea typeface="+mn-ea"/>
                      <a:cs typeface="+mn-cs"/>
                    </a:defRPr>
                  </a:pPr>
                  <a:endParaRPr lang="en-US"/>
                </a:p>
              </c:txPr>
              <c:dLblPos val="inEnd"/>
              <c:showLegendKey val="0"/>
              <c:showVal val="1"/>
              <c:showCatName val="1"/>
              <c:showSerName val="0"/>
              <c:showPercent val="0"/>
              <c:showBubbleSize val="0"/>
              <c:extLst>
                <c:ext xmlns:c16="http://schemas.microsoft.com/office/drawing/2014/chart" uri="{C3380CC4-5D6E-409C-BE32-E72D297353CC}">
                  <c16:uniqueId val="{0000001E-045E-49A3-A7DB-593F64FC6ADB}"/>
                </c:ext>
              </c:extLst>
            </c:dLbl>
            <c:dLbl>
              <c:idx val="5"/>
              <c:spPr>
                <a:solidFill>
                  <a:schemeClr val="lt1">
                    <a:alpha val="90000"/>
                  </a:schemeClr>
                </a:solidFill>
                <a:ln w="12700" cap="flat" cmpd="sng" algn="ctr">
                  <a:solidFill>
                    <a:schemeClr val="accent6"/>
                  </a:solidFill>
                  <a:round/>
                </a:ln>
                <a:effectLst>
                  <a:outerShdw blurRad="50800" dist="38100" dir="2700000" algn="tl" rotWithShape="0">
                    <a:schemeClr val="accent6">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6"/>
                      </a:solidFill>
                      <a:effectLst/>
                      <a:latin typeface="+mn-lt"/>
                      <a:ea typeface="+mn-ea"/>
                      <a:cs typeface="+mn-cs"/>
                    </a:defRPr>
                  </a:pPr>
                  <a:endParaRPr lang="en-US"/>
                </a:p>
              </c:txPr>
              <c:dLblPos val="inEnd"/>
              <c:showLegendKey val="0"/>
              <c:showVal val="1"/>
              <c:showCatName val="1"/>
              <c:showSerName val="0"/>
              <c:showPercent val="0"/>
              <c:showBubbleSize val="0"/>
              <c:extLst>
                <c:ext xmlns:c16="http://schemas.microsoft.com/office/drawing/2014/chart" uri="{C3380CC4-5D6E-409C-BE32-E72D297353CC}">
                  <c16:uniqueId val="{00000020-045E-49A3-A7DB-593F64FC6ADB}"/>
                </c:ext>
              </c:extLst>
            </c:dLbl>
            <c:dLbl>
              <c:idx val="6"/>
              <c:spPr>
                <a:solidFill>
                  <a:schemeClr val="lt1">
                    <a:alpha val="90000"/>
                  </a:schemeClr>
                </a:solidFill>
                <a:ln w="12700" cap="flat" cmpd="sng" algn="ctr">
                  <a:solidFill>
                    <a:schemeClr val="accent1">
                      <a:lumMod val="60000"/>
                    </a:schemeClr>
                  </a:solidFill>
                  <a:round/>
                </a:ln>
                <a:effectLst>
                  <a:outerShdw blurRad="50800" dist="38100" dir="2700000" algn="tl" rotWithShape="0">
                    <a:schemeClr val="accent1">
                      <a:lumMod val="60000"/>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60000"/>
                        </a:schemeClr>
                      </a:solidFill>
                      <a:effectLst/>
                      <a:latin typeface="+mn-lt"/>
                      <a:ea typeface="+mn-ea"/>
                      <a:cs typeface="+mn-cs"/>
                    </a:defRPr>
                  </a:pPr>
                  <a:endParaRPr lang="en-US"/>
                </a:p>
              </c:txPr>
              <c:dLblPos val="inEnd"/>
              <c:showLegendKey val="0"/>
              <c:showVal val="1"/>
              <c:showCatName val="1"/>
              <c:showSerName val="0"/>
              <c:showPercent val="0"/>
              <c:showBubbleSize val="0"/>
              <c:extLst>
                <c:ext xmlns:c16="http://schemas.microsoft.com/office/drawing/2014/chart" uri="{C3380CC4-5D6E-409C-BE32-E72D297353CC}">
                  <c16:uniqueId val="{00000022-045E-49A3-A7DB-593F64FC6ADB}"/>
                </c:ext>
              </c:extLst>
            </c:dLbl>
            <c:dLbl>
              <c:idx val="7"/>
              <c:spPr>
                <a:solidFill>
                  <a:schemeClr val="lt1">
                    <a:alpha val="90000"/>
                  </a:schemeClr>
                </a:solidFill>
                <a:ln w="12700" cap="flat" cmpd="sng" algn="ctr">
                  <a:solidFill>
                    <a:schemeClr val="accent2">
                      <a:lumMod val="60000"/>
                    </a:schemeClr>
                  </a:solidFill>
                  <a:round/>
                </a:ln>
                <a:effectLst>
                  <a:outerShdw blurRad="50800" dist="38100" dir="2700000" algn="tl" rotWithShape="0">
                    <a:schemeClr val="accent2">
                      <a:lumMod val="60000"/>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2">
                          <a:lumMod val="60000"/>
                        </a:schemeClr>
                      </a:solidFill>
                      <a:effectLst/>
                      <a:latin typeface="+mn-lt"/>
                      <a:ea typeface="+mn-ea"/>
                      <a:cs typeface="+mn-cs"/>
                    </a:defRPr>
                  </a:pPr>
                  <a:endParaRPr lang="en-US"/>
                </a:p>
              </c:txPr>
              <c:dLblPos val="inEnd"/>
              <c:showLegendKey val="0"/>
              <c:showVal val="1"/>
              <c:showCatName val="1"/>
              <c:showSerName val="0"/>
              <c:showPercent val="0"/>
              <c:showBubbleSize val="0"/>
              <c:extLst>
                <c:ext xmlns:c16="http://schemas.microsoft.com/office/drawing/2014/chart" uri="{C3380CC4-5D6E-409C-BE32-E72D297353CC}">
                  <c16:uniqueId val="{00000024-045E-49A3-A7DB-593F64FC6ADB}"/>
                </c:ext>
              </c:extLst>
            </c:dLbl>
            <c:dLbl>
              <c:idx val="8"/>
              <c:spPr>
                <a:solidFill>
                  <a:schemeClr val="lt1">
                    <a:alpha val="90000"/>
                  </a:schemeClr>
                </a:solidFill>
                <a:ln w="12700" cap="flat" cmpd="sng" algn="ctr">
                  <a:solidFill>
                    <a:schemeClr val="accent3">
                      <a:lumMod val="60000"/>
                    </a:schemeClr>
                  </a:solidFill>
                  <a:round/>
                </a:ln>
                <a:effectLst>
                  <a:outerShdw blurRad="50800" dist="38100" dir="2700000" algn="tl" rotWithShape="0">
                    <a:schemeClr val="accent3">
                      <a:lumMod val="60000"/>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3">
                          <a:lumMod val="60000"/>
                        </a:schemeClr>
                      </a:solidFill>
                      <a:effectLst/>
                      <a:latin typeface="+mn-lt"/>
                      <a:ea typeface="+mn-ea"/>
                      <a:cs typeface="+mn-cs"/>
                    </a:defRPr>
                  </a:pPr>
                  <a:endParaRPr lang="en-US"/>
                </a:p>
              </c:txPr>
              <c:dLblPos val="inEnd"/>
              <c:showLegendKey val="0"/>
              <c:showVal val="1"/>
              <c:showCatName val="1"/>
              <c:showSerName val="0"/>
              <c:showPercent val="0"/>
              <c:showBubbleSize val="0"/>
              <c:extLst>
                <c:ext xmlns:c16="http://schemas.microsoft.com/office/drawing/2014/chart" uri="{C3380CC4-5D6E-409C-BE32-E72D297353CC}">
                  <c16:uniqueId val="{00000026-045E-49A3-A7DB-593F64FC6ADB}"/>
                </c:ext>
              </c:extLst>
            </c:dLbl>
            <c:dLbl>
              <c:idx val="9"/>
              <c:spPr>
                <a:solidFill>
                  <a:schemeClr val="lt1">
                    <a:alpha val="90000"/>
                  </a:schemeClr>
                </a:solidFill>
                <a:ln w="12700" cap="flat" cmpd="sng" algn="ctr">
                  <a:solidFill>
                    <a:schemeClr val="accent4">
                      <a:lumMod val="60000"/>
                    </a:schemeClr>
                  </a:solidFill>
                  <a:round/>
                </a:ln>
                <a:effectLst>
                  <a:outerShdw blurRad="50800" dist="38100" dir="2700000" algn="tl" rotWithShape="0">
                    <a:schemeClr val="accent4">
                      <a:lumMod val="60000"/>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4">
                          <a:lumMod val="60000"/>
                        </a:schemeClr>
                      </a:solidFill>
                      <a:effectLst/>
                      <a:latin typeface="+mn-lt"/>
                      <a:ea typeface="+mn-ea"/>
                      <a:cs typeface="+mn-cs"/>
                    </a:defRPr>
                  </a:pPr>
                  <a:endParaRPr lang="en-US"/>
                </a:p>
              </c:txPr>
              <c:dLblPos val="inEnd"/>
              <c:showLegendKey val="0"/>
              <c:showVal val="1"/>
              <c:showCatName val="1"/>
              <c:showSerName val="0"/>
              <c:showPercent val="0"/>
              <c:showBubbleSize val="0"/>
              <c:extLst>
                <c:ext xmlns:c16="http://schemas.microsoft.com/office/drawing/2014/chart" uri="{C3380CC4-5D6E-409C-BE32-E72D297353CC}">
                  <c16:uniqueId val="{00000028-045E-49A3-A7DB-593F64FC6ADB}"/>
                </c:ext>
              </c:extLst>
            </c:dLbl>
            <c:spPr>
              <a:solidFill>
                <a:sysClr val="window" lastClr="FFFFFF">
                  <a:alpha val="90000"/>
                </a:sysClr>
              </a:solidFill>
              <a:ln w="12700" cap="flat" cmpd="sng" algn="ctr">
                <a:solidFill>
                  <a:srgbClr val="ED7D31"/>
                </a:solidFill>
                <a:round/>
              </a:ln>
              <a:effectLst>
                <a:outerShdw blurRad="50800" dist="38100" dir="2700000" algn="tl" rotWithShape="0">
                  <a:srgbClr val="ED7D31">
                    <a:lumMod val="75000"/>
                    <a:alpha val="40000"/>
                  </a:srgbClr>
                </a:outerShdw>
              </a:effectLst>
            </c:spPr>
            <c:dLblPos val="inEnd"/>
            <c:showLegendKey val="0"/>
            <c:showVal val="1"/>
            <c:showCatName val="1"/>
            <c:showSerName val="0"/>
            <c:showPercent val="0"/>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Sheet1!$B$10:$K$10</c:f>
              <c:strCache>
                <c:ptCount val="10"/>
                <c:pt idx="0">
                  <c:v>BE</c:v>
                </c:pt>
                <c:pt idx="1">
                  <c:v>FR</c:v>
                </c:pt>
                <c:pt idx="2">
                  <c:v>RO</c:v>
                </c:pt>
                <c:pt idx="3">
                  <c:v>ES</c:v>
                </c:pt>
                <c:pt idx="4">
                  <c:v>EL</c:v>
                </c:pt>
                <c:pt idx="5">
                  <c:v>BG</c:v>
                </c:pt>
                <c:pt idx="6">
                  <c:v>IT</c:v>
                </c:pt>
                <c:pt idx="7">
                  <c:v>PL</c:v>
                </c:pt>
                <c:pt idx="8">
                  <c:v>SK</c:v>
                </c:pt>
                <c:pt idx="9">
                  <c:v>PT</c:v>
                </c:pt>
              </c:strCache>
            </c:strRef>
          </c:cat>
          <c:val>
            <c:numRef>
              <c:f>Sheet1!$B$12:$K$12</c:f>
              <c:numCache>
                <c:formatCode>General</c:formatCode>
                <c:ptCount val="10"/>
                <c:pt idx="0">
                  <c:v>2</c:v>
                </c:pt>
                <c:pt idx="2">
                  <c:v>4</c:v>
                </c:pt>
                <c:pt idx="5">
                  <c:v>1</c:v>
                </c:pt>
                <c:pt idx="6">
                  <c:v>2</c:v>
                </c:pt>
                <c:pt idx="7">
                  <c:v>1</c:v>
                </c:pt>
                <c:pt idx="8">
                  <c:v>1</c:v>
                </c:pt>
              </c:numCache>
            </c:numRef>
          </c:val>
          <c:extLst>
            <c:ext xmlns:c16="http://schemas.microsoft.com/office/drawing/2014/chart" uri="{C3380CC4-5D6E-409C-BE32-E72D297353CC}">
              <c16:uniqueId val="{00000029-045E-49A3-A7DB-593F64FC6ADB}"/>
            </c:ext>
          </c:extLst>
        </c:ser>
        <c:dLbls>
          <c:dLblPos val="inEnd"/>
          <c:showLegendKey val="0"/>
          <c:showVal val="1"/>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a:t>JU Staff</a:t>
            </a:r>
            <a:r>
              <a:rPr lang="en-GB" baseline="0"/>
              <a:t> gender balance</a:t>
            </a:r>
            <a:endParaRPr lang="en-GB"/>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D077-4390-8141-332ABE006599}"/>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D077-4390-8141-332ABE006599}"/>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Sheet1!$K$22:$K$23</c:f>
              <c:strCache>
                <c:ptCount val="2"/>
                <c:pt idx="0">
                  <c:v>woman</c:v>
                </c:pt>
                <c:pt idx="1">
                  <c:v>men</c:v>
                </c:pt>
              </c:strCache>
            </c:strRef>
          </c:cat>
          <c:val>
            <c:numRef>
              <c:f>Sheet1!$L$22:$L$23</c:f>
              <c:numCache>
                <c:formatCode>General</c:formatCode>
                <c:ptCount val="2"/>
                <c:pt idx="0">
                  <c:v>11</c:v>
                </c:pt>
                <c:pt idx="1">
                  <c:v>14</c:v>
                </c:pt>
              </c:numCache>
            </c:numRef>
          </c:val>
          <c:extLst>
            <c:ext xmlns:c16="http://schemas.microsoft.com/office/drawing/2014/chart" uri="{C3380CC4-5D6E-409C-BE32-E72D297353CC}">
              <c16:uniqueId val="{00000004-D077-4390-8141-332ABE006599}"/>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Cumulative</a:t>
            </a:r>
            <a:r>
              <a:rPr lang="en-US" baseline="0"/>
              <a:t> audit coverage of FCH 2 JU contribution - close audits only - for 2019 - 2021 in comparison with commited JU contribution for TOP 100 beneficiaries and entire FCH 2 JU programme</a:t>
            </a:r>
            <a:endParaRPr lang="en-US"/>
          </a:p>
        </c:rich>
      </c:tx>
      <c:layout>
        <c:manualLayout>
          <c:xMode val="edge"/>
          <c:yMode val="edge"/>
          <c:x val="0.11423165387963119"/>
          <c:y val="3.1618640358630073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Summary!$A$10</c:f>
              <c:strCache>
                <c:ptCount val="1"/>
                <c:pt idx="0">
                  <c:v>Validated for audited beneficiaries (LoC sent by year-end)</c:v>
                </c:pt>
              </c:strCache>
            </c:strRef>
          </c:tx>
          <c:spPr>
            <a:solidFill>
              <a:schemeClr val="accent1"/>
            </a:solidFill>
            <a:ln>
              <a:noFill/>
            </a:ln>
            <a:effectLst/>
          </c:spPr>
          <c:invertIfNegative val="0"/>
          <c:dPt>
            <c:idx val="3"/>
            <c:invertIfNegative val="0"/>
            <c:bubble3D val="0"/>
            <c:spPr>
              <a:solidFill>
                <a:srgbClr val="00B050"/>
              </a:solidFill>
              <a:ln>
                <a:noFill/>
              </a:ln>
              <a:effectLst/>
            </c:spPr>
            <c:extLst>
              <c:ext xmlns:c16="http://schemas.microsoft.com/office/drawing/2014/chart" uri="{C3380CC4-5D6E-409C-BE32-E72D297353CC}">
                <c16:uniqueId val="{00000001-4196-47E9-B52A-78AE28794F35}"/>
              </c:ext>
            </c:extLst>
          </c:dPt>
          <c:dPt>
            <c:idx val="4"/>
            <c:invertIfNegative val="0"/>
            <c:bubble3D val="0"/>
            <c:spPr>
              <a:solidFill>
                <a:schemeClr val="bg2">
                  <a:lumMod val="75000"/>
                </a:schemeClr>
              </a:solidFill>
              <a:ln>
                <a:noFill/>
              </a:ln>
              <a:effectLst/>
            </c:spPr>
            <c:extLst>
              <c:ext xmlns:c16="http://schemas.microsoft.com/office/drawing/2014/chart" uri="{C3380CC4-5D6E-409C-BE32-E72D297353CC}">
                <c16:uniqueId val="{00000003-4196-47E9-B52A-78AE28794F3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Summary!$B$9:$F$9</c:f>
              <c:strCache>
                <c:ptCount val="5"/>
                <c:pt idx="0">
                  <c:v>2019</c:v>
                </c:pt>
                <c:pt idx="1">
                  <c:v>2020</c:v>
                </c:pt>
                <c:pt idx="2">
                  <c:v>2021</c:v>
                </c:pt>
                <c:pt idx="3">
                  <c:v>TOP 100 beneficiaries - H2020 total committed FCH contribution</c:v>
                </c:pt>
                <c:pt idx="4">
                  <c:v>H2020 total commited FCH contribution</c:v>
                </c:pt>
              </c:strCache>
            </c:strRef>
          </c:cat>
          <c:val>
            <c:numRef>
              <c:f>Summary!$B$10:$F$10</c:f>
              <c:numCache>
                <c:formatCode>#,##0.00</c:formatCode>
                <c:ptCount val="5"/>
                <c:pt idx="0">
                  <c:v>61.322402059999995</c:v>
                </c:pt>
                <c:pt idx="1">
                  <c:v>118.86434497</c:v>
                </c:pt>
                <c:pt idx="2">
                  <c:v>196.30400700000001</c:v>
                </c:pt>
                <c:pt idx="3">
                  <c:v>415.8852417999999</c:v>
                </c:pt>
                <c:pt idx="4">
                  <c:v>649.88519115999964</c:v>
                </c:pt>
              </c:numCache>
            </c:numRef>
          </c:val>
          <c:extLst>
            <c:ext xmlns:c16="http://schemas.microsoft.com/office/drawing/2014/chart" uri="{C3380CC4-5D6E-409C-BE32-E72D297353CC}">
              <c16:uniqueId val="{00000004-4196-47E9-B52A-78AE28794F35}"/>
            </c:ext>
          </c:extLst>
        </c:ser>
        <c:dLbls>
          <c:showLegendKey val="0"/>
          <c:showVal val="0"/>
          <c:showCatName val="0"/>
          <c:showSerName val="0"/>
          <c:showPercent val="0"/>
          <c:showBubbleSize val="0"/>
        </c:dLbls>
        <c:gapWidth val="219"/>
        <c:overlap val="-27"/>
        <c:axId val="266966255"/>
        <c:axId val="266967087"/>
      </c:barChart>
      <c:catAx>
        <c:axId val="266966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6967087"/>
        <c:crosses val="autoZero"/>
        <c:auto val="1"/>
        <c:lblAlgn val="ctr"/>
        <c:lblOffset val="100"/>
        <c:noMultiLvlLbl val="0"/>
      </c:catAx>
      <c:valAx>
        <c:axId val="266967087"/>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696625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GB"/>
              <a:t>JU H2020 EX-POST AUDITS - COMPLETNESS STATUS</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B1C9-4BE9-AECA-95E619AF9AFB}"/>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B1C9-4BE9-AECA-95E619AF9AFB}"/>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B1C9-4BE9-AECA-95E619AF9AFB}"/>
              </c:ext>
            </c:extLst>
          </c:dPt>
          <c:dLbls>
            <c:dLbl>
              <c:idx val="0"/>
              <c:spPr>
                <a:solidFill>
                  <a:sysClr val="window" lastClr="FFFFFF"/>
                </a:solidFill>
                <a:ln>
                  <a:solidFill>
                    <a:srgbClr val="5B9BD5"/>
                  </a:solid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1-B1C9-4BE9-AECA-95E619AF9AFB}"/>
                </c:ext>
              </c:extLst>
            </c:dLbl>
            <c:dLbl>
              <c:idx val="1"/>
              <c:spPr>
                <a:solidFill>
                  <a:sysClr val="window" lastClr="FFFFFF"/>
                </a:solidFill>
                <a:ln>
                  <a:solidFill>
                    <a:srgbClr val="5B9BD5"/>
                  </a:solid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3-B1C9-4BE9-AECA-95E619AF9AFB}"/>
                </c:ext>
              </c:extLst>
            </c:dLbl>
            <c:dLbl>
              <c:idx val="2"/>
              <c:spPr>
                <a:solidFill>
                  <a:sysClr val="window" lastClr="FFFFFF"/>
                </a:solidFill>
                <a:ln>
                  <a:solidFill>
                    <a:srgbClr val="5B9BD5"/>
                  </a:solid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accent3"/>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5-B1C9-4BE9-AECA-95E619AF9AFB}"/>
                </c:ext>
              </c:extLst>
            </c:dLbl>
            <c:spPr>
              <a:solidFill>
                <a:sysClr val="window" lastClr="FFFFFF"/>
              </a:solidFill>
              <a:ln>
                <a:solidFill>
                  <a:srgbClr val="5B9BD5"/>
                </a:solidFill>
              </a:ln>
              <a:effectLst/>
            </c:sp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'Table and Graph 4.3.6. and 7.8'!$B$3:$D$3</c:f>
              <c:strCache>
                <c:ptCount val="3"/>
                <c:pt idx="0">
                  <c:v>Closed </c:v>
                </c:pt>
                <c:pt idx="1">
                  <c:v>Ongoing</c:v>
                </c:pt>
                <c:pt idx="2">
                  <c:v>To be selected</c:v>
                </c:pt>
              </c:strCache>
            </c:strRef>
          </c:cat>
          <c:val>
            <c:numRef>
              <c:f>'Table and Graph 4.3.6. and 7.8'!$B$4:$D$4</c:f>
              <c:numCache>
                <c:formatCode>General</c:formatCode>
                <c:ptCount val="3"/>
                <c:pt idx="0">
                  <c:v>92</c:v>
                </c:pt>
                <c:pt idx="1">
                  <c:v>61</c:v>
                </c:pt>
                <c:pt idx="2">
                  <c:v>142</c:v>
                </c:pt>
              </c:numCache>
            </c:numRef>
          </c:val>
          <c:extLst>
            <c:ext xmlns:c16="http://schemas.microsoft.com/office/drawing/2014/chart" uri="{C3380CC4-5D6E-409C-BE32-E72D297353CC}">
              <c16:uniqueId val="{00000006-B1C9-4BE9-AECA-95E619AF9AFB}"/>
            </c:ext>
          </c:extLst>
        </c:ser>
        <c:dLbls>
          <c:dLblPos val="outEnd"/>
          <c:showLegendKey val="0"/>
          <c:showVal val="0"/>
          <c:showCatName val="1"/>
          <c:showSerName val="0"/>
          <c:showPercent val="0"/>
          <c:showBubbleSize val="0"/>
          <c:showLeaderLines val="0"/>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600" b="1" i="0" u="none" strike="noStrike" kern="1200" baseline="0">
                <a:solidFill>
                  <a:srgbClr val="44546A"/>
                </a:solidFill>
                <a:latin typeface="+mn-lt"/>
                <a:ea typeface="+mn-ea"/>
                <a:cs typeface="+mn-cs"/>
              </a:defRPr>
            </a:pPr>
            <a:r>
              <a:rPr lang="en-GB" sz="1800" b="1" i="0" baseline="0">
                <a:effectLst/>
              </a:rPr>
              <a:t>Coverage of JU contribution by H2020 ex-post audits selected</a:t>
            </a:r>
            <a:endParaRPr lang="en-GB">
              <a:effectLst/>
            </a:endParaRPr>
          </a:p>
        </c:rich>
      </c:tx>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600" b="1" i="0" u="none" strike="noStrike" kern="1200" baseline="0">
              <a:solidFill>
                <a:srgbClr val="44546A"/>
              </a:solidFill>
              <a:latin typeface="+mn-lt"/>
              <a:ea typeface="+mn-ea"/>
              <a:cs typeface="+mn-cs"/>
            </a:defRPr>
          </a:pPr>
          <a:endParaRPr lang="en-US"/>
        </a:p>
      </c:txPr>
    </c:title>
    <c:autoTitleDeleted val="0"/>
    <c:plotArea>
      <c:layout/>
      <c:barChart>
        <c:barDir val="col"/>
        <c:grouping val="clustered"/>
        <c:varyColors val="0"/>
        <c:ser>
          <c:idx val="0"/>
          <c:order val="0"/>
          <c:tx>
            <c:strRef>
              <c:f>'Table and Graph 4.3.6. and 7.8'!$B$20</c:f>
              <c:strCache>
                <c:ptCount val="1"/>
                <c:pt idx="0">
                  <c:v>Accepted by FCH 2 JU</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numRef>
              <c:f>'Table and Graph 4.3.6. and 7.8'!$A$21:$A$25</c:f>
              <c:numCache>
                <c:formatCode>General</c:formatCode>
                <c:ptCount val="5"/>
                <c:pt idx="0">
                  <c:v>2017</c:v>
                </c:pt>
                <c:pt idx="1">
                  <c:v>2018</c:v>
                </c:pt>
                <c:pt idx="2">
                  <c:v>2019</c:v>
                </c:pt>
                <c:pt idx="3">
                  <c:v>2020</c:v>
                </c:pt>
                <c:pt idx="4">
                  <c:v>2021</c:v>
                </c:pt>
              </c:numCache>
            </c:numRef>
          </c:cat>
          <c:val>
            <c:numRef>
              <c:f>'Table and Graph 4.3.6. and 7.8'!$B$21:$B$25</c:f>
              <c:numCache>
                <c:formatCode>0.00</c:formatCode>
                <c:ptCount val="5"/>
                <c:pt idx="0">
                  <c:v>37.087462559999992</c:v>
                </c:pt>
                <c:pt idx="1">
                  <c:v>58.651723740000016</c:v>
                </c:pt>
                <c:pt idx="2">
                  <c:v>98.525662999999994</c:v>
                </c:pt>
                <c:pt idx="3">
                  <c:v>70.033839999999998</c:v>
                </c:pt>
                <c:pt idx="4">
                  <c:v>88.615293339999994</c:v>
                </c:pt>
              </c:numCache>
            </c:numRef>
          </c:val>
          <c:extLst>
            <c:ext xmlns:c16="http://schemas.microsoft.com/office/drawing/2014/chart" uri="{C3380CC4-5D6E-409C-BE32-E72D297353CC}">
              <c16:uniqueId val="{00000000-55C4-41CA-AB14-F72974910AA7}"/>
            </c:ext>
          </c:extLst>
        </c:ser>
        <c:ser>
          <c:idx val="1"/>
          <c:order val="1"/>
          <c:tx>
            <c:strRef>
              <c:f>'Table and Graph 4.3.6. and 7.8'!$C$20</c:f>
              <c:strCache>
                <c:ptCount val="1"/>
                <c:pt idx="0">
                  <c:v>Selected for ex-post audits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numRef>
              <c:f>'Table and Graph 4.3.6. and 7.8'!$A$21:$A$25</c:f>
              <c:numCache>
                <c:formatCode>General</c:formatCode>
                <c:ptCount val="5"/>
                <c:pt idx="0">
                  <c:v>2017</c:v>
                </c:pt>
                <c:pt idx="1">
                  <c:v>2018</c:v>
                </c:pt>
                <c:pt idx="2">
                  <c:v>2019</c:v>
                </c:pt>
                <c:pt idx="3">
                  <c:v>2020</c:v>
                </c:pt>
                <c:pt idx="4">
                  <c:v>2021</c:v>
                </c:pt>
              </c:numCache>
            </c:numRef>
          </c:cat>
          <c:val>
            <c:numRef>
              <c:f>'Table and Graph 4.3.6. and 7.8'!$C$21:$C$25</c:f>
              <c:numCache>
                <c:formatCode>0.00</c:formatCode>
                <c:ptCount val="5"/>
                <c:pt idx="0">
                  <c:v>8.1437546999999988</c:v>
                </c:pt>
                <c:pt idx="1">
                  <c:v>10.801574039999998</c:v>
                </c:pt>
                <c:pt idx="2">
                  <c:v>27.265719830000002</c:v>
                </c:pt>
                <c:pt idx="3">
                  <c:v>47.497296010000007</c:v>
                </c:pt>
                <c:pt idx="4">
                  <c:v>17.378698849999996</c:v>
                </c:pt>
              </c:numCache>
            </c:numRef>
          </c:val>
          <c:extLst>
            <c:ext xmlns:c16="http://schemas.microsoft.com/office/drawing/2014/chart" uri="{C3380CC4-5D6E-409C-BE32-E72D297353CC}">
              <c16:uniqueId val="{00000001-55C4-41CA-AB14-F72974910AA7}"/>
            </c:ext>
          </c:extLst>
        </c:ser>
        <c:dLbls>
          <c:showLegendKey val="0"/>
          <c:showVal val="0"/>
          <c:showCatName val="0"/>
          <c:showSerName val="0"/>
          <c:showPercent val="0"/>
          <c:showBubbleSize val="0"/>
        </c:dLbls>
        <c:gapWidth val="247"/>
        <c:axId val="554471839"/>
        <c:axId val="554479327"/>
      </c:barChart>
      <c:lineChart>
        <c:grouping val="standard"/>
        <c:varyColors val="0"/>
        <c:ser>
          <c:idx val="2"/>
          <c:order val="2"/>
          <c:tx>
            <c:strRef>
              <c:f>'Table and Graph 4.3.6. and 7.8'!$D$20</c:f>
              <c:strCache>
                <c:ptCount val="1"/>
                <c:pt idx="0">
                  <c:v>Cumulative coverage</c:v>
                </c:pt>
              </c:strCache>
            </c:strRef>
          </c:tx>
          <c:spPr>
            <a:ln w="31750" cap="rnd">
              <a:solidFill>
                <a:schemeClr val="accent3"/>
              </a:solidFill>
              <a:round/>
            </a:ln>
            <a:effectLst/>
          </c:spPr>
          <c:marker>
            <c:symbol val="none"/>
          </c:marker>
          <c:cat>
            <c:numRef>
              <c:f>'Table and Graph 4.3.6. and 7.8'!$A$21:$A$25</c:f>
              <c:numCache>
                <c:formatCode>General</c:formatCode>
                <c:ptCount val="5"/>
                <c:pt idx="0">
                  <c:v>2017</c:v>
                </c:pt>
                <c:pt idx="1">
                  <c:v>2018</c:v>
                </c:pt>
                <c:pt idx="2">
                  <c:v>2019</c:v>
                </c:pt>
                <c:pt idx="3">
                  <c:v>2020</c:v>
                </c:pt>
                <c:pt idx="4">
                  <c:v>2021</c:v>
                </c:pt>
              </c:numCache>
            </c:numRef>
          </c:cat>
          <c:val>
            <c:numRef>
              <c:f>'Table and Graph 4.3.6. and 7.8'!$D$21:$D$25</c:f>
              <c:numCache>
                <c:formatCode>0.00%</c:formatCode>
                <c:ptCount val="5"/>
                <c:pt idx="0">
                  <c:v>0.21958241782718502</c:v>
                </c:pt>
                <c:pt idx="1">
                  <c:v>0.19788478962662751</c:v>
                </c:pt>
                <c:pt idx="2">
                  <c:v>0.23787653163458838</c:v>
                </c:pt>
                <c:pt idx="3">
                  <c:v>0.35455470788821664</c:v>
                </c:pt>
                <c:pt idx="4">
                  <c:v>0.32594884275052044</c:v>
                </c:pt>
              </c:numCache>
            </c:numRef>
          </c:val>
          <c:smooth val="0"/>
          <c:extLst>
            <c:ext xmlns:c16="http://schemas.microsoft.com/office/drawing/2014/chart" uri="{C3380CC4-5D6E-409C-BE32-E72D297353CC}">
              <c16:uniqueId val="{00000002-55C4-41CA-AB14-F72974910AA7}"/>
            </c:ext>
          </c:extLst>
        </c:ser>
        <c:dLbls>
          <c:showLegendKey val="0"/>
          <c:showVal val="0"/>
          <c:showCatName val="0"/>
          <c:showSerName val="0"/>
          <c:showPercent val="0"/>
          <c:showBubbleSize val="0"/>
        </c:dLbls>
        <c:marker val="1"/>
        <c:smooth val="0"/>
        <c:axId val="760071887"/>
        <c:axId val="760077711"/>
      </c:lineChart>
      <c:catAx>
        <c:axId val="554471839"/>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554479327"/>
        <c:crosses val="autoZero"/>
        <c:auto val="1"/>
        <c:lblAlgn val="ctr"/>
        <c:lblOffset val="100"/>
        <c:noMultiLvlLbl val="0"/>
      </c:catAx>
      <c:valAx>
        <c:axId val="554479327"/>
        <c:scaling>
          <c:orientation val="minMax"/>
        </c:scaling>
        <c:delete val="0"/>
        <c:axPos val="l"/>
        <c:majorGridlines>
          <c:spPr>
            <a:ln w="9525" cap="flat" cmpd="sng" algn="ctr">
              <a:solidFill>
                <a:schemeClr val="tx2">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554471839"/>
        <c:crosses val="autoZero"/>
        <c:crossBetween val="between"/>
      </c:valAx>
      <c:valAx>
        <c:axId val="760077711"/>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760071887"/>
        <c:crosses val="max"/>
        <c:crossBetween val="between"/>
      </c:valAx>
      <c:catAx>
        <c:axId val="760071887"/>
        <c:scaling>
          <c:orientation val="minMax"/>
        </c:scaling>
        <c:delete val="1"/>
        <c:axPos val="b"/>
        <c:numFmt formatCode="General" sourceLinked="1"/>
        <c:majorTickMark val="out"/>
        <c:minorTickMark val="none"/>
        <c:tickLblPos val="nextTo"/>
        <c:crossAx val="760077711"/>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Audited JU contribution up to 31 December 2021 covered by </a:t>
            </a:r>
            <a:r>
              <a:rPr lang="en-GB" i="1"/>
              <a:t>ex-post</a:t>
            </a:r>
            <a:r>
              <a:rPr lang="en-GB" i="0"/>
              <a:t> controls</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'Table and Graph 4.3.6. and 7.8'!$B$46</c:f>
              <c:strCache>
                <c:ptCount val="1"/>
                <c:pt idx="0">
                  <c:v>Corrective</c:v>
                </c:pt>
              </c:strCache>
            </c:strRef>
          </c:tx>
          <c:spPr>
            <a:solidFill>
              <a:schemeClr val="accent1"/>
            </a:solidFill>
            <a:ln>
              <a:noFill/>
            </a:ln>
            <a:effectLst/>
          </c:spPr>
          <c:invertIfNegative val="0"/>
          <c:cat>
            <c:numRef>
              <c:f>'Table and Graph 4.3.6. and 7.8'!$A$47:$A$51</c:f>
              <c:numCache>
                <c:formatCode>General</c:formatCode>
                <c:ptCount val="5"/>
                <c:pt idx="0">
                  <c:v>2017</c:v>
                </c:pt>
                <c:pt idx="1">
                  <c:v>2018</c:v>
                </c:pt>
                <c:pt idx="2">
                  <c:v>2019</c:v>
                </c:pt>
                <c:pt idx="3">
                  <c:v>2020</c:v>
                </c:pt>
                <c:pt idx="4">
                  <c:v>2021</c:v>
                </c:pt>
              </c:numCache>
            </c:numRef>
          </c:cat>
          <c:val>
            <c:numRef>
              <c:f>'Table and Graph 4.3.6. and 7.8'!$B$47:$B$51</c:f>
              <c:numCache>
                <c:formatCode>0.00</c:formatCode>
                <c:ptCount val="5"/>
                <c:pt idx="0">
                  <c:v>4.9828694100000002</c:v>
                </c:pt>
                <c:pt idx="1">
                  <c:v>2.5854565800000002</c:v>
                </c:pt>
                <c:pt idx="2">
                  <c:v>14.657539350000002</c:v>
                </c:pt>
                <c:pt idx="3">
                  <c:v>20.684698449999999</c:v>
                </c:pt>
                <c:pt idx="4">
                  <c:v>10.30119189</c:v>
                </c:pt>
              </c:numCache>
            </c:numRef>
          </c:val>
          <c:extLst>
            <c:ext xmlns:c16="http://schemas.microsoft.com/office/drawing/2014/chart" uri="{C3380CC4-5D6E-409C-BE32-E72D297353CC}">
              <c16:uniqueId val="{00000000-9C9E-45D6-A0C8-65C7F499653D}"/>
            </c:ext>
          </c:extLst>
        </c:ser>
        <c:ser>
          <c:idx val="1"/>
          <c:order val="1"/>
          <c:tx>
            <c:strRef>
              <c:f>'Table and Graph 4.3.6. and 7.8'!$C$46</c:f>
              <c:strCache>
                <c:ptCount val="1"/>
                <c:pt idx="0">
                  <c:v>Representative</c:v>
                </c:pt>
              </c:strCache>
            </c:strRef>
          </c:tx>
          <c:spPr>
            <a:solidFill>
              <a:schemeClr val="accent2"/>
            </a:solidFill>
            <a:ln>
              <a:noFill/>
            </a:ln>
            <a:effectLst/>
          </c:spPr>
          <c:invertIfNegative val="0"/>
          <c:cat>
            <c:numRef>
              <c:f>'Table and Graph 4.3.6. and 7.8'!$A$47:$A$51</c:f>
              <c:numCache>
                <c:formatCode>General</c:formatCode>
                <c:ptCount val="5"/>
                <c:pt idx="0">
                  <c:v>2017</c:v>
                </c:pt>
                <c:pt idx="1">
                  <c:v>2018</c:v>
                </c:pt>
                <c:pt idx="2">
                  <c:v>2019</c:v>
                </c:pt>
                <c:pt idx="3">
                  <c:v>2020</c:v>
                </c:pt>
                <c:pt idx="4">
                  <c:v>2021</c:v>
                </c:pt>
              </c:numCache>
            </c:numRef>
          </c:cat>
          <c:val>
            <c:numRef>
              <c:f>'Table and Graph 4.3.6. and 7.8'!$C$47:$C$51</c:f>
              <c:numCache>
                <c:formatCode>0.00</c:formatCode>
                <c:ptCount val="5"/>
                <c:pt idx="0">
                  <c:v>3.16088529</c:v>
                </c:pt>
                <c:pt idx="1">
                  <c:v>8.2161174600000013</c:v>
                </c:pt>
                <c:pt idx="2">
                  <c:v>12.608180480000001</c:v>
                </c:pt>
                <c:pt idx="3">
                  <c:v>26.812597560000007</c:v>
                </c:pt>
                <c:pt idx="4">
                  <c:v>7.0775069599999991</c:v>
                </c:pt>
              </c:numCache>
            </c:numRef>
          </c:val>
          <c:extLst>
            <c:ext xmlns:c16="http://schemas.microsoft.com/office/drawing/2014/chart" uri="{C3380CC4-5D6E-409C-BE32-E72D297353CC}">
              <c16:uniqueId val="{00000001-9C9E-45D6-A0C8-65C7F499653D}"/>
            </c:ext>
          </c:extLst>
        </c:ser>
        <c:dLbls>
          <c:showLegendKey val="0"/>
          <c:showVal val="0"/>
          <c:showCatName val="0"/>
          <c:showSerName val="0"/>
          <c:showPercent val="0"/>
          <c:showBubbleSize val="0"/>
        </c:dLbls>
        <c:gapWidth val="150"/>
        <c:overlap val="100"/>
        <c:axId val="851288896"/>
        <c:axId val="851286400"/>
      </c:barChart>
      <c:catAx>
        <c:axId val="851288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1286400"/>
        <c:crosses val="autoZero"/>
        <c:auto val="1"/>
        <c:lblAlgn val="ctr"/>
        <c:lblOffset val="100"/>
        <c:noMultiLvlLbl val="0"/>
      </c:catAx>
      <c:valAx>
        <c:axId val="85128640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1288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rebuchet MS" panose="020B0603020202020204" pitchFamily="34" charset="0"/>
                <a:ea typeface="+mn-ea"/>
                <a:cs typeface="+mn-cs"/>
              </a:defRPr>
            </a:pPr>
            <a:r>
              <a:rPr lang="en-GB"/>
              <a:t>HTE Demo Projects</a:t>
            </a:r>
          </a:p>
        </c:rich>
      </c:tx>
      <c:layout>
        <c:manualLayout>
          <c:xMode val="edge"/>
          <c:yMode val="edge"/>
          <c:x val="0.32554855643044617"/>
          <c:y val="0.12037037037037036"/>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rebuchet MS" panose="020B0603020202020204" pitchFamily="34" charset="0"/>
              <a:ea typeface="+mn-ea"/>
              <a:cs typeface="+mn-cs"/>
            </a:defRPr>
          </a:pPr>
          <a:endParaRPr lang="en-US"/>
        </a:p>
      </c:txPr>
    </c:title>
    <c:autoTitleDeleted val="0"/>
    <c:plotArea>
      <c:layout>
        <c:manualLayout>
          <c:layoutTarget val="inner"/>
          <c:xMode val="edge"/>
          <c:yMode val="edge"/>
          <c:x val="0.13304615048118984"/>
          <c:y val="0.16781259646858027"/>
          <c:w val="0.74024103237095362"/>
          <c:h val="0.61677531891350912"/>
        </c:manualLayout>
      </c:layout>
      <c:barChart>
        <c:barDir val="col"/>
        <c:grouping val="clustered"/>
        <c:varyColors val="0"/>
        <c:ser>
          <c:idx val="0"/>
          <c:order val="0"/>
          <c:tx>
            <c:strRef>
              <c:f>Sheet1!$B$1</c:f>
              <c:strCache>
                <c:ptCount val="1"/>
                <c:pt idx="0">
                  <c:v>Capacity</c:v>
                </c:pt>
              </c:strCache>
            </c:strRef>
          </c:tx>
          <c:spPr>
            <a:solidFill>
              <a:srgbClr val="92D050"/>
            </a:solidFill>
            <a:ln>
              <a:noFill/>
            </a:ln>
            <a:effectLst/>
          </c:spPr>
          <c:invertIfNegative val="0"/>
          <c:cat>
            <c:numRef>
              <c:f>Sheet1!$A$2:$A$4</c:f>
              <c:numCache>
                <c:formatCode>General</c:formatCode>
                <c:ptCount val="3"/>
                <c:pt idx="0">
                  <c:v>2015</c:v>
                </c:pt>
                <c:pt idx="1">
                  <c:v>2018</c:v>
                </c:pt>
                <c:pt idx="2">
                  <c:v>2019</c:v>
                </c:pt>
              </c:numCache>
            </c:numRef>
          </c:cat>
          <c:val>
            <c:numRef>
              <c:f>Sheet1!$B$2:$B$4</c:f>
              <c:numCache>
                <c:formatCode>General</c:formatCode>
                <c:ptCount val="3"/>
                <c:pt idx="0">
                  <c:v>0.15</c:v>
                </c:pt>
                <c:pt idx="1">
                  <c:v>0.72</c:v>
                </c:pt>
                <c:pt idx="2">
                  <c:v>2.6</c:v>
                </c:pt>
              </c:numCache>
            </c:numRef>
          </c:val>
          <c:extLst>
            <c:ext xmlns:c16="http://schemas.microsoft.com/office/drawing/2014/chart" uri="{C3380CC4-5D6E-409C-BE32-E72D297353CC}">
              <c16:uniqueId val="{00000000-80BD-4EE9-93B6-E0FB9A7380F4}"/>
            </c:ext>
          </c:extLst>
        </c:ser>
        <c:dLbls>
          <c:showLegendKey val="0"/>
          <c:showVal val="0"/>
          <c:showCatName val="0"/>
          <c:showSerName val="0"/>
          <c:showPercent val="0"/>
          <c:showBubbleSize val="0"/>
        </c:dLbls>
        <c:gapWidth val="219"/>
        <c:overlap val="-27"/>
        <c:axId val="1775035983"/>
        <c:axId val="1775032655"/>
      </c:barChart>
      <c:lineChart>
        <c:grouping val="standard"/>
        <c:varyColors val="0"/>
        <c:ser>
          <c:idx val="1"/>
          <c:order val="1"/>
          <c:tx>
            <c:strRef>
              <c:f>Sheet1!$C$1</c:f>
              <c:strCache>
                <c:ptCount val="1"/>
                <c:pt idx="0">
                  <c:v>Funding per MW.</c:v>
                </c:pt>
              </c:strCache>
            </c:strRef>
          </c:tx>
          <c:spPr>
            <a:ln w="28575" cap="rnd">
              <a:solidFill>
                <a:srgbClr val="0070C0"/>
              </a:solidFill>
              <a:round/>
            </a:ln>
            <a:effectLst/>
          </c:spPr>
          <c:marker>
            <c:symbol val="none"/>
          </c:marker>
          <c:cat>
            <c:numRef>
              <c:f>Sheet1!$A$2:$A$4</c:f>
              <c:numCache>
                <c:formatCode>General</c:formatCode>
                <c:ptCount val="3"/>
                <c:pt idx="0">
                  <c:v>2015</c:v>
                </c:pt>
                <c:pt idx="1">
                  <c:v>2018</c:v>
                </c:pt>
                <c:pt idx="2">
                  <c:v>2019</c:v>
                </c:pt>
              </c:numCache>
            </c:numRef>
          </c:cat>
          <c:val>
            <c:numRef>
              <c:f>Sheet1!$C$2:$C$4</c:f>
              <c:numCache>
                <c:formatCode>0.0</c:formatCode>
                <c:ptCount val="3"/>
                <c:pt idx="0">
                  <c:v>30</c:v>
                </c:pt>
                <c:pt idx="1">
                  <c:v>5.5555555555555554</c:v>
                </c:pt>
                <c:pt idx="2">
                  <c:v>2.6923076923076921</c:v>
                </c:pt>
              </c:numCache>
            </c:numRef>
          </c:val>
          <c:smooth val="0"/>
          <c:extLst>
            <c:ext xmlns:c16="http://schemas.microsoft.com/office/drawing/2014/chart" uri="{C3380CC4-5D6E-409C-BE32-E72D297353CC}">
              <c16:uniqueId val="{00000001-80BD-4EE9-93B6-E0FB9A7380F4}"/>
            </c:ext>
          </c:extLst>
        </c:ser>
        <c:dLbls>
          <c:showLegendKey val="0"/>
          <c:showVal val="0"/>
          <c:showCatName val="0"/>
          <c:showSerName val="0"/>
          <c:showPercent val="0"/>
          <c:showBubbleSize val="0"/>
        </c:dLbls>
        <c:marker val="1"/>
        <c:smooth val="0"/>
        <c:axId val="1775450799"/>
        <c:axId val="1775449967"/>
      </c:lineChart>
      <c:catAx>
        <c:axId val="17750359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crossAx val="1775032655"/>
        <c:crosses val="autoZero"/>
        <c:auto val="1"/>
        <c:lblAlgn val="ctr"/>
        <c:lblOffset val="100"/>
        <c:noMultiLvlLbl val="0"/>
      </c:catAx>
      <c:valAx>
        <c:axId val="1775032655"/>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rebuchet MS" panose="020B0603020202020204" pitchFamily="34" charset="0"/>
                    <a:ea typeface="+mn-ea"/>
                    <a:cs typeface="+mn-cs"/>
                  </a:defRPr>
                </a:pPr>
                <a:r>
                  <a:rPr lang="en-GB"/>
                  <a:t>Capacity (MW)</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crossAx val="1775035983"/>
        <c:crosses val="autoZero"/>
        <c:crossBetween val="between"/>
      </c:valAx>
      <c:valAx>
        <c:axId val="1775449967"/>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rebuchet MS" panose="020B0603020202020204" pitchFamily="34" charset="0"/>
                    <a:ea typeface="+mn-ea"/>
                    <a:cs typeface="+mn-cs"/>
                  </a:defRPr>
                </a:pPr>
                <a:r>
                  <a:rPr lang="en-GB"/>
                  <a:t>FCH JU Support (M€/MW)</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title>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crossAx val="1775450799"/>
        <c:crosses val="max"/>
        <c:crossBetween val="between"/>
      </c:valAx>
      <c:catAx>
        <c:axId val="1775450799"/>
        <c:scaling>
          <c:orientation val="minMax"/>
        </c:scaling>
        <c:delete val="1"/>
        <c:axPos val="b"/>
        <c:numFmt formatCode="General" sourceLinked="1"/>
        <c:majorTickMark val="out"/>
        <c:minorTickMark val="none"/>
        <c:tickLblPos val="nextTo"/>
        <c:crossAx val="1775449967"/>
        <c:crosses val="autoZero"/>
        <c:auto val="1"/>
        <c:lblAlgn val="ctr"/>
        <c:lblOffset val="100"/>
        <c:noMultiLvlLbl val="0"/>
      </c:catAx>
      <c:spPr>
        <a:noFill/>
        <a:ln>
          <a:noFill/>
        </a:ln>
        <a:effectLst/>
      </c:spPr>
    </c:plotArea>
    <c:legend>
      <c:legendPos val="b"/>
      <c:layout>
        <c:manualLayout>
          <c:xMode val="edge"/>
          <c:yMode val="edge"/>
          <c:x val="0.2294464129483815"/>
          <c:y val="0.86158303901622413"/>
          <c:w val="0.50221828521434819"/>
          <c:h val="7.565760820243978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rebuchet MS" panose="020B0603020202020204" pitchFamily="34"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GB" b="1"/>
              <a:t>Total IR</a:t>
            </a:r>
            <a:r>
              <a:rPr lang="en-GB" b="1" baseline="0"/>
              <a:t> </a:t>
            </a:r>
            <a:r>
              <a:rPr lang="en-GB" b="1"/>
              <a:t>Innovations/Innovators </a:t>
            </a:r>
          </a:p>
        </c:rich>
      </c:tx>
      <c:overlay val="0"/>
      <c:spPr>
        <a:noFill/>
        <a:ln w="25400">
          <a:noFill/>
        </a:ln>
      </c:spPr>
    </c:title>
    <c:autoTitleDeleted val="0"/>
    <c:plotArea>
      <c:layout/>
      <c:barChart>
        <c:barDir val="col"/>
        <c:grouping val="clustered"/>
        <c:varyColors val="0"/>
        <c:ser>
          <c:idx val="0"/>
          <c:order val="0"/>
          <c:tx>
            <c:strRef>
              <c:f>Pivot!$O$2</c:f>
              <c:strCache>
                <c:ptCount val="1"/>
                <c:pt idx="0">
                  <c:v>Innovations</c:v>
                </c:pt>
              </c:strCache>
            </c:strRef>
          </c:tx>
          <c:spPr>
            <a:solidFill>
              <a:srgbClr val="5B9BD5"/>
            </a:solidFill>
            <a:ln w="25400">
              <a:noFill/>
            </a:ln>
          </c:spPr>
          <c:invertIfNegative val="0"/>
          <c:cat>
            <c:numRef>
              <c:f>Pivot!$M$3:$M$6</c:f>
              <c:numCache>
                <c:formatCode>General</c:formatCode>
                <c:ptCount val="4"/>
                <c:pt idx="0">
                  <c:v>2018</c:v>
                </c:pt>
                <c:pt idx="1">
                  <c:v>2019</c:v>
                </c:pt>
                <c:pt idx="2">
                  <c:v>2020</c:v>
                </c:pt>
                <c:pt idx="3">
                  <c:v>2021</c:v>
                </c:pt>
              </c:numCache>
            </c:numRef>
          </c:cat>
          <c:val>
            <c:numRef>
              <c:f>Pivot!$O$3:$O$6</c:f>
              <c:numCache>
                <c:formatCode>General</c:formatCode>
                <c:ptCount val="4"/>
                <c:pt idx="0">
                  <c:v>55</c:v>
                </c:pt>
                <c:pt idx="1">
                  <c:v>103</c:v>
                </c:pt>
                <c:pt idx="2">
                  <c:v>143</c:v>
                </c:pt>
                <c:pt idx="3">
                  <c:v>153</c:v>
                </c:pt>
              </c:numCache>
            </c:numRef>
          </c:val>
          <c:extLst>
            <c:ext xmlns:c16="http://schemas.microsoft.com/office/drawing/2014/chart" uri="{C3380CC4-5D6E-409C-BE32-E72D297353CC}">
              <c16:uniqueId val="{00000000-8A4E-4FFD-A1DD-4A45FC246B68}"/>
            </c:ext>
          </c:extLst>
        </c:ser>
        <c:ser>
          <c:idx val="1"/>
          <c:order val="1"/>
          <c:tx>
            <c:strRef>
              <c:f>Pivot!$Q$2</c:f>
              <c:strCache>
                <c:ptCount val="1"/>
                <c:pt idx="0">
                  <c:v>Innovators</c:v>
                </c:pt>
              </c:strCache>
            </c:strRef>
          </c:tx>
          <c:invertIfNegative val="0"/>
          <c:cat>
            <c:numRef>
              <c:f>Pivot!$M$3:$M$6</c:f>
              <c:numCache>
                <c:formatCode>General</c:formatCode>
                <c:ptCount val="4"/>
                <c:pt idx="0">
                  <c:v>2018</c:v>
                </c:pt>
                <c:pt idx="1">
                  <c:v>2019</c:v>
                </c:pt>
                <c:pt idx="2">
                  <c:v>2020</c:v>
                </c:pt>
                <c:pt idx="3">
                  <c:v>2021</c:v>
                </c:pt>
              </c:numCache>
            </c:numRef>
          </c:cat>
          <c:val>
            <c:numRef>
              <c:f>Pivot!$Q$3:$Q$6</c:f>
              <c:numCache>
                <c:formatCode>General</c:formatCode>
                <c:ptCount val="4"/>
                <c:pt idx="0">
                  <c:v>100</c:v>
                </c:pt>
                <c:pt idx="1">
                  <c:v>188</c:v>
                </c:pt>
                <c:pt idx="2">
                  <c:v>249</c:v>
                </c:pt>
                <c:pt idx="3">
                  <c:v>273</c:v>
                </c:pt>
              </c:numCache>
            </c:numRef>
          </c:val>
          <c:extLst>
            <c:ext xmlns:c16="http://schemas.microsoft.com/office/drawing/2014/chart" uri="{C3380CC4-5D6E-409C-BE32-E72D297353CC}">
              <c16:uniqueId val="{00000001-8A4E-4FFD-A1DD-4A45FC246B68}"/>
            </c:ext>
          </c:extLst>
        </c:ser>
        <c:dLbls>
          <c:showLegendKey val="0"/>
          <c:showVal val="0"/>
          <c:showCatName val="0"/>
          <c:showSerName val="0"/>
          <c:showPercent val="0"/>
          <c:showBubbleSize val="0"/>
        </c:dLbls>
        <c:gapWidth val="150"/>
        <c:axId val="261326288"/>
        <c:axId val="1"/>
      </c:barChart>
      <c:catAx>
        <c:axId val="261326288"/>
        <c:scaling>
          <c:orientation val="minMax"/>
        </c:scaling>
        <c:delete val="0"/>
        <c:axPos val="b"/>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1326288"/>
        <c:crosses val="autoZero"/>
        <c:crossBetween val="between"/>
      </c:valAx>
      <c:spPr>
        <a:noFill/>
        <a:ln w="25400">
          <a:noFill/>
        </a:ln>
      </c:spPr>
    </c:plotArea>
    <c:legend>
      <c:legendPos val="b"/>
      <c:overlay val="0"/>
      <c:spPr>
        <a:noFill/>
        <a:ln w="25400">
          <a:noFill/>
        </a:ln>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400" b="1" i="0" baseline="0">
                <a:effectLst/>
              </a:rPr>
              <a:t>Innovators Capacity Index(ICI) vs. Innovation Potential Index (IPI)</a:t>
            </a:r>
            <a:endParaRPr lang="en-GB" sz="1400" b="1">
              <a:effectLst/>
            </a:endParaRPr>
          </a:p>
        </c:rich>
      </c:tx>
      <c:layout>
        <c:manualLayout>
          <c:xMode val="edge"/>
          <c:yMode val="edge"/>
          <c:x val="0.13048498563205857"/>
          <c:y val="3.8842493688094775E-3"/>
        </c:manualLayout>
      </c:layout>
      <c:overlay val="0"/>
      <c:spPr>
        <a:noFill/>
        <a:ln w="25400">
          <a:noFill/>
        </a:ln>
      </c:spPr>
    </c:title>
    <c:autoTitleDeleted val="0"/>
    <c:plotArea>
      <c:layout/>
      <c:scatterChart>
        <c:scatterStyle val="lineMarker"/>
        <c:varyColors val="0"/>
        <c:ser>
          <c:idx val="0"/>
          <c:order val="0"/>
          <c:spPr>
            <a:ln w="19050">
              <a:noFill/>
            </a:ln>
          </c:spPr>
          <c:marker>
            <c:symbol val="circle"/>
            <c:size val="5"/>
            <c:spPr>
              <a:solidFill>
                <a:schemeClr val="accent1"/>
              </a:solidFill>
              <a:ln w="9525">
                <a:solidFill>
                  <a:schemeClr val="accent1"/>
                </a:solidFill>
              </a:ln>
              <a:effectLst/>
            </c:spPr>
          </c:marker>
          <c:xVal>
            <c:numRef>
              <c:f>Pivot!$AA$4:$AA$156</c:f>
              <c:numCache>
                <c:formatCode>General</c:formatCode>
                <c:ptCount val="153"/>
                <c:pt idx="0">
                  <c:v>41.5</c:v>
                </c:pt>
                <c:pt idx="1">
                  <c:v>45</c:v>
                </c:pt>
                <c:pt idx="2">
                  <c:v>53.333333333333336</c:v>
                </c:pt>
                <c:pt idx="3">
                  <c:v>58</c:v>
                </c:pt>
                <c:pt idx="4">
                  <c:v>56</c:v>
                </c:pt>
                <c:pt idx="5">
                  <c:v>60.5</c:v>
                </c:pt>
                <c:pt idx="6">
                  <c:v>61</c:v>
                </c:pt>
                <c:pt idx="7">
                  <c:v>69</c:v>
                </c:pt>
                <c:pt idx="8">
                  <c:v>57.666666666666664</c:v>
                </c:pt>
                <c:pt idx="9">
                  <c:v>36.333333333333336</c:v>
                </c:pt>
                <c:pt idx="10">
                  <c:v>68</c:v>
                </c:pt>
                <c:pt idx="11">
                  <c:v>52</c:v>
                </c:pt>
                <c:pt idx="12">
                  <c:v>55.333333333333336</c:v>
                </c:pt>
                <c:pt idx="13">
                  <c:v>58.5</c:v>
                </c:pt>
                <c:pt idx="14">
                  <c:v>53</c:v>
                </c:pt>
                <c:pt idx="15">
                  <c:v>57</c:v>
                </c:pt>
                <c:pt idx="16">
                  <c:v>39</c:v>
                </c:pt>
                <c:pt idx="17">
                  <c:v>34.5</c:v>
                </c:pt>
                <c:pt idx="18">
                  <c:v>36</c:v>
                </c:pt>
                <c:pt idx="19">
                  <c:v>78</c:v>
                </c:pt>
                <c:pt idx="20">
                  <c:v>68</c:v>
                </c:pt>
                <c:pt idx="21">
                  <c:v>38.333333333333336</c:v>
                </c:pt>
                <c:pt idx="22">
                  <c:v>38.333333333333336</c:v>
                </c:pt>
                <c:pt idx="23">
                  <c:v>50</c:v>
                </c:pt>
                <c:pt idx="24">
                  <c:v>58</c:v>
                </c:pt>
                <c:pt idx="25">
                  <c:v>50</c:v>
                </c:pt>
                <c:pt idx="26">
                  <c:v>55</c:v>
                </c:pt>
                <c:pt idx="27">
                  <c:v>68</c:v>
                </c:pt>
                <c:pt idx="28">
                  <c:v>67</c:v>
                </c:pt>
                <c:pt idx="29">
                  <c:v>60</c:v>
                </c:pt>
                <c:pt idx="30">
                  <c:v>64</c:v>
                </c:pt>
                <c:pt idx="31">
                  <c:v>59</c:v>
                </c:pt>
                <c:pt idx="32">
                  <c:v>45.5</c:v>
                </c:pt>
                <c:pt idx="33">
                  <c:v>50</c:v>
                </c:pt>
                <c:pt idx="34">
                  <c:v>64</c:v>
                </c:pt>
                <c:pt idx="35">
                  <c:v>64</c:v>
                </c:pt>
                <c:pt idx="36">
                  <c:v>50.5</c:v>
                </c:pt>
                <c:pt idx="37">
                  <c:v>50</c:v>
                </c:pt>
                <c:pt idx="38">
                  <c:v>53</c:v>
                </c:pt>
                <c:pt idx="39">
                  <c:v>63</c:v>
                </c:pt>
                <c:pt idx="40">
                  <c:v>44.666666666666664</c:v>
                </c:pt>
                <c:pt idx="41">
                  <c:v>49</c:v>
                </c:pt>
                <c:pt idx="42">
                  <c:v>46</c:v>
                </c:pt>
                <c:pt idx="43">
                  <c:v>47</c:v>
                </c:pt>
                <c:pt idx="44">
                  <c:v>49</c:v>
                </c:pt>
                <c:pt idx="45">
                  <c:v>57.5</c:v>
                </c:pt>
                <c:pt idx="46">
                  <c:v>24.333333333333332</c:v>
                </c:pt>
                <c:pt idx="47">
                  <c:v>54.333333333333336</c:v>
                </c:pt>
                <c:pt idx="48">
                  <c:v>55.333333333333336</c:v>
                </c:pt>
                <c:pt idx="49">
                  <c:v>60.5</c:v>
                </c:pt>
                <c:pt idx="50">
                  <c:v>75</c:v>
                </c:pt>
                <c:pt idx="51">
                  <c:v>75</c:v>
                </c:pt>
                <c:pt idx="52">
                  <c:v>33.333333333333336</c:v>
                </c:pt>
                <c:pt idx="53">
                  <c:v>35</c:v>
                </c:pt>
                <c:pt idx="54">
                  <c:v>34.333333333333336</c:v>
                </c:pt>
                <c:pt idx="55">
                  <c:v>57.333333333333336</c:v>
                </c:pt>
                <c:pt idx="56">
                  <c:v>67</c:v>
                </c:pt>
                <c:pt idx="57">
                  <c:v>59</c:v>
                </c:pt>
                <c:pt idx="58">
                  <c:v>34.666666666666664</c:v>
                </c:pt>
                <c:pt idx="59">
                  <c:v>33</c:v>
                </c:pt>
                <c:pt idx="60">
                  <c:v>73</c:v>
                </c:pt>
                <c:pt idx="61">
                  <c:v>72</c:v>
                </c:pt>
                <c:pt idx="62">
                  <c:v>62</c:v>
                </c:pt>
                <c:pt idx="63">
                  <c:v>59</c:v>
                </c:pt>
                <c:pt idx="64">
                  <c:v>57</c:v>
                </c:pt>
                <c:pt idx="65">
                  <c:v>60</c:v>
                </c:pt>
                <c:pt idx="66">
                  <c:v>57</c:v>
                </c:pt>
                <c:pt idx="67">
                  <c:v>75</c:v>
                </c:pt>
                <c:pt idx="68">
                  <c:v>59</c:v>
                </c:pt>
                <c:pt idx="69">
                  <c:v>59.5</c:v>
                </c:pt>
                <c:pt idx="70">
                  <c:v>66.333333333333329</c:v>
                </c:pt>
                <c:pt idx="71">
                  <c:v>60</c:v>
                </c:pt>
                <c:pt idx="72">
                  <c:v>65.333333333333329</c:v>
                </c:pt>
                <c:pt idx="73">
                  <c:v>21.333333333333332</c:v>
                </c:pt>
                <c:pt idx="74">
                  <c:v>29</c:v>
                </c:pt>
                <c:pt idx="75">
                  <c:v>23</c:v>
                </c:pt>
                <c:pt idx="76">
                  <c:v>69</c:v>
                </c:pt>
                <c:pt idx="77">
                  <c:v>70</c:v>
                </c:pt>
                <c:pt idx="78">
                  <c:v>69.5</c:v>
                </c:pt>
                <c:pt idx="79">
                  <c:v>69.333333333333329</c:v>
                </c:pt>
                <c:pt idx="80">
                  <c:v>72</c:v>
                </c:pt>
                <c:pt idx="81">
                  <c:v>67</c:v>
                </c:pt>
                <c:pt idx="82">
                  <c:v>56</c:v>
                </c:pt>
                <c:pt idx="83">
                  <c:v>67</c:v>
                </c:pt>
                <c:pt idx="84">
                  <c:v>53</c:v>
                </c:pt>
                <c:pt idx="85">
                  <c:v>49.5</c:v>
                </c:pt>
                <c:pt idx="86">
                  <c:v>48.333333333333336</c:v>
                </c:pt>
                <c:pt idx="87">
                  <c:v>44</c:v>
                </c:pt>
                <c:pt idx="88">
                  <c:v>64</c:v>
                </c:pt>
                <c:pt idx="89">
                  <c:v>58</c:v>
                </c:pt>
                <c:pt idx="90">
                  <c:v>13.333333333333334</c:v>
                </c:pt>
                <c:pt idx="91">
                  <c:v>60.333333333333336</c:v>
                </c:pt>
                <c:pt idx="92">
                  <c:v>38.5</c:v>
                </c:pt>
                <c:pt idx="93">
                  <c:v>50</c:v>
                </c:pt>
                <c:pt idx="94">
                  <c:v>63</c:v>
                </c:pt>
                <c:pt idx="95">
                  <c:v>73</c:v>
                </c:pt>
                <c:pt idx="96">
                  <c:v>84</c:v>
                </c:pt>
                <c:pt idx="97">
                  <c:v>68.5</c:v>
                </c:pt>
                <c:pt idx="98">
                  <c:v>61.5</c:v>
                </c:pt>
                <c:pt idx="99">
                  <c:v>16.333333333333332</c:v>
                </c:pt>
                <c:pt idx="100">
                  <c:v>32</c:v>
                </c:pt>
                <c:pt idx="101">
                  <c:v>37</c:v>
                </c:pt>
                <c:pt idx="102">
                  <c:v>56</c:v>
                </c:pt>
                <c:pt idx="103">
                  <c:v>45</c:v>
                </c:pt>
                <c:pt idx="104">
                  <c:v>39</c:v>
                </c:pt>
                <c:pt idx="105">
                  <c:v>36</c:v>
                </c:pt>
                <c:pt idx="106">
                  <c:v>64</c:v>
                </c:pt>
                <c:pt idx="107">
                  <c:v>64</c:v>
                </c:pt>
                <c:pt idx="108">
                  <c:v>54.5</c:v>
                </c:pt>
                <c:pt idx="109">
                  <c:v>53.333333333333336</c:v>
                </c:pt>
                <c:pt idx="110">
                  <c:v>61</c:v>
                </c:pt>
                <c:pt idx="111">
                  <c:v>62</c:v>
                </c:pt>
                <c:pt idx="112">
                  <c:v>59</c:v>
                </c:pt>
                <c:pt idx="113">
                  <c:v>69</c:v>
                </c:pt>
                <c:pt idx="114">
                  <c:v>58</c:v>
                </c:pt>
                <c:pt idx="115">
                  <c:v>61</c:v>
                </c:pt>
                <c:pt idx="116">
                  <c:v>66</c:v>
                </c:pt>
                <c:pt idx="117">
                  <c:v>65</c:v>
                </c:pt>
                <c:pt idx="118">
                  <c:v>64</c:v>
                </c:pt>
                <c:pt idx="119">
                  <c:v>36.333333333333336</c:v>
                </c:pt>
                <c:pt idx="120">
                  <c:v>76</c:v>
                </c:pt>
                <c:pt idx="121">
                  <c:v>62</c:v>
                </c:pt>
                <c:pt idx="122">
                  <c:v>62</c:v>
                </c:pt>
                <c:pt idx="123">
                  <c:v>59.5</c:v>
                </c:pt>
                <c:pt idx="124">
                  <c:v>72</c:v>
                </c:pt>
                <c:pt idx="125">
                  <c:v>63.666666666666664</c:v>
                </c:pt>
                <c:pt idx="126">
                  <c:v>72</c:v>
                </c:pt>
                <c:pt idx="127">
                  <c:v>65</c:v>
                </c:pt>
                <c:pt idx="128">
                  <c:v>65</c:v>
                </c:pt>
                <c:pt idx="129">
                  <c:v>69</c:v>
                </c:pt>
                <c:pt idx="130">
                  <c:v>56</c:v>
                </c:pt>
                <c:pt idx="131">
                  <c:v>56</c:v>
                </c:pt>
                <c:pt idx="132">
                  <c:v>59</c:v>
                </c:pt>
                <c:pt idx="133">
                  <c:v>38</c:v>
                </c:pt>
                <c:pt idx="134">
                  <c:v>41.333333333333336</c:v>
                </c:pt>
                <c:pt idx="135">
                  <c:v>36</c:v>
                </c:pt>
                <c:pt idx="136">
                  <c:v>51</c:v>
                </c:pt>
                <c:pt idx="137">
                  <c:v>33</c:v>
                </c:pt>
                <c:pt idx="138">
                  <c:v>81</c:v>
                </c:pt>
                <c:pt idx="139">
                  <c:v>44.666666666666664</c:v>
                </c:pt>
                <c:pt idx="140">
                  <c:v>51</c:v>
                </c:pt>
                <c:pt idx="141">
                  <c:v>37</c:v>
                </c:pt>
                <c:pt idx="142">
                  <c:v>39.333333333333336</c:v>
                </c:pt>
                <c:pt idx="143">
                  <c:v>68.333333333333329</c:v>
                </c:pt>
                <c:pt idx="144">
                  <c:v>64.333333333333329</c:v>
                </c:pt>
                <c:pt idx="145">
                  <c:v>43</c:v>
                </c:pt>
                <c:pt idx="146">
                  <c:v>44</c:v>
                </c:pt>
                <c:pt idx="147">
                  <c:v>38.5</c:v>
                </c:pt>
                <c:pt idx="148">
                  <c:v>62.666666666666664</c:v>
                </c:pt>
                <c:pt idx="149">
                  <c:v>72</c:v>
                </c:pt>
                <c:pt idx="150">
                  <c:v>57.333333333333336</c:v>
                </c:pt>
                <c:pt idx="151">
                  <c:v>67</c:v>
                </c:pt>
                <c:pt idx="152">
                  <c:v>66</c:v>
                </c:pt>
              </c:numCache>
            </c:numRef>
          </c:xVal>
          <c:yVal>
            <c:numRef>
              <c:f>Pivot!$AB$4:$AB$156</c:f>
              <c:numCache>
                <c:formatCode>General</c:formatCode>
                <c:ptCount val="153"/>
                <c:pt idx="0">
                  <c:v>50</c:v>
                </c:pt>
                <c:pt idx="1">
                  <c:v>53</c:v>
                </c:pt>
                <c:pt idx="2">
                  <c:v>28</c:v>
                </c:pt>
                <c:pt idx="3">
                  <c:v>61</c:v>
                </c:pt>
                <c:pt idx="4">
                  <c:v>55</c:v>
                </c:pt>
                <c:pt idx="5">
                  <c:v>23</c:v>
                </c:pt>
                <c:pt idx="6">
                  <c:v>51</c:v>
                </c:pt>
                <c:pt idx="7">
                  <c:v>46</c:v>
                </c:pt>
                <c:pt idx="8">
                  <c:v>49</c:v>
                </c:pt>
                <c:pt idx="9">
                  <c:v>45</c:v>
                </c:pt>
                <c:pt idx="10">
                  <c:v>47</c:v>
                </c:pt>
                <c:pt idx="11">
                  <c:v>47</c:v>
                </c:pt>
                <c:pt idx="12">
                  <c:v>40</c:v>
                </c:pt>
                <c:pt idx="13">
                  <c:v>30</c:v>
                </c:pt>
                <c:pt idx="14">
                  <c:v>25</c:v>
                </c:pt>
                <c:pt idx="15">
                  <c:v>30</c:v>
                </c:pt>
                <c:pt idx="16">
                  <c:v>44</c:v>
                </c:pt>
                <c:pt idx="17">
                  <c:v>35</c:v>
                </c:pt>
                <c:pt idx="18">
                  <c:v>52</c:v>
                </c:pt>
                <c:pt idx="19">
                  <c:v>62</c:v>
                </c:pt>
                <c:pt idx="20">
                  <c:v>61</c:v>
                </c:pt>
                <c:pt idx="21">
                  <c:v>16</c:v>
                </c:pt>
                <c:pt idx="22">
                  <c:v>16</c:v>
                </c:pt>
                <c:pt idx="23">
                  <c:v>27</c:v>
                </c:pt>
                <c:pt idx="24">
                  <c:v>32</c:v>
                </c:pt>
                <c:pt idx="25">
                  <c:v>25</c:v>
                </c:pt>
                <c:pt idx="26">
                  <c:v>28</c:v>
                </c:pt>
                <c:pt idx="27">
                  <c:v>33</c:v>
                </c:pt>
                <c:pt idx="28">
                  <c:v>27</c:v>
                </c:pt>
                <c:pt idx="29">
                  <c:v>48</c:v>
                </c:pt>
                <c:pt idx="30">
                  <c:v>34</c:v>
                </c:pt>
                <c:pt idx="31">
                  <c:v>47</c:v>
                </c:pt>
                <c:pt idx="32">
                  <c:v>26</c:v>
                </c:pt>
                <c:pt idx="33">
                  <c:v>46</c:v>
                </c:pt>
                <c:pt idx="34">
                  <c:v>56</c:v>
                </c:pt>
                <c:pt idx="35">
                  <c:v>55</c:v>
                </c:pt>
                <c:pt idx="36">
                  <c:v>25</c:v>
                </c:pt>
                <c:pt idx="37">
                  <c:v>40</c:v>
                </c:pt>
                <c:pt idx="38">
                  <c:v>28</c:v>
                </c:pt>
                <c:pt idx="39">
                  <c:v>50</c:v>
                </c:pt>
                <c:pt idx="40">
                  <c:v>49</c:v>
                </c:pt>
                <c:pt idx="41">
                  <c:v>43</c:v>
                </c:pt>
                <c:pt idx="42">
                  <c:v>39</c:v>
                </c:pt>
                <c:pt idx="43">
                  <c:v>27</c:v>
                </c:pt>
                <c:pt idx="44">
                  <c:v>47</c:v>
                </c:pt>
                <c:pt idx="45">
                  <c:v>36</c:v>
                </c:pt>
                <c:pt idx="46">
                  <c:v>17</c:v>
                </c:pt>
                <c:pt idx="47">
                  <c:v>21</c:v>
                </c:pt>
                <c:pt idx="48">
                  <c:v>23</c:v>
                </c:pt>
                <c:pt idx="49">
                  <c:v>37</c:v>
                </c:pt>
                <c:pt idx="50">
                  <c:v>70</c:v>
                </c:pt>
                <c:pt idx="51">
                  <c:v>70</c:v>
                </c:pt>
                <c:pt idx="52">
                  <c:v>25</c:v>
                </c:pt>
                <c:pt idx="53">
                  <c:v>32</c:v>
                </c:pt>
                <c:pt idx="54">
                  <c:v>33</c:v>
                </c:pt>
                <c:pt idx="55">
                  <c:v>27</c:v>
                </c:pt>
                <c:pt idx="56">
                  <c:v>35</c:v>
                </c:pt>
                <c:pt idx="57">
                  <c:v>58</c:v>
                </c:pt>
                <c:pt idx="58">
                  <c:v>23</c:v>
                </c:pt>
                <c:pt idx="59">
                  <c:v>23</c:v>
                </c:pt>
                <c:pt idx="60">
                  <c:v>46</c:v>
                </c:pt>
                <c:pt idx="61">
                  <c:v>56</c:v>
                </c:pt>
                <c:pt idx="62">
                  <c:v>58</c:v>
                </c:pt>
                <c:pt idx="63">
                  <c:v>52</c:v>
                </c:pt>
                <c:pt idx="64">
                  <c:v>28</c:v>
                </c:pt>
                <c:pt idx="65">
                  <c:v>25</c:v>
                </c:pt>
                <c:pt idx="66">
                  <c:v>54</c:v>
                </c:pt>
                <c:pt idx="67">
                  <c:v>43</c:v>
                </c:pt>
                <c:pt idx="68">
                  <c:v>29</c:v>
                </c:pt>
                <c:pt idx="69">
                  <c:v>25</c:v>
                </c:pt>
                <c:pt idx="70">
                  <c:v>59</c:v>
                </c:pt>
                <c:pt idx="71">
                  <c:v>59</c:v>
                </c:pt>
                <c:pt idx="72">
                  <c:v>50</c:v>
                </c:pt>
                <c:pt idx="73">
                  <c:v>22</c:v>
                </c:pt>
                <c:pt idx="74">
                  <c:v>14</c:v>
                </c:pt>
                <c:pt idx="75">
                  <c:v>32</c:v>
                </c:pt>
                <c:pt idx="76">
                  <c:v>39</c:v>
                </c:pt>
                <c:pt idx="77">
                  <c:v>36</c:v>
                </c:pt>
                <c:pt idx="78">
                  <c:v>33</c:v>
                </c:pt>
                <c:pt idx="79">
                  <c:v>71</c:v>
                </c:pt>
                <c:pt idx="80">
                  <c:v>54</c:v>
                </c:pt>
                <c:pt idx="81">
                  <c:v>26</c:v>
                </c:pt>
                <c:pt idx="82">
                  <c:v>40</c:v>
                </c:pt>
                <c:pt idx="83">
                  <c:v>34</c:v>
                </c:pt>
                <c:pt idx="84">
                  <c:v>24</c:v>
                </c:pt>
                <c:pt idx="85">
                  <c:v>25</c:v>
                </c:pt>
                <c:pt idx="86">
                  <c:v>49</c:v>
                </c:pt>
                <c:pt idx="87">
                  <c:v>31</c:v>
                </c:pt>
                <c:pt idx="88">
                  <c:v>75</c:v>
                </c:pt>
                <c:pt idx="89">
                  <c:v>65</c:v>
                </c:pt>
                <c:pt idx="90">
                  <c:v>26</c:v>
                </c:pt>
                <c:pt idx="91">
                  <c:v>26</c:v>
                </c:pt>
                <c:pt idx="92">
                  <c:v>28</c:v>
                </c:pt>
                <c:pt idx="93">
                  <c:v>34</c:v>
                </c:pt>
                <c:pt idx="94">
                  <c:v>39</c:v>
                </c:pt>
                <c:pt idx="95">
                  <c:v>43</c:v>
                </c:pt>
                <c:pt idx="96">
                  <c:v>39</c:v>
                </c:pt>
                <c:pt idx="97">
                  <c:v>36</c:v>
                </c:pt>
                <c:pt idx="98">
                  <c:v>51</c:v>
                </c:pt>
                <c:pt idx="99">
                  <c:v>20</c:v>
                </c:pt>
                <c:pt idx="100">
                  <c:v>30</c:v>
                </c:pt>
                <c:pt idx="101">
                  <c:v>40</c:v>
                </c:pt>
                <c:pt idx="102">
                  <c:v>49</c:v>
                </c:pt>
                <c:pt idx="103">
                  <c:v>24</c:v>
                </c:pt>
                <c:pt idx="104">
                  <c:v>61</c:v>
                </c:pt>
                <c:pt idx="105">
                  <c:v>57</c:v>
                </c:pt>
                <c:pt idx="106">
                  <c:v>48</c:v>
                </c:pt>
                <c:pt idx="107">
                  <c:v>46</c:v>
                </c:pt>
                <c:pt idx="108">
                  <c:v>52</c:v>
                </c:pt>
                <c:pt idx="109">
                  <c:v>22</c:v>
                </c:pt>
                <c:pt idx="110">
                  <c:v>58</c:v>
                </c:pt>
                <c:pt idx="111">
                  <c:v>60</c:v>
                </c:pt>
                <c:pt idx="112">
                  <c:v>35</c:v>
                </c:pt>
                <c:pt idx="113">
                  <c:v>59</c:v>
                </c:pt>
                <c:pt idx="114">
                  <c:v>50</c:v>
                </c:pt>
                <c:pt idx="115">
                  <c:v>51</c:v>
                </c:pt>
                <c:pt idx="116">
                  <c:v>53</c:v>
                </c:pt>
                <c:pt idx="117">
                  <c:v>48</c:v>
                </c:pt>
                <c:pt idx="118">
                  <c:v>56</c:v>
                </c:pt>
                <c:pt idx="119">
                  <c:v>19</c:v>
                </c:pt>
                <c:pt idx="120">
                  <c:v>60</c:v>
                </c:pt>
                <c:pt idx="121">
                  <c:v>54</c:v>
                </c:pt>
                <c:pt idx="122">
                  <c:v>33</c:v>
                </c:pt>
                <c:pt idx="123">
                  <c:v>28</c:v>
                </c:pt>
                <c:pt idx="124">
                  <c:v>34</c:v>
                </c:pt>
                <c:pt idx="125">
                  <c:v>31</c:v>
                </c:pt>
                <c:pt idx="126">
                  <c:v>67</c:v>
                </c:pt>
                <c:pt idx="127">
                  <c:v>46</c:v>
                </c:pt>
                <c:pt idx="128">
                  <c:v>72</c:v>
                </c:pt>
                <c:pt idx="129">
                  <c:v>42</c:v>
                </c:pt>
                <c:pt idx="130">
                  <c:v>31</c:v>
                </c:pt>
                <c:pt idx="131">
                  <c:v>47</c:v>
                </c:pt>
                <c:pt idx="132">
                  <c:v>55</c:v>
                </c:pt>
                <c:pt idx="133">
                  <c:v>20</c:v>
                </c:pt>
                <c:pt idx="134">
                  <c:v>17</c:v>
                </c:pt>
                <c:pt idx="135">
                  <c:v>22</c:v>
                </c:pt>
                <c:pt idx="136">
                  <c:v>45</c:v>
                </c:pt>
                <c:pt idx="137">
                  <c:v>20</c:v>
                </c:pt>
                <c:pt idx="138">
                  <c:v>75</c:v>
                </c:pt>
                <c:pt idx="139">
                  <c:v>44</c:v>
                </c:pt>
                <c:pt idx="140">
                  <c:v>40</c:v>
                </c:pt>
                <c:pt idx="141">
                  <c:v>46</c:v>
                </c:pt>
                <c:pt idx="142">
                  <c:v>39</c:v>
                </c:pt>
                <c:pt idx="143">
                  <c:v>47</c:v>
                </c:pt>
                <c:pt idx="144">
                  <c:v>26</c:v>
                </c:pt>
                <c:pt idx="145">
                  <c:v>32</c:v>
                </c:pt>
                <c:pt idx="146">
                  <c:v>17</c:v>
                </c:pt>
                <c:pt idx="147">
                  <c:v>18</c:v>
                </c:pt>
                <c:pt idx="148">
                  <c:v>29</c:v>
                </c:pt>
                <c:pt idx="149">
                  <c:v>42</c:v>
                </c:pt>
                <c:pt idx="150">
                  <c:v>31</c:v>
                </c:pt>
                <c:pt idx="151">
                  <c:v>43</c:v>
                </c:pt>
                <c:pt idx="152">
                  <c:v>44</c:v>
                </c:pt>
              </c:numCache>
            </c:numRef>
          </c:yVal>
          <c:smooth val="0"/>
          <c:extLst>
            <c:ext xmlns:c16="http://schemas.microsoft.com/office/drawing/2014/chart" uri="{C3380CC4-5D6E-409C-BE32-E72D297353CC}">
              <c16:uniqueId val="{00000000-E7F9-4699-AEDC-433497F0A367}"/>
            </c:ext>
          </c:extLst>
        </c:ser>
        <c:dLbls>
          <c:showLegendKey val="0"/>
          <c:showVal val="0"/>
          <c:showCatName val="0"/>
          <c:showSerName val="0"/>
          <c:showPercent val="0"/>
          <c:showBubbleSize val="0"/>
        </c:dLbls>
        <c:axId val="261328784"/>
        <c:axId val="1"/>
      </c:scatterChart>
      <c:valAx>
        <c:axId val="261328784"/>
        <c:scaling>
          <c:orientation val="minMax"/>
          <c:max val="1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sz="1000" b="1" i="0" u="none" strike="noStrike" baseline="0">
                    <a:effectLst/>
                  </a:rPr>
                  <a:t>Innovators Capacity Index (ICI)</a:t>
                </a:r>
                <a:endParaRPr lang="en-GB" b="1"/>
              </a:p>
            </c:rich>
          </c:tx>
          <c:overlay val="0"/>
          <c:spPr>
            <a:noFill/>
            <a:ln w="25400">
              <a:noFill/>
            </a:ln>
          </c:spPr>
        </c:title>
        <c:numFmt formatCode="General" sourceLinked="1"/>
        <c:majorTickMark val="none"/>
        <c:minorTickMark val="none"/>
        <c:tickLblPos val="low"/>
        <c:spPr>
          <a:noFill/>
          <a:ln w="9525" cap="flat" cmpd="sng" algn="ctr">
            <a:solidFill>
              <a:schemeClr val="tx1">
                <a:lumMod val="25000"/>
                <a:lumOff val="7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en-US"/>
          </a:p>
        </c:txPr>
        <c:crossAx val="1"/>
        <c:crosses val="autoZero"/>
        <c:crossBetween val="midCat"/>
      </c:valAx>
      <c:valAx>
        <c:axId val="1"/>
        <c:scaling>
          <c:orientation val="minMax"/>
          <c:max val="1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sz="1000" b="1" i="0" u="none" strike="noStrike" baseline="0">
                    <a:effectLst/>
                  </a:rPr>
                  <a:t>Innovation Potential Index (IPI)</a:t>
                </a:r>
                <a:endParaRPr lang="en-GB" b="1"/>
              </a:p>
            </c:rich>
          </c:tx>
          <c:overlay val="0"/>
          <c:spPr>
            <a:noFill/>
            <a:ln w="25400">
              <a:noFill/>
            </a:ln>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1328784"/>
        <c:crosses val="autoZero"/>
        <c:crossBetween val="midCat"/>
        <c:majorUnit val="10"/>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b="1"/>
              <a:t>Maturity</a:t>
            </a:r>
            <a:r>
              <a:rPr lang="en-US" b="1" baseline="0"/>
              <a:t> Level of Innovations (up to 2020)</a:t>
            </a:r>
            <a:endParaRPr lang="en-US" b="1"/>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Pivot!$S$3:$S$6</c:f>
              <c:strCache>
                <c:ptCount val="4"/>
                <c:pt idx="0">
                  <c:v>Exploring</c:v>
                </c:pt>
                <c:pt idx="1">
                  <c:v>Business Ready</c:v>
                </c:pt>
                <c:pt idx="2">
                  <c:v>Market Ready</c:v>
                </c:pt>
                <c:pt idx="3">
                  <c:v>Tech Ready</c:v>
                </c:pt>
              </c:strCache>
            </c:strRef>
          </c:cat>
          <c:val>
            <c:numRef>
              <c:f>Pivot!$T$3:$T$6</c:f>
              <c:numCache>
                <c:formatCode>General</c:formatCode>
                <c:ptCount val="4"/>
                <c:pt idx="0">
                  <c:v>86</c:v>
                </c:pt>
                <c:pt idx="1">
                  <c:v>25</c:v>
                </c:pt>
                <c:pt idx="2">
                  <c:v>23</c:v>
                </c:pt>
                <c:pt idx="3">
                  <c:v>19</c:v>
                </c:pt>
              </c:numCache>
            </c:numRef>
          </c:val>
          <c:extLst>
            <c:ext xmlns:c16="http://schemas.microsoft.com/office/drawing/2014/chart" uri="{C3380CC4-5D6E-409C-BE32-E72D297353CC}">
              <c16:uniqueId val="{00000000-7886-4D6B-90FF-CE65AF83E8BC}"/>
            </c:ext>
          </c:extLst>
        </c:ser>
        <c:dLbls>
          <c:showLegendKey val="0"/>
          <c:showVal val="0"/>
          <c:showCatName val="0"/>
          <c:showSerName val="0"/>
          <c:showPercent val="0"/>
          <c:showBubbleSize val="0"/>
        </c:dLbls>
        <c:gapWidth val="219"/>
        <c:overlap val="-27"/>
        <c:axId val="261318800"/>
        <c:axId val="1"/>
      </c:barChart>
      <c:catAx>
        <c:axId val="261318800"/>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GB" b="1"/>
                  <a:t>Market</a:t>
                </a:r>
                <a:r>
                  <a:rPr lang="en-GB" b="1" baseline="0"/>
                  <a:t> Maturity</a:t>
                </a:r>
                <a:endParaRPr lang="en-GB" b="1"/>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GB" b="1"/>
                  <a:t>No</a:t>
                </a:r>
                <a:r>
                  <a:rPr lang="en-GB" b="1" baseline="0"/>
                  <a:t> of Innovations</a:t>
                </a:r>
                <a:endParaRPr lang="en-GB" b="1"/>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1318800"/>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[D&amp;E - EU SURVEY 2021_rev (ID 11302066).xlsx]Diss_Analysis!PivotTable3</c:name>
    <c:fmtId val="-1"/>
  </c:pivotSource>
  <c:chart>
    <c:title>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eparator> </c:separator>
          <c:extLst>
            <c:ext xmlns:c15="http://schemas.microsoft.com/office/drawing/2012/chart" uri="{CE6537A1-D6FC-4f65-9D91-7224C49458BB}"/>
          </c:extLst>
        </c:dLbl>
      </c:pivotFmt>
      <c:pivotFmt>
        <c:idx val="1"/>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Lst>
        </c:dLbl>
      </c:pivotFmt>
      <c:pivotFmt>
        <c:idx val="2"/>
        <c:spPr>
          <a:solidFill>
            <a:schemeClr val="accent1"/>
          </a:solidFill>
          <a:ln w="19050">
            <a:solidFill>
              <a:schemeClr val="lt1"/>
            </a:solidFill>
          </a:ln>
          <a:effectLst/>
        </c:spPr>
      </c:pivotFmt>
      <c:pivotFmt>
        <c:idx val="3"/>
        <c:spPr>
          <a:solidFill>
            <a:schemeClr val="accent1"/>
          </a:solidFill>
          <a:ln w="19050">
            <a:solidFill>
              <a:schemeClr val="lt1"/>
            </a:solidFill>
          </a:ln>
          <a:effectLst/>
        </c:spPr>
      </c:pivotFmt>
      <c:pivotFmt>
        <c:idx val="4"/>
        <c:spPr>
          <a:solidFill>
            <a:schemeClr val="accent1"/>
          </a:solidFill>
          <a:ln w="19050">
            <a:solidFill>
              <a:schemeClr val="lt1"/>
            </a:solidFill>
          </a:ln>
          <a:effectLst/>
        </c:spPr>
      </c:pivotFmt>
      <c:pivotFmt>
        <c:idx val="5"/>
        <c:spPr>
          <a:solidFill>
            <a:schemeClr val="accent1"/>
          </a:solidFill>
          <a:ln w="19050">
            <a:solidFill>
              <a:schemeClr val="lt1"/>
            </a:solidFill>
          </a:ln>
          <a:effectLst/>
        </c:spPr>
      </c:pivotFmt>
      <c:pivotFmt>
        <c:idx val="6"/>
        <c:spPr>
          <a:solidFill>
            <a:schemeClr val="accent1"/>
          </a:solidFill>
          <a:ln w="19050">
            <a:solidFill>
              <a:schemeClr val="lt1"/>
            </a:solidFill>
          </a:ln>
          <a:effectLst/>
        </c:spPr>
      </c:pivotFmt>
      <c:pivotFmt>
        <c:idx val="7"/>
        <c:spPr>
          <a:solidFill>
            <a:schemeClr val="accent1"/>
          </a:solidFill>
          <a:ln w="19050">
            <a:solidFill>
              <a:schemeClr val="lt1"/>
            </a:solidFill>
          </a:ln>
          <a:effectLst/>
        </c:spPr>
      </c:pivotFmt>
      <c:pivotFmt>
        <c:idx val="8"/>
        <c:spPr>
          <a:solidFill>
            <a:schemeClr val="accent1"/>
          </a:solidFill>
          <a:ln w="19050">
            <a:solidFill>
              <a:schemeClr val="lt1"/>
            </a:solidFill>
          </a:ln>
          <a:effectLst/>
        </c:spPr>
      </c:pivotFmt>
      <c:pivotFmt>
        <c:idx val="9"/>
        <c:spPr>
          <a:solidFill>
            <a:schemeClr val="accent1"/>
          </a:solidFill>
          <a:ln w="19050">
            <a:solidFill>
              <a:schemeClr val="lt1"/>
            </a:solidFill>
          </a:ln>
          <a:effectLst/>
        </c:spPr>
      </c:pivotFmt>
      <c:pivotFmt>
        <c:idx val="10"/>
        <c:spPr>
          <a:solidFill>
            <a:schemeClr val="accent1"/>
          </a:solidFill>
          <a:ln w="19050">
            <a:solidFill>
              <a:schemeClr val="lt1"/>
            </a:solidFill>
          </a:ln>
          <a:effectLst/>
        </c:spPr>
        <c:dLbl>
          <c:idx val="0"/>
          <c:layout>
            <c:manualLayout>
              <c:x val="-4.8764939624837647E-2"/>
              <c:y val="-9.0376451876659089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Lst>
        </c:dLbl>
      </c:pivotFmt>
      <c:pivotFmt>
        <c:idx val="11"/>
        <c:spPr>
          <a:solidFill>
            <a:schemeClr val="accent1"/>
          </a:solidFill>
          <a:ln w="19050">
            <a:solidFill>
              <a:schemeClr val="lt1"/>
            </a:solidFill>
          </a:ln>
          <a:effectLst/>
        </c:spPr>
        <c:dLbl>
          <c:idx val="0"/>
          <c:layout>
            <c:manualLayout>
              <c:x val="6.1558384497092044E-4"/>
              <c:y val="-2.2887512460657948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Lst>
        </c:dLbl>
      </c:pivotFmt>
      <c:pivotFmt>
        <c:idx val="12"/>
        <c:spPr>
          <a:solidFill>
            <a:schemeClr val="accent1"/>
          </a:solidFill>
          <a:ln w="19050">
            <a:solidFill>
              <a:schemeClr val="lt1"/>
            </a:solidFill>
          </a:ln>
          <a:effectLst/>
        </c:spPr>
      </c:pivotFmt>
      <c:pivotFmt>
        <c:idx val="13"/>
        <c:spPr>
          <a:solidFill>
            <a:schemeClr val="accent1"/>
          </a:solidFill>
          <a:ln w="19050">
            <a:solidFill>
              <a:schemeClr val="lt1"/>
            </a:solidFill>
          </a:ln>
          <a:effectLst/>
        </c:spPr>
      </c:pivotFmt>
      <c:pivotFmt>
        <c:idx val="14"/>
        <c:spPr>
          <a:solidFill>
            <a:schemeClr val="accent1"/>
          </a:solidFill>
          <a:ln w="19050">
            <a:solidFill>
              <a:schemeClr val="lt1"/>
            </a:solidFill>
          </a:ln>
          <a:effectLst/>
        </c:spPr>
        <c:dLbl>
          <c:idx val="0"/>
          <c:layout>
            <c:manualLayout>
              <c:x val="0.12334801762114538"/>
              <c:y val="-0.15947043603902297"/>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Lst>
        </c:dLbl>
      </c:pivotFmt>
      <c:pivotFmt>
        <c:idx val="15"/>
        <c:spPr>
          <a:solidFill>
            <a:schemeClr val="accent1"/>
          </a:solidFill>
          <a:ln w="19050">
            <a:solidFill>
              <a:schemeClr val="lt1"/>
            </a:solidFill>
          </a:ln>
          <a:effectLst/>
        </c:spPr>
      </c:pivotFmt>
      <c:pivotFmt>
        <c:idx val="16"/>
        <c:spPr>
          <a:solidFill>
            <a:schemeClr val="accent1"/>
          </a:solidFill>
          <a:ln w="19050">
            <a:solidFill>
              <a:schemeClr val="lt1"/>
            </a:solidFill>
          </a:ln>
          <a:effectLst/>
        </c:spPr>
        <c:dLbl>
          <c:idx val="0"/>
          <c:layout>
            <c:manualLayout>
              <c:x val="5.2423601234867667E-2"/>
              <c:y val="-8.832136736819704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Lst>
        </c:dLbl>
      </c:pivotFmt>
      <c:pivotFmt>
        <c:idx val="17"/>
        <c:spPr>
          <a:solidFill>
            <a:schemeClr val="accent1"/>
          </a:solidFill>
          <a:ln w="19050">
            <a:solidFill>
              <a:schemeClr val="lt1"/>
            </a:solidFill>
          </a:ln>
          <a:effectLst/>
        </c:spPr>
      </c:pivotFmt>
      <c:pivotFmt>
        <c:idx val="18"/>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Lst>
        </c:dLbl>
      </c:pivotFmt>
      <c:pivotFmt>
        <c:idx val="19"/>
        <c:spPr>
          <a:solidFill>
            <a:schemeClr val="accent1"/>
          </a:solidFill>
          <a:ln w="19050">
            <a:solidFill>
              <a:schemeClr val="lt1"/>
            </a:solidFill>
          </a:ln>
          <a:effectLst/>
        </c:spPr>
      </c:pivotFmt>
      <c:pivotFmt>
        <c:idx val="20"/>
        <c:spPr>
          <a:solidFill>
            <a:schemeClr val="accent1"/>
          </a:solidFill>
          <a:ln w="19050">
            <a:solidFill>
              <a:schemeClr val="lt1"/>
            </a:solidFill>
          </a:ln>
          <a:effectLst/>
        </c:spPr>
      </c:pivotFmt>
      <c:pivotFmt>
        <c:idx val="21"/>
        <c:spPr>
          <a:solidFill>
            <a:schemeClr val="accent1"/>
          </a:solidFill>
          <a:ln w="19050">
            <a:solidFill>
              <a:schemeClr val="lt1"/>
            </a:solidFill>
          </a:ln>
          <a:effectLst/>
        </c:spPr>
        <c:dLbl>
          <c:idx val="0"/>
          <c:layout>
            <c:manualLayout>
              <c:x val="0.12334801762114538"/>
              <c:y val="-0.15947043603902297"/>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Lst>
        </c:dLbl>
      </c:pivotFmt>
      <c:pivotFmt>
        <c:idx val="22"/>
        <c:spPr>
          <a:solidFill>
            <a:schemeClr val="accent1"/>
          </a:solidFill>
          <a:ln w="19050">
            <a:solidFill>
              <a:schemeClr val="lt1"/>
            </a:solidFill>
          </a:ln>
          <a:effectLst/>
        </c:spPr>
      </c:pivotFmt>
      <c:pivotFmt>
        <c:idx val="23"/>
        <c:spPr>
          <a:solidFill>
            <a:schemeClr val="accent1"/>
          </a:solidFill>
          <a:ln w="19050">
            <a:solidFill>
              <a:schemeClr val="lt1"/>
            </a:solidFill>
          </a:ln>
          <a:effectLst/>
        </c:spPr>
        <c:dLbl>
          <c:idx val="0"/>
          <c:layout>
            <c:manualLayout>
              <c:x val="6.1558384497092044E-4"/>
              <c:y val="-2.2887512460657948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Lst>
        </c:dLbl>
      </c:pivotFmt>
      <c:pivotFmt>
        <c:idx val="24"/>
        <c:spPr>
          <a:solidFill>
            <a:schemeClr val="accent1"/>
          </a:solidFill>
          <a:ln w="19050">
            <a:solidFill>
              <a:schemeClr val="lt1"/>
            </a:solidFill>
          </a:ln>
          <a:effectLst/>
        </c:spPr>
        <c:dLbl>
          <c:idx val="0"/>
          <c:layout>
            <c:manualLayout>
              <c:x val="-4.8764939624837647E-2"/>
              <c:y val="-9.0376451876659089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Lst>
        </c:dLbl>
      </c:pivotFmt>
      <c:pivotFmt>
        <c:idx val="25"/>
        <c:spPr>
          <a:solidFill>
            <a:schemeClr val="accent1"/>
          </a:solidFill>
          <a:ln w="19050">
            <a:solidFill>
              <a:schemeClr val="lt1"/>
            </a:solidFill>
          </a:ln>
          <a:effectLst/>
        </c:spPr>
        <c:dLbl>
          <c:idx val="0"/>
          <c:layout>
            <c:manualLayout>
              <c:x val="5.2423601234867667E-2"/>
              <c:y val="-8.832136736819704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Lst>
        </c:dLbl>
      </c:pivotFmt>
      <c:pivotFmt>
        <c:idx val="26"/>
        <c:spPr>
          <a:solidFill>
            <a:schemeClr val="accent1"/>
          </a:solidFill>
          <a:ln w="19050">
            <a:solidFill>
              <a:schemeClr val="lt1"/>
            </a:solidFill>
          </a:ln>
          <a:effectLst/>
        </c:spPr>
      </c:pivotFmt>
      <c:pivotFmt>
        <c:idx val="27"/>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eparator> </c:separator>
          <c:extLst>
            <c:ext xmlns:c15="http://schemas.microsoft.com/office/drawing/2012/chart" uri="{CE6537A1-D6FC-4f65-9D91-7224C49458BB}"/>
          </c:extLst>
        </c:dLbl>
      </c:pivotFmt>
      <c:pivotFmt>
        <c:idx val="28"/>
        <c:spPr>
          <a:solidFill>
            <a:schemeClr val="accent1"/>
          </a:solidFill>
          <a:ln w="19050">
            <a:solidFill>
              <a:schemeClr val="lt1"/>
            </a:solidFill>
          </a:ln>
          <a:effectLst/>
        </c:spPr>
      </c:pivotFmt>
      <c:pivotFmt>
        <c:idx val="29"/>
        <c:spPr>
          <a:solidFill>
            <a:schemeClr val="accent1"/>
          </a:solidFill>
          <a:ln w="19050">
            <a:solidFill>
              <a:schemeClr val="lt1"/>
            </a:solidFill>
          </a:ln>
          <a:effectLst/>
        </c:spPr>
      </c:pivotFmt>
      <c:pivotFmt>
        <c:idx val="30"/>
        <c:spPr>
          <a:solidFill>
            <a:schemeClr val="accent1"/>
          </a:solidFill>
          <a:ln w="19050">
            <a:solidFill>
              <a:schemeClr val="lt1"/>
            </a:solidFill>
          </a:ln>
          <a:effectLst/>
        </c:spPr>
      </c:pivotFmt>
      <c:pivotFmt>
        <c:idx val="31"/>
        <c:spPr>
          <a:solidFill>
            <a:schemeClr val="accent1"/>
          </a:solidFill>
          <a:ln w="19050">
            <a:solidFill>
              <a:schemeClr val="lt1"/>
            </a:solidFill>
          </a:ln>
          <a:effectLst/>
        </c:spPr>
      </c:pivotFmt>
      <c:pivotFmt>
        <c:idx val="32"/>
        <c:spPr>
          <a:solidFill>
            <a:schemeClr val="accent1"/>
          </a:solidFill>
          <a:ln w="19050">
            <a:solidFill>
              <a:schemeClr val="lt1"/>
            </a:solidFill>
          </a:ln>
          <a:effectLst/>
        </c:spPr>
      </c:pivotFmt>
      <c:pivotFmt>
        <c:idx val="33"/>
        <c:spPr>
          <a:solidFill>
            <a:schemeClr val="accent1"/>
          </a:solidFill>
          <a:ln w="19050">
            <a:solidFill>
              <a:schemeClr val="lt1"/>
            </a:solidFill>
          </a:ln>
          <a:effectLst/>
        </c:spPr>
      </c:pivotFmt>
      <c:pivotFmt>
        <c:idx val="34"/>
        <c:spPr>
          <a:solidFill>
            <a:schemeClr val="accent1"/>
          </a:solidFill>
          <a:ln w="19050">
            <a:solidFill>
              <a:schemeClr val="lt1"/>
            </a:solidFill>
          </a:ln>
          <a:effectLst/>
        </c:spPr>
      </c:pivotFmt>
      <c:pivotFmt>
        <c:idx val="35"/>
        <c:spPr>
          <a:solidFill>
            <a:schemeClr val="accent1"/>
          </a:solidFill>
          <a:ln w="19050">
            <a:solidFill>
              <a:schemeClr val="lt1"/>
            </a:solidFill>
          </a:ln>
          <a:effectLst/>
        </c:spPr>
      </c:pivotFmt>
      <c:pivotFmt>
        <c:idx val="36"/>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Lst>
        </c:dLbl>
      </c:pivotFmt>
      <c:pivotFmt>
        <c:idx val="37"/>
        <c:spPr>
          <a:solidFill>
            <a:schemeClr val="accent1"/>
          </a:solidFill>
          <a:ln w="19050">
            <a:solidFill>
              <a:schemeClr val="lt1"/>
            </a:solidFill>
          </a:ln>
          <a:effectLst/>
        </c:spPr>
      </c:pivotFmt>
      <c:pivotFmt>
        <c:idx val="38"/>
        <c:spPr>
          <a:solidFill>
            <a:schemeClr val="accent1"/>
          </a:solidFill>
          <a:ln w="19050">
            <a:solidFill>
              <a:schemeClr val="lt1"/>
            </a:solidFill>
          </a:ln>
          <a:effectLst/>
        </c:spPr>
      </c:pivotFmt>
      <c:pivotFmt>
        <c:idx val="39"/>
        <c:spPr>
          <a:solidFill>
            <a:schemeClr val="accent1"/>
          </a:solidFill>
          <a:ln w="19050">
            <a:solidFill>
              <a:schemeClr val="lt1"/>
            </a:solidFill>
          </a:ln>
          <a:effectLst/>
        </c:spPr>
        <c:dLbl>
          <c:idx val="0"/>
          <c:layout>
            <c:manualLayout>
              <c:x val="0.12334801762114538"/>
              <c:y val="-0.15947043603902297"/>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Lst>
        </c:dLbl>
      </c:pivotFmt>
      <c:pivotFmt>
        <c:idx val="40"/>
        <c:spPr>
          <a:solidFill>
            <a:schemeClr val="accent1"/>
          </a:solidFill>
          <a:ln w="19050">
            <a:solidFill>
              <a:schemeClr val="lt1"/>
            </a:solidFill>
          </a:ln>
          <a:effectLst/>
        </c:spPr>
      </c:pivotFmt>
      <c:pivotFmt>
        <c:idx val="41"/>
        <c:spPr>
          <a:solidFill>
            <a:schemeClr val="accent1"/>
          </a:solidFill>
          <a:ln w="19050">
            <a:solidFill>
              <a:schemeClr val="lt1"/>
            </a:solidFill>
          </a:ln>
          <a:effectLst/>
        </c:spPr>
        <c:dLbl>
          <c:idx val="0"/>
          <c:layout>
            <c:manualLayout>
              <c:x val="6.1558384497092044E-4"/>
              <c:y val="-2.2887512460657948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Lst>
        </c:dLbl>
      </c:pivotFmt>
      <c:pivotFmt>
        <c:idx val="42"/>
        <c:spPr>
          <a:solidFill>
            <a:schemeClr val="accent1"/>
          </a:solidFill>
          <a:ln w="19050">
            <a:solidFill>
              <a:schemeClr val="lt1"/>
            </a:solidFill>
          </a:ln>
          <a:effectLst/>
        </c:spPr>
        <c:dLbl>
          <c:idx val="0"/>
          <c:layout>
            <c:manualLayout>
              <c:x val="-4.8764939624837647E-2"/>
              <c:y val="-9.0376451876659089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Lst>
        </c:dLbl>
      </c:pivotFmt>
      <c:pivotFmt>
        <c:idx val="43"/>
        <c:spPr>
          <a:solidFill>
            <a:schemeClr val="accent1"/>
          </a:solidFill>
          <a:ln w="19050">
            <a:solidFill>
              <a:schemeClr val="lt1"/>
            </a:solidFill>
          </a:ln>
          <a:effectLst/>
        </c:spPr>
        <c:dLbl>
          <c:idx val="0"/>
          <c:layout>
            <c:manualLayout>
              <c:x val="5.2423601234867667E-2"/>
              <c:y val="-8.832136736819704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Lst>
        </c:dLbl>
      </c:pivotFmt>
      <c:pivotFmt>
        <c:idx val="44"/>
        <c:spPr>
          <a:solidFill>
            <a:schemeClr val="accent1"/>
          </a:solidFill>
          <a:ln w="19050">
            <a:solidFill>
              <a:schemeClr val="lt1"/>
            </a:solidFill>
          </a:ln>
          <a:effectLst/>
        </c:spPr>
      </c:pivotFmt>
      <c:pivotFmt>
        <c:idx val="45"/>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eparator> </c:separator>
          <c:extLst>
            <c:ext xmlns:c15="http://schemas.microsoft.com/office/drawing/2012/chart" uri="{CE6537A1-D6FC-4f65-9D91-7224C49458BB}"/>
          </c:extLst>
        </c:dLbl>
      </c:pivotFmt>
      <c:pivotFmt>
        <c:idx val="46"/>
        <c:spPr>
          <a:solidFill>
            <a:schemeClr val="accent1"/>
          </a:solidFill>
          <a:ln w="19050">
            <a:solidFill>
              <a:schemeClr val="lt1"/>
            </a:solidFill>
          </a:ln>
          <a:effectLst/>
        </c:spPr>
      </c:pivotFmt>
      <c:pivotFmt>
        <c:idx val="47"/>
        <c:spPr>
          <a:solidFill>
            <a:schemeClr val="accent1"/>
          </a:solidFill>
          <a:ln w="19050">
            <a:solidFill>
              <a:schemeClr val="lt1"/>
            </a:solidFill>
          </a:ln>
          <a:effectLst/>
        </c:spPr>
      </c:pivotFmt>
      <c:pivotFmt>
        <c:idx val="48"/>
        <c:spPr>
          <a:solidFill>
            <a:schemeClr val="accent1"/>
          </a:solidFill>
          <a:ln w="19050">
            <a:solidFill>
              <a:schemeClr val="lt1"/>
            </a:solidFill>
          </a:ln>
          <a:effectLst/>
        </c:spPr>
      </c:pivotFmt>
      <c:pivotFmt>
        <c:idx val="49"/>
        <c:spPr>
          <a:solidFill>
            <a:schemeClr val="accent1"/>
          </a:solidFill>
          <a:ln w="19050">
            <a:solidFill>
              <a:schemeClr val="lt1"/>
            </a:solidFill>
          </a:ln>
          <a:effectLst/>
        </c:spPr>
      </c:pivotFmt>
      <c:pivotFmt>
        <c:idx val="50"/>
        <c:spPr>
          <a:solidFill>
            <a:schemeClr val="accent1"/>
          </a:solidFill>
          <a:ln w="19050">
            <a:solidFill>
              <a:schemeClr val="lt1"/>
            </a:solidFill>
          </a:ln>
          <a:effectLst/>
        </c:spPr>
      </c:pivotFmt>
      <c:pivotFmt>
        <c:idx val="51"/>
        <c:spPr>
          <a:solidFill>
            <a:schemeClr val="accent1"/>
          </a:solidFill>
          <a:ln w="19050">
            <a:solidFill>
              <a:schemeClr val="lt1"/>
            </a:solidFill>
          </a:ln>
          <a:effectLst/>
        </c:spPr>
      </c:pivotFmt>
      <c:pivotFmt>
        <c:idx val="52"/>
        <c:spPr>
          <a:solidFill>
            <a:schemeClr val="accent1"/>
          </a:solidFill>
          <a:ln w="19050">
            <a:solidFill>
              <a:schemeClr val="lt1"/>
            </a:solidFill>
          </a:ln>
          <a:effectLst/>
        </c:spPr>
      </c:pivotFmt>
      <c:pivotFmt>
        <c:idx val="53"/>
        <c:spPr>
          <a:solidFill>
            <a:schemeClr val="accent1"/>
          </a:solidFill>
          <a:ln w="19050">
            <a:solidFill>
              <a:schemeClr val="lt1"/>
            </a:solidFill>
          </a:ln>
          <a:effectLst/>
        </c:spPr>
      </c:pivotFmt>
    </c:pivotFmts>
    <c:plotArea>
      <c:layout/>
      <c:pieChart>
        <c:varyColors val="1"/>
        <c:ser>
          <c:idx val="0"/>
          <c:order val="0"/>
          <c:tx>
            <c:strRef>
              <c:f>Diss_Analysis!$I$4</c:f>
              <c:strCache>
                <c:ptCount val="1"/>
                <c:pt idx="0">
                  <c:v>Dissemination Activities (%)</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07D-4171-8BA7-C3B06E21F8C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07D-4171-8BA7-C3B06E21F8C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B07D-4171-8BA7-C3B06E21F8C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B07D-4171-8BA7-C3B06E21F8C5}"/>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B07D-4171-8BA7-C3B06E21F8C5}"/>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B07D-4171-8BA7-C3B06E21F8C5}"/>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B07D-4171-8BA7-C3B06E21F8C5}"/>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B07D-4171-8BA7-C3B06E21F8C5}"/>
              </c:ext>
            </c:extLst>
          </c:dPt>
          <c:dLbls>
            <c:dLbl>
              <c:idx val="2"/>
              <c:layout>
                <c:manualLayout>
                  <c:x val="0.12334801762114538"/>
                  <c:y val="-0.15947043603902297"/>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B07D-4171-8BA7-C3B06E21F8C5}"/>
                </c:ext>
              </c:extLst>
            </c:dLbl>
            <c:dLbl>
              <c:idx val="3"/>
              <c:layout>
                <c:manualLayout>
                  <c:x val="8.5835320884025332E-2"/>
                  <c:y val="4.9211823931844527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B07D-4171-8BA7-C3B06E21F8C5}"/>
                </c:ext>
              </c:extLst>
            </c:dLbl>
            <c:dLbl>
              <c:idx val="4"/>
              <c:layout>
                <c:manualLayout>
                  <c:x val="6.1558384497092044E-4"/>
                  <c:y val="-2.2887512460657948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B07D-4171-8BA7-C3B06E21F8C5}"/>
                </c:ext>
              </c:extLst>
            </c:dLbl>
            <c:dLbl>
              <c:idx val="5"/>
              <c:layout>
                <c:manualLayout>
                  <c:x val="-4.8764939624837647E-2"/>
                  <c:y val="-9.0376451876659089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B07D-4171-8BA7-C3B06E21F8C5}"/>
                </c:ext>
              </c:extLst>
            </c:dLbl>
            <c:dLbl>
              <c:idx val="6"/>
              <c:layout>
                <c:manualLayout>
                  <c:x val="5.2423601234867667E-2"/>
                  <c:y val="-8.832136736819704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B07D-4171-8BA7-C3B06E21F8C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Diss_Analysis!$H$5:$H$13</c:f>
              <c:strCache>
                <c:ptCount val="8"/>
                <c:pt idx="0">
                  <c:v>Conferences</c:v>
                </c:pt>
                <c:pt idx="1">
                  <c:v>Scientific Publication</c:v>
                </c:pt>
                <c:pt idx="2">
                  <c:v>Meetings (with policy stakeholders/working groups, etc)</c:v>
                </c:pt>
                <c:pt idx="3">
                  <c:v>Education &amp; Training</c:v>
                </c:pt>
                <c:pt idx="4">
                  <c:v>Collaboration with EU projects</c:v>
                </c:pt>
                <c:pt idx="5">
                  <c:v>Clustering</c:v>
                </c:pt>
                <c:pt idx="6">
                  <c:v>Other Scientific Collaboration</c:v>
                </c:pt>
                <c:pt idx="7">
                  <c:v>Other</c:v>
                </c:pt>
              </c:strCache>
            </c:strRef>
          </c:cat>
          <c:val>
            <c:numRef>
              <c:f>Diss_Analysis!$I$5:$I$13</c:f>
              <c:numCache>
                <c:formatCode>0.00%</c:formatCode>
                <c:ptCount val="8"/>
                <c:pt idx="0">
                  <c:v>0.29387755102040819</c:v>
                </c:pt>
                <c:pt idx="1">
                  <c:v>0.26938775510204083</c:v>
                </c:pt>
                <c:pt idx="2">
                  <c:v>0.17142857142857143</c:v>
                </c:pt>
                <c:pt idx="3">
                  <c:v>7.7551020408163265E-2</c:v>
                </c:pt>
                <c:pt idx="4">
                  <c:v>4.8979591836734691E-2</c:v>
                </c:pt>
                <c:pt idx="5">
                  <c:v>2.8571428571428571E-2</c:v>
                </c:pt>
                <c:pt idx="6">
                  <c:v>1.6326530612244899E-2</c:v>
                </c:pt>
                <c:pt idx="7">
                  <c:v>9.3877551020408165E-2</c:v>
                </c:pt>
              </c:numCache>
            </c:numRef>
          </c:val>
          <c:extLst>
            <c:ext xmlns:c16="http://schemas.microsoft.com/office/drawing/2014/chart" uri="{C3380CC4-5D6E-409C-BE32-E72D297353CC}">
              <c16:uniqueId val="{00000010-B07D-4171-8BA7-C3B06E21F8C5}"/>
            </c:ext>
          </c:extLst>
        </c:ser>
        <c:ser>
          <c:idx val="1"/>
          <c:order val="1"/>
          <c:tx>
            <c:strRef>
              <c:f>Diss_Analysis!$J$4</c:f>
              <c:strCache>
                <c:ptCount val="1"/>
                <c:pt idx="0">
                  <c:v>Dissemination Activities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12-B07D-4171-8BA7-C3B06E21F8C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14-B07D-4171-8BA7-C3B06E21F8C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16-B07D-4171-8BA7-C3B06E21F8C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18-B07D-4171-8BA7-C3B06E21F8C5}"/>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1A-B07D-4171-8BA7-C3B06E21F8C5}"/>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1C-B07D-4171-8BA7-C3B06E21F8C5}"/>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1E-B07D-4171-8BA7-C3B06E21F8C5}"/>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20-B07D-4171-8BA7-C3B06E21F8C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Diss_Analysis!$H$5:$H$13</c:f>
              <c:strCache>
                <c:ptCount val="8"/>
                <c:pt idx="0">
                  <c:v>Conferences</c:v>
                </c:pt>
                <c:pt idx="1">
                  <c:v>Scientific Publication</c:v>
                </c:pt>
                <c:pt idx="2">
                  <c:v>Meetings (with policy stakeholders/working groups, etc)</c:v>
                </c:pt>
                <c:pt idx="3">
                  <c:v>Education &amp; Training</c:v>
                </c:pt>
                <c:pt idx="4">
                  <c:v>Collaboration with EU projects</c:v>
                </c:pt>
                <c:pt idx="5">
                  <c:v>Clustering</c:v>
                </c:pt>
                <c:pt idx="6">
                  <c:v>Other Scientific Collaboration</c:v>
                </c:pt>
                <c:pt idx="7">
                  <c:v>Other</c:v>
                </c:pt>
              </c:strCache>
            </c:strRef>
          </c:cat>
          <c:val>
            <c:numRef>
              <c:f>Diss_Analysis!$J$5:$J$13</c:f>
              <c:numCache>
                <c:formatCode>General</c:formatCode>
                <c:ptCount val="8"/>
                <c:pt idx="0">
                  <c:v>72</c:v>
                </c:pt>
                <c:pt idx="1">
                  <c:v>66</c:v>
                </c:pt>
                <c:pt idx="2">
                  <c:v>42</c:v>
                </c:pt>
                <c:pt idx="3">
                  <c:v>19</c:v>
                </c:pt>
                <c:pt idx="4">
                  <c:v>12</c:v>
                </c:pt>
                <c:pt idx="5">
                  <c:v>7</c:v>
                </c:pt>
                <c:pt idx="6">
                  <c:v>4</c:v>
                </c:pt>
                <c:pt idx="7">
                  <c:v>23</c:v>
                </c:pt>
              </c:numCache>
            </c:numRef>
          </c:val>
          <c:extLst>
            <c:ext xmlns:c16="http://schemas.microsoft.com/office/drawing/2014/chart" uri="{C3380CC4-5D6E-409C-BE32-E72D297353CC}">
              <c16:uniqueId val="{00000021-B07D-4171-8BA7-C3B06E21F8C5}"/>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pivotOptions>
    </c:ext>
    <c:ext xmlns:c16="http://schemas.microsoft.com/office/drawing/2014/chart" uri="{E28EC0CA-F0BB-4C9C-879D-F8772B89E7AC}">
      <c16:pivotOptions16>
        <c16:showExpandCollapseFieldButtons val="1"/>
      </c16:pivotOptions16>
    </c:ext>
  </c:extLst>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[D&amp;E - EU SURVEY 2021_rev (ID 11302066).xlsx]Diss_Analysis!PivotTable4</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i="0" baseline="0">
                <a:effectLst/>
              </a:rPr>
              <a:t>Dissemination Activities per Target audience</a:t>
            </a:r>
            <a:endParaRPr lang="en-GB" sz="14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Diss_Analysis!$M$4</c:f>
              <c:strCache>
                <c:ptCount val="1"/>
                <c:pt idx="0">
                  <c:v>Total</c:v>
                </c:pt>
              </c:strCache>
            </c:strRef>
          </c:tx>
          <c:spPr>
            <a:solidFill>
              <a:schemeClr val="accent1"/>
            </a:solidFill>
            <a:ln>
              <a:noFill/>
            </a:ln>
            <a:effectLst/>
          </c:spPr>
          <c:invertIfNegative val="0"/>
          <c:cat>
            <c:strRef>
              <c:f>Diss_Analysis!$L$5:$L$19</c:f>
              <c:strCache>
                <c:ptCount val="14"/>
                <c:pt idx="0">
                  <c:v>Scientific/Research communities</c:v>
                </c:pt>
                <c:pt idx="1">
                  <c:v>Industry, Business Partners</c:v>
                </c:pt>
                <c:pt idx="2">
                  <c:v>Policy-makers and authorities, international</c:v>
                </c:pt>
                <c:pt idx="3">
                  <c:v>Public</c:v>
                </c:pt>
                <c:pt idx="4">
                  <c:v>Specific end-user communities</c:v>
                </c:pt>
                <c:pt idx="5">
                  <c:v>Civil society, international</c:v>
                </c:pt>
                <c:pt idx="6">
                  <c:v>EU Institutions</c:v>
                </c:pt>
                <c:pt idx="7">
                  <c:v>Policy-makers and authorities, national</c:v>
                </c:pt>
                <c:pt idx="8">
                  <c:v>Other</c:v>
                </c:pt>
                <c:pt idx="9">
                  <c:v>Policy-makers and authorities, regional or local</c:v>
                </c:pt>
                <c:pt idx="10">
                  <c:v>Civil society, national, regional or local</c:v>
                </c:pt>
                <c:pt idx="11">
                  <c:v>Standardisation Bodies</c:v>
                </c:pt>
                <c:pt idx="12">
                  <c:v>Innovators</c:v>
                </c:pt>
                <c:pt idx="13">
                  <c:v>Investors</c:v>
                </c:pt>
              </c:strCache>
            </c:strRef>
          </c:cat>
          <c:val>
            <c:numRef>
              <c:f>Diss_Analysis!$M$5:$M$19</c:f>
              <c:numCache>
                <c:formatCode>General</c:formatCode>
                <c:ptCount val="14"/>
                <c:pt idx="0">
                  <c:v>123</c:v>
                </c:pt>
                <c:pt idx="1">
                  <c:v>36</c:v>
                </c:pt>
                <c:pt idx="2">
                  <c:v>28</c:v>
                </c:pt>
                <c:pt idx="3">
                  <c:v>9</c:v>
                </c:pt>
                <c:pt idx="4">
                  <c:v>8</c:v>
                </c:pt>
                <c:pt idx="5">
                  <c:v>6</c:v>
                </c:pt>
                <c:pt idx="6">
                  <c:v>6</c:v>
                </c:pt>
                <c:pt idx="7">
                  <c:v>6</c:v>
                </c:pt>
                <c:pt idx="8">
                  <c:v>6</c:v>
                </c:pt>
                <c:pt idx="9">
                  <c:v>5</c:v>
                </c:pt>
                <c:pt idx="10">
                  <c:v>5</c:v>
                </c:pt>
                <c:pt idx="11">
                  <c:v>4</c:v>
                </c:pt>
                <c:pt idx="12">
                  <c:v>2</c:v>
                </c:pt>
                <c:pt idx="13">
                  <c:v>1</c:v>
                </c:pt>
              </c:numCache>
            </c:numRef>
          </c:val>
          <c:extLst>
            <c:ext xmlns:c16="http://schemas.microsoft.com/office/drawing/2014/chart" uri="{C3380CC4-5D6E-409C-BE32-E72D297353CC}">
              <c16:uniqueId val="{00000000-7717-44D3-9A96-A742D9D44F8C}"/>
            </c:ext>
          </c:extLst>
        </c:ser>
        <c:dLbls>
          <c:showLegendKey val="0"/>
          <c:showVal val="0"/>
          <c:showCatName val="0"/>
          <c:showSerName val="0"/>
          <c:showPercent val="0"/>
          <c:showBubbleSize val="0"/>
        </c:dLbls>
        <c:gapWidth val="219"/>
        <c:overlap val="-27"/>
        <c:axId val="2034968400"/>
        <c:axId val="2034973808"/>
      </c:barChart>
      <c:catAx>
        <c:axId val="2034968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4973808"/>
        <c:crosses val="autoZero"/>
        <c:auto val="1"/>
        <c:lblAlgn val="ctr"/>
        <c:lblOffset val="100"/>
        <c:noMultiLvlLbl val="0"/>
      </c:catAx>
      <c:valAx>
        <c:axId val="2034973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49684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pivotOptions>
    </c:ext>
    <c:ext xmlns:c16="http://schemas.microsoft.com/office/drawing/2014/chart" uri="{E28EC0CA-F0BB-4C9C-879D-F8772B89E7AC}">
      <c16:pivotOptions16>
        <c16:showExpandCollapseFieldButtons val="1"/>
      </c16:pivotOptions16>
    </c:ext>
  </c:extLst>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[D&amp;E - EU SURVEY 2021_rev (ID 11302066).xlsx]Expl_Analysis!PivotTable10</c:name>
    <c:fmtId val="-1"/>
  </c:pivotSource>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b="1"/>
              <a:t>Project Result Type</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w="19050">
            <a:solidFill>
              <a:schemeClr val="lt1"/>
            </a:solidFill>
          </a:ln>
          <a:effectLst/>
        </c:spPr>
        <c:marker>
          <c:symbol val="none"/>
        </c:marker>
        <c:dLbl>
          <c:idx val="0"/>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1"/>
        <c:spPr>
          <a:solidFill>
            <a:schemeClr val="accent1"/>
          </a:solidFill>
          <a:ln w="19050">
            <a:solidFill>
              <a:schemeClr val="lt1"/>
            </a:solidFill>
          </a:ln>
          <a:effectLst/>
        </c:spPr>
      </c:pivotFmt>
      <c:pivotFmt>
        <c:idx val="2"/>
        <c:spPr>
          <a:solidFill>
            <a:schemeClr val="accent1"/>
          </a:solidFill>
          <a:ln w="19050">
            <a:solidFill>
              <a:schemeClr val="lt1"/>
            </a:solidFill>
          </a:ln>
          <a:effectLst/>
        </c:spPr>
      </c:pivotFmt>
      <c:pivotFmt>
        <c:idx val="3"/>
        <c:spPr>
          <a:solidFill>
            <a:schemeClr val="accent1"/>
          </a:solidFill>
          <a:ln w="19050">
            <a:solidFill>
              <a:schemeClr val="lt1"/>
            </a:solidFill>
          </a:ln>
          <a:effectLst/>
        </c:spPr>
      </c:pivotFmt>
      <c:pivotFmt>
        <c:idx val="4"/>
        <c:spPr>
          <a:solidFill>
            <a:schemeClr val="accent1"/>
          </a:solidFill>
          <a:ln w="19050">
            <a:solidFill>
              <a:schemeClr val="lt1"/>
            </a:solidFill>
          </a:ln>
          <a:effectLst/>
        </c:spPr>
      </c:pivotFmt>
      <c:pivotFmt>
        <c:idx val="5"/>
        <c:spPr>
          <a:solidFill>
            <a:schemeClr val="accent1"/>
          </a:solidFill>
          <a:ln w="19050">
            <a:solidFill>
              <a:schemeClr val="lt1"/>
            </a:solidFill>
          </a:ln>
          <a:effectLst/>
        </c:spPr>
      </c:pivotFmt>
      <c:pivotFmt>
        <c:idx val="6"/>
        <c:spPr>
          <a:solidFill>
            <a:schemeClr val="accent1"/>
          </a:solidFill>
          <a:ln w="19050">
            <a:solidFill>
              <a:schemeClr val="lt1"/>
            </a:solidFill>
          </a:ln>
          <a:effectLst/>
        </c:spPr>
      </c:pivotFmt>
      <c:pivotFmt>
        <c:idx val="7"/>
        <c:spPr>
          <a:solidFill>
            <a:schemeClr val="accent1"/>
          </a:solidFill>
          <a:ln w="19050">
            <a:solidFill>
              <a:schemeClr val="lt1"/>
            </a:solidFill>
          </a:ln>
          <a:effectLst/>
        </c:spPr>
      </c:pivotFmt>
      <c:pivotFmt>
        <c:idx val="8"/>
        <c:spPr>
          <a:solidFill>
            <a:schemeClr val="accent1"/>
          </a:solidFill>
          <a:ln w="19050">
            <a:solidFill>
              <a:schemeClr val="lt1"/>
            </a:solidFill>
          </a:ln>
          <a:effectLst/>
        </c:spPr>
      </c:pivotFmt>
      <c:pivotFmt>
        <c:idx val="9"/>
        <c:spPr>
          <a:solidFill>
            <a:schemeClr val="accent1"/>
          </a:solidFill>
          <a:ln w="19050">
            <a:solidFill>
              <a:schemeClr val="lt1"/>
            </a:solidFill>
          </a:ln>
          <a:effectLst/>
        </c:spPr>
      </c:pivotFmt>
      <c:pivotFmt>
        <c:idx val="10"/>
        <c:spPr>
          <a:solidFill>
            <a:schemeClr val="accent1"/>
          </a:solidFill>
          <a:ln w="19050">
            <a:solidFill>
              <a:schemeClr val="lt1"/>
            </a:solidFill>
          </a:ln>
          <a:effectLst/>
        </c:spPr>
      </c:pivotFmt>
      <c:pivotFmt>
        <c:idx val="11"/>
        <c:spPr>
          <a:solidFill>
            <a:schemeClr val="accent1"/>
          </a:solidFill>
          <a:ln w="19050">
            <a:solidFill>
              <a:schemeClr val="lt1"/>
            </a:solidFill>
          </a:ln>
          <a:effectLst/>
        </c:spPr>
      </c:pivotFmt>
      <c:pivotFmt>
        <c:idx val="12"/>
        <c:spPr>
          <a:solidFill>
            <a:schemeClr val="accent1"/>
          </a:solidFill>
          <a:ln w="19050">
            <a:solidFill>
              <a:schemeClr val="lt1"/>
            </a:solidFill>
          </a:ln>
          <a:effectLst/>
        </c:spPr>
      </c:pivotFmt>
      <c:pivotFmt>
        <c:idx val="13"/>
        <c:spPr>
          <a:solidFill>
            <a:schemeClr val="accent1"/>
          </a:solidFill>
          <a:ln w="19050">
            <a:solidFill>
              <a:schemeClr val="lt1"/>
            </a:solidFill>
          </a:ln>
          <a:effectLst/>
        </c:spPr>
        <c:marker>
          <c:symbol val="none"/>
        </c:marker>
        <c:dLbl>
          <c:idx val="0"/>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14"/>
        <c:spPr>
          <a:solidFill>
            <a:schemeClr val="accent1"/>
          </a:solidFill>
          <a:ln w="19050">
            <a:solidFill>
              <a:schemeClr val="lt1"/>
            </a:solidFill>
          </a:ln>
          <a:effectLst/>
        </c:spPr>
      </c:pivotFmt>
      <c:pivotFmt>
        <c:idx val="15"/>
        <c:spPr>
          <a:solidFill>
            <a:schemeClr val="accent1"/>
          </a:solidFill>
          <a:ln w="19050">
            <a:solidFill>
              <a:schemeClr val="lt1"/>
            </a:solidFill>
          </a:ln>
          <a:effectLst/>
        </c:spPr>
      </c:pivotFmt>
      <c:pivotFmt>
        <c:idx val="16"/>
        <c:spPr>
          <a:solidFill>
            <a:schemeClr val="accent1"/>
          </a:solidFill>
          <a:ln w="19050">
            <a:solidFill>
              <a:schemeClr val="lt1"/>
            </a:solidFill>
          </a:ln>
          <a:effectLst/>
        </c:spPr>
      </c:pivotFmt>
      <c:pivotFmt>
        <c:idx val="17"/>
        <c:spPr>
          <a:solidFill>
            <a:schemeClr val="accent1"/>
          </a:solidFill>
          <a:ln w="19050">
            <a:solidFill>
              <a:schemeClr val="lt1"/>
            </a:solidFill>
          </a:ln>
          <a:effectLst/>
        </c:spPr>
      </c:pivotFmt>
      <c:pivotFmt>
        <c:idx val="18"/>
        <c:spPr>
          <a:solidFill>
            <a:schemeClr val="accent1"/>
          </a:solidFill>
          <a:ln w="19050">
            <a:solidFill>
              <a:schemeClr val="lt1"/>
            </a:solidFill>
          </a:ln>
          <a:effectLst/>
        </c:spPr>
      </c:pivotFmt>
      <c:pivotFmt>
        <c:idx val="19"/>
        <c:spPr>
          <a:solidFill>
            <a:schemeClr val="accent1"/>
          </a:solidFill>
          <a:ln w="19050">
            <a:solidFill>
              <a:schemeClr val="lt1"/>
            </a:solidFill>
          </a:ln>
          <a:effectLst/>
        </c:spPr>
      </c:pivotFmt>
      <c:pivotFmt>
        <c:idx val="20"/>
        <c:spPr>
          <a:solidFill>
            <a:schemeClr val="accent1"/>
          </a:solidFill>
          <a:ln w="19050">
            <a:solidFill>
              <a:schemeClr val="lt1"/>
            </a:solidFill>
          </a:ln>
          <a:effectLst/>
        </c:spPr>
      </c:pivotFmt>
      <c:pivotFmt>
        <c:idx val="21"/>
        <c:spPr>
          <a:solidFill>
            <a:schemeClr val="accent1"/>
          </a:solidFill>
          <a:ln w="19050">
            <a:solidFill>
              <a:schemeClr val="lt1"/>
            </a:solidFill>
          </a:ln>
          <a:effectLst/>
        </c:spPr>
      </c:pivotFmt>
      <c:pivotFmt>
        <c:idx val="22"/>
        <c:spPr>
          <a:solidFill>
            <a:schemeClr val="accent1"/>
          </a:solidFill>
          <a:ln w="19050">
            <a:solidFill>
              <a:schemeClr val="lt1"/>
            </a:solidFill>
          </a:ln>
          <a:effectLst/>
        </c:spPr>
      </c:pivotFmt>
      <c:pivotFmt>
        <c:idx val="23"/>
        <c:spPr>
          <a:solidFill>
            <a:schemeClr val="accent1"/>
          </a:solidFill>
          <a:ln w="19050">
            <a:solidFill>
              <a:schemeClr val="lt1"/>
            </a:solidFill>
          </a:ln>
          <a:effectLst/>
        </c:spPr>
      </c:pivotFmt>
      <c:pivotFmt>
        <c:idx val="24"/>
        <c:spPr>
          <a:solidFill>
            <a:schemeClr val="accent1"/>
          </a:solidFill>
          <a:ln w="19050">
            <a:solidFill>
              <a:schemeClr val="lt1"/>
            </a:solidFill>
          </a:ln>
          <a:effectLst/>
        </c:spPr>
        <c:marker>
          <c:symbol val="none"/>
        </c:marker>
        <c:dLbl>
          <c:idx val="0"/>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25"/>
        <c:spPr>
          <a:solidFill>
            <a:schemeClr val="accent1"/>
          </a:solidFill>
          <a:ln w="19050">
            <a:solidFill>
              <a:schemeClr val="lt1"/>
            </a:solidFill>
          </a:ln>
          <a:effectLst/>
        </c:spPr>
      </c:pivotFmt>
      <c:pivotFmt>
        <c:idx val="26"/>
        <c:spPr>
          <a:solidFill>
            <a:schemeClr val="accent1"/>
          </a:solidFill>
          <a:ln w="19050">
            <a:solidFill>
              <a:schemeClr val="lt1"/>
            </a:solidFill>
          </a:ln>
          <a:effectLst/>
        </c:spPr>
      </c:pivotFmt>
      <c:pivotFmt>
        <c:idx val="27"/>
        <c:spPr>
          <a:solidFill>
            <a:schemeClr val="accent1"/>
          </a:solidFill>
          <a:ln w="19050">
            <a:solidFill>
              <a:schemeClr val="lt1"/>
            </a:solidFill>
          </a:ln>
          <a:effectLst/>
        </c:spPr>
      </c:pivotFmt>
      <c:pivotFmt>
        <c:idx val="28"/>
        <c:spPr>
          <a:solidFill>
            <a:schemeClr val="accent1"/>
          </a:solidFill>
          <a:ln w="19050">
            <a:solidFill>
              <a:schemeClr val="lt1"/>
            </a:solidFill>
          </a:ln>
          <a:effectLst/>
        </c:spPr>
      </c:pivotFmt>
      <c:pivotFmt>
        <c:idx val="29"/>
        <c:spPr>
          <a:solidFill>
            <a:schemeClr val="accent1"/>
          </a:solidFill>
          <a:ln w="19050">
            <a:solidFill>
              <a:schemeClr val="lt1"/>
            </a:solidFill>
          </a:ln>
          <a:effectLst/>
        </c:spPr>
      </c:pivotFmt>
      <c:pivotFmt>
        <c:idx val="30"/>
        <c:spPr>
          <a:solidFill>
            <a:schemeClr val="accent1"/>
          </a:solidFill>
          <a:ln w="19050">
            <a:solidFill>
              <a:schemeClr val="lt1"/>
            </a:solidFill>
          </a:ln>
          <a:effectLst/>
        </c:spPr>
      </c:pivotFmt>
      <c:pivotFmt>
        <c:idx val="31"/>
        <c:spPr>
          <a:solidFill>
            <a:schemeClr val="accent1"/>
          </a:solidFill>
          <a:ln w="19050">
            <a:solidFill>
              <a:schemeClr val="lt1"/>
            </a:solidFill>
          </a:ln>
          <a:effectLst/>
        </c:spPr>
      </c:pivotFmt>
      <c:pivotFmt>
        <c:idx val="32"/>
        <c:spPr>
          <a:solidFill>
            <a:schemeClr val="accent1"/>
          </a:solidFill>
          <a:ln w="19050">
            <a:solidFill>
              <a:schemeClr val="lt1"/>
            </a:solidFill>
          </a:ln>
          <a:effectLst/>
        </c:spPr>
      </c:pivotFmt>
      <c:pivotFmt>
        <c:idx val="33"/>
        <c:spPr>
          <a:solidFill>
            <a:schemeClr val="accent1"/>
          </a:solidFill>
          <a:ln w="19050">
            <a:solidFill>
              <a:schemeClr val="lt1"/>
            </a:solidFill>
          </a:ln>
          <a:effectLst/>
        </c:spPr>
      </c:pivotFmt>
      <c:pivotFmt>
        <c:idx val="34"/>
        <c:spPr>
          <a:solidFill>
            <a:schemeClr val="accent1"/>
          </a:solidFill>
          <a:ln w="19050">
            <a:solidFill>
              <a:schemeClr val="lt1"/>
            </a:solidFill>
          </a:ln>
          <a:effectLst/>
        </c:spPr>
      </c:pivotFmt>
    </c:pivotFmts>
    <c:plotArea>
      <c:layout/>
      <c:pieChart>
        <c:varyColors val="1"/>
        <c:ser>
          <c:idx val="0"/>
          <c:order val="0"/>
          <c:tx>
            <c:strRef>
              <c:f>Expl_Analysis!$F$4</c:f>
              <c:strCache>
                <c:ptCount val="1"/>
                <c:pt idx="0">
                  <c:v>Total</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F38-4B26-BA9D-4EB26EADD51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F38-4B26-BA9D-4EB26EADD51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F38-4B26-BA9D-4EB26EADD51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5F38-4B26-BA9D-4EB26EADD51F}"/>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5F38-4B26-BA9D-4EB26EADD51F}"/>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5F38-4B26-BA9D-4EB26EADD51F}"/>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5F38-4B26-BA9D-4EB26EADD51F}"/>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5F38-4B26-BA9D-4EB26EADD51F}"/>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5F38-4B26-BA9D-4EB26EADD51F}"/>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5F38-4B26-BA9D-4EB26EADD51F}"/>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5F38-4B26-BA9D-4EB26EADD51F}"/>
              </c:ext>
            </c:extLst>
          </c:dPt>
          <c:dPt>
            <c:idx val="11"/>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17-5F38-4B26-BA9D-4EB26EADD51F}"/>
              </c:ext>
            </c:extLst>
          </c:dPt>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Expl_Analysis!$E$5:$E$15</c:f>
              <c:strCache>
                <c:ptCount val="10"/>
                <c:pt idx="0">
                  <c:v>Product (new or improved)</c:v>
                </c:pt>
                <c:pt idx="1">
                  <c:v>Method, material or instrument (new or improved)</c:v>
                </c:pt>
                <c:pt idx="2">
                  <c:v>Other</c:v>
                </c:pt>
                <c:pt idx="3">
                  <c:v>Infrastructure - Facilities (new or improved)</c:v>
                </c:pt>
                <c:pt idx="4">
                  <c:v>Service (new or improved)</c:v>
                </c:pt>
                <c:pt idx="5">
                  <c:v>Design (new or improved)</c:v>
                </c:pt>
                <c:pt idx="6">
                  <c:v>Business Model (new or improved)</c:v>
                </c:pt>
                <c:pt idx="7">
                  <c:v>Staff (Qualified personnel exchanges, learning etc)</c:v>
                </c:pt>
                <c:pt idx="8">
                  <c:v>Industrial Process (new or improved)</c:v>
                </c:pt>
                <c:pt idx="9">
                  <c:v>Policy recommendation, guidance, awareness raising</c:v>
                </c:pt>
              </c:strCache>
            </c:strRef>
          </c:cat>
          <c:val>
            <c:numRef>
              <c:f>Expl_Analysis!$F$5:$F$15</c:f>
              <c:numCache>
                <c:formatCode>General</c:formatCode>
                <c:ptCount val="10"/>
                <c:pt idx="0">
                  <c:v>32</c:v>
                </c:pt>
                <c:pt idx="1">
                  <c:v>25</c:v>
                </c:pt>
                <c:pt idx="2">
                  <c:v>15</c:v>
                </c:pt>
                <c:pt idx="3">
                  <c:v>13</c:v>
                </c:pt>
                <c:pt idx="4">
                  <c:v>7</c:v>
                </c:pt>
                <c:pt idx="5">
                  <c:v>4</c:v>
                </c:pt>
                <c:pt idx="6">
                  <c:v>3</c:v>
                </c:pt>
                <c:pt idx="7">
                  <c:v>3</c:v>
                </c:pt>
                <c:pt idx="8">
                  <c:v>2</c:v>
                </c:pt>
                <c:pt idx="9">
                  <c:v>1</c:v>
                </c:pt>
              </c:numCache>
            </c:numRef>
          </c:val>
          <c:extLst>
            <c:ext xmlns:c16="http://schemas.microsoft.com/office/drawing/2014/chart" uri="{C3380CC4-5D6E-409C-BE32-E72D297353CC}">
              <c16:uniqueId val="{00000018-5F38-4B26-BA9D-4EB26EADD51F}"/>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59235243008417038"/>
          <c:y val="0.2213055426895168"/>
          <c:w val="0.39054140646212337"/>
          <c:h val="0.6035310586176727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63">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000" b="0" i="0" u="none" strike="noStrike" kern="1200" baseline="0">
      <a:effectLst/>
    </cs:defRPr>
    <cs:bodyPr rot="0" spcFirstLastPara="1" vertOverflow="clip" horzOverflow="clip" vert="horz" wrap="square" lIns="38100" tIns="19050" rIns="38100" bIns="19050" anchor="ctr" anchorCtr="1">
      <a:spAutoFit/>
    </cs:bodyPr>
  </cs:dataLabel>
  <cs:dataLabelCallout>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000" b="0" i="0" u="none" strike="noStrike" kern="1200" baseline="0">
      <a:effectLst/>
    </cs:defRPr>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alpha val="70000"/>
        </a:schemeClr>
      </a:solidFill>
    </cs:spPr>
  </cs:dataPoint>
  <cs:dataPoint3D>
    <cs:lnRef idx="0">
      <cs:styleClr val="auto"/>
    </cs:lnRef>
    <cs:fillRef idx="0">
      <cs:styleClr val="auto"/>
    </cs:fillRef>
    <cs:effectRef idx="0">
      <cs:styleClr val="auto"/>
    </cs:effectRef>
    <cs:fontRef idx="minor">
      <a:schemeClr val="tx1"/>
    </cs:fontRef>
    <cs:spPr>
      <a:solidFill>
        <a:schemeClr val="phClr">
          <a:alpha val="90000"/>
        </a:schemeClr>
      </a:solidFill>
      <a:ln w="19050">
        <a:solidFill>
          <a:schemeClr val="phClr">
            <a:lumMod val="75000"/>
          </a:schemeClr>
        </a:solidFill>
      </a:ln>
      <a:effectLst>
        <a:innerShdw blurRad="114300">
          <a:schemeClr val="phClr">
            <a:lumMod val="75000"/>
          </a:schemeClr>
        </a:innerShdw>
      </a:effectLst>
      <a:scene3d>
        <a:camera prst="orthographicFront"/>
        <a:lightRig rig="threePt" dir="t"/>
      </a:scene3d>
      <a:sp3d contourW="19050" prstMaterial="flat">
        <a:contourClr>
          <a:schemeClr val="accent4">
            <a:lumMod val="75000"/>
          </a:schemeClr>
        </a:contourClr>
      </a:sp3d>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kumentas" ma:contentTypeID="0x010100CF39593B1231A54BAD5EACC64C984BAA" ma:contentTypeVersion="15" ma:contentTypeDescription="Kurkite naują dokumentą." ma:contentTypeScope="" ma:versionID="4ff56f46896c2dfb6600023fbd22a017">
  <xsd:schema xmlns:xsd="http://www.w3.org/2001/XMLSchema" xmlns:xs="http://www.w3.org/2001/XMLSchema" xmlns:p="http://schemas.microsoft.com/office/2006/metadata/properties" xmlns:ns2="2723e292-63f1-44a0-aa91-5e77371ad662" xmlns:ns3="c10e7b07-6583-4764-a4d4-08c58f97fe7f" targetNamespace="http://schemas.microsoft.com/office/2006/metadata/properties" ma:root="true" ma:fieldsID="35a02b7e1872b5fc88549f4e71ad9592" ns2:_="" ns3:_="">
    <xsd:import namespace="2723e292-63f1-44a0-aa91-5e77371ad662"/>
    <xsd:import namespace="c10e7b07-6583-4764-a4d4-08c58f97fe7f"/>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LengthInSecond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723e292-63f1-44a0-aa91-5e77371ad66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lcf76f155ced4ddcb4097134ff3c332f" ma:index="20" nillable="true" ma:taxonomy="true" ma:internalName="lcf76f155ced4ddcb4097134ff3c332f" ma:taxonomyFieldName="MediaServiceImageTags" ma:displayName="Vaizdų žymės" ma:readOnly="false" ma:fieldId="{5cf76f15-5ced-4ddc-b409-7134ff3c332f}" ma:taxonomyMulti="true" ma:sspId="08049582-af26-4f7a-a98f-3d23221832af"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c10e7b07-6583-4764-a4d4-08c58f97fe7f" elementFormDefault="qualified">
    <xsd:import namespace="http://schemas.microsoft.com/office/2006/documentManagement/types"/>
    <xsd:import namespace="http://schemas.microsoft.com/office/infopath/2007/PartnerControls"/>
    <xsd:element name="SharedWithUsers" ma:index="10"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Bendrinta su išsamia informacija" ma:internalName="SharedWithDetails" ma:readOnly="true">
      <xsd:simpleType>
        <xsd:restriction base="dms:Note">
          <xsd:maxLength value="255"/>
        </xsd:restriction>
      </xsd:simpleType>
    </xsd:element>
    <xsd:element name="TaxCatchAll" ma:index="21" nillable="true" ma:displayName="Taxonomy Catch All Column" ma:hidden="true" ma:list="{f9f966dd-86af-4243-92de-53fb831f7cf3}" ma:internalName="TaxCatchAll" ma:showField="CatchAllData" ma:web="c10e7b07-6583-4764-a4d4-08c58f97fe7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c10e7b07-6583-4764-a4d4-08c58f97fe7f" xsi:nil="true"/>
    <lcf76f155ced4ddcb4097134ff3c332f xmlns="2723e292-63f1-44a0-aa91-5e77371ad662">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E7F7A33C-EF71-462D-BD52-9343A0667453}">
  <ds:schemaRefs>
    <ds:schemaRef ds:uri="http://schemas.openxmlformats.org/officeDocument/2006/bibliography"/>
  </ds:schemaRefs>
</ds:datastoreItem>
</file>

<file path=customXml/itemProps2.xml><?xml version="1.0" encoding="utf-8"?>
<ds:datastoreItem xmlns:ds="http://schemas.openxmlformats.org/officeDocument/2006/customXml" ds:itemID="{5BD542B5-5D59-4B5C-8667-02025CC0D413}"/>
</file>

<file path=customXml/itemProps3.xml><?xml version="1.0" encoding="utf-8"?>
<ds:datastoreItem xmlns:ds="http://schemas.openxmlformats.org/officeDocument/2006/customXml" ds:itemID="{A6B4A2A3-3C5A-4F52-BC24-5608E27ACDEF}"/>
</file>

<file path=customXml/itemProps4.xml><?xml version="1.0" encoding="utf-8"?>
<ds:datastoreItem xmlns:ds="http://schemas.openxmlformats.org/officeDocument/2006/customXml" ds:itemID="{DA799838-1D26-4FA2-B5DF-CF770734B798}"/>
</file>

<file path=docProps/app.xml><?xml version="1.0" encoding="utf-8"?>
<Properties xmlns="http://schemas.openxmlformats.org/officeDocument/2006/extended-properties" xmlns:vt="http://schemas.openxmlformats.org/officeDocument/2006/docPropsVTypes">
  <Template>Normal</Template>
  <TotalTime>3</TotalTime>
  <Pages>180</Pages>
  <Words>54315</Words>
  <Characters>309602</Characters>
  <Application>Microsoft Office Word</Application>
  <DocSecurity>0</DocSecurity>
  <Lines>2580</Lines>
  <Paragraphs>726</Paragraphs>
  <ScaleCrop>false</ScaleCrop>
  <HeadingPairs>
    <vt:vector size="2" baseType="variant">
      <vt:variant>
        <vt:lpstr>Title</vt:lpstr>
      </vt:variant>
      <vt:variant>
        <vt:i4>1</vt:i4>
      </vt:variant>
    </vt:vector>
  </HeadingPairs>
  <TitlesOfParts>
    <vt:vector size="1" baseType="lpstr">
      <vt:lpstr/>
    </vt:vector>
  </TitlesOfParts>
  <Company>European Commission</Company>
  <LinksUpToDate>false</LinksUpToDate>
  <CharactersWithSpaces>363191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SUJA GOFFIN Isabelle (RTD)</dc:creator>
  <cp:lastModifiedBy>BINET Philippe (Clean Hydrogen JU)</cp:lastModifiedBy>
  <cp:revision>3</cp:revision>
  <cp:lastPrinted>2015-02-04T14:13:00Z</cp:lastPrinted>
  <dcterms:created xsi:type="dcterms:W3CDTF">2022-04-22T08:34:00Z</dcterms:created>
  <dcterms:modified xsi:type="dcterms:W3CDTF">2022-04-22T08:36:00Z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0x010100CF39593B1231A54BAD5EACC64C984BAA</vt:lpwstr>
  </property>
</Properties>
</file>