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86A9" w14:textId="77777777" w:rsidR="00DC3474" w:rsidRPr="00EE753B" w:rsidRDefault="00DC3474" w:rsidP="00DC3474">
      <w:pPr>
        <w:tabs>
          <w:tab w:val="left" w:pos="4678"/>
          <w:tab w:val="left" w:pos="4820"/>
        </w:tabs>
        <w:jc w:val="center"/>
        <w:rPr>
          <w:b/>
          <w:szCs w:val="24"/>
        </w:rPr>
      </w:pPr>
    </w:p>
    <w:p w14:paraId="653E4560" w14:textId="77777777" w:rsidR="00A13816" w:rsidRPr="00EE753B" w:rsidRDefault="00020307">
      <w:pPr>
        <w:jc w:val="center"/>
        <w:rPr>
          <w:b/>
          <w:szCs w:val="24"/>
        </w:rPr>
      </w:pPr>
      <w:r w:rsidRPr="00EE753B">
        <w:rPr>
          <w:b/>
          <w:szCs w:val="24"/>
        </w:rPr>
        <w:t xml:space="preserve">PLĖTROS PROGRAMOS PAŽANGOS PRIEMONĖS </w:t>
      </w:r>
      <w:r w:rsidRPr="00EE753B">
        <w:rPr>
          <w:b/>
          <w:color w:val="000000"/>
          <w:szCs w:val="24"/>
          <w:lang w:eastAsia="lt-LT"/>
        </w:rPr>
        <w:t xml:space="preserve">APRAŠE NURODYTOS INFORMACIJOS </w:t>
      </w:r>
      <w:r w:rsidRPr="00EE753B">
        <w:rPr>
          <w:b/>
          <w:szCs w:val="24"/>
        </w:rPr>
        <w:t>PAGRINDIMO APRAŠAS</w:t>
      </w:r>
    </w:p>
    <w:p w14:paraId="20F865FE" w14:textId="77777777" w:rsidR="00A13816" w:rsidRPr="00EE753B" w:rsidRDefault="00A13816">
      <w:pPr>
        <w:jc w:val="center"/>
        <w:rPr>
          <w:b/>
          <w:szCs w:val="24"/>
        </w:rPr>
      </w:pPr>
    </w:p>
    <w:p w14:paraId="746D8D3F" w14:textId="77777777" w:rsidR="00A13816" w:rsidRPr="00EE753B" w:rsidRDefault="00020307">
      <w:pPr>
        <w:jc w:val="center"/>
        <w:rPr>
          <w:b/>
          <w:szCs w:val="24"/>
        </w:rPr>
      </w:pPr>
      <w:r w:rsidRPr="00EE753B">
        <w:rPr>
          <w:b/>
          <w:szCs w:val="24"/>
        </w:rPr>
        <w:t>I SKYRIUS</w:t>
      </w:r>
    </w:p>
    <w:p w14:paraId="29D0B122" w14:textId="77777777" w:rsidR="00A13816" w:rsidRPr="00EE753B" w:rsidRDefault="00020307">
      <w:pPr>
        <w:jc w:val="center"/>
        <w:rPr>
          <w:b/>
          <w:szCs w:val="24"/>
        </w:rPr>
      </w:pPr>
      <w:r w:rsidRPr="00EE753B">
        <w:rPr>
          <w:b/>
          <w:szCs w:val="24"/>
        </w:rPr>
        <w:t>BENDROSIOS NUOSTATOS</w:t>
      </w:r>
    </w:p>
    <w:p w14:paraId="462839F2" w14:textId="77777777" w:rsidR="00A13816" w:rsidRPr="00EE753B"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EE753B" w14:paraId="20D9D15E" w14:textId="77777777">
        <w:tc>
          <w:tcPr>
            <w:tcW w:w="2972" w:type="dxa"/>
            <w:shd w:val="clear" w:color="auto" w:fill="DBE5F1" w:themeFill="accent1" w:themeFillTint="33"/>
          </w:tcPr>
          <w:p w14:paraId="1043D587" w14:textId="77777777" w:rsidR="00A13816" w:rsidRPr="00EE753B" w:rsidRDefault="00020307">
            <w:pPr>
              <w:spacing w:line="276" w:lineRule="auto"/>
              <w:jc w:val="center"/>
              <w:rPr>
                <w:b/>
                <w:sz w:val="22"/>
                <w:szCs w:val="24"/>
              </w:rPr>
            </w:pPr>
            <w:r w:rsidRPr="00EE753B">
              <w:rPr>
                <w:b/>
                <w:sz w:val="22"/>
                <w:szCs w:val="24"/>
              </w:rPr>
              <w:t>Plėtros programos pažangos priemonės kodas ir pavadinimas</w:t>
            </w:r>
          </w:p>
        </w:tc>
        <w:tc>
          <w:tcPr>
            <w:tcW w:w="6634" w:type="dxa"/>
          </w:tcPr>
          <w:p w14:paraId="727EA27A" w14:textId="77777777" w:rsidR="00D7058D" w:rsidRPr="00EE753B" w:rsidRDefault="00D7058D" w:rsidP="00720D66">
            <w:pPr>
              <w:spacing w:line="276" w:lineRule="auto"/>
              <w:jc w:val="both"/>
              <w:rPr>
                <w:b/>
                <w:color w:val="000000"/>
                <w:sz w:val="22"/>
                <w:szCs w:val="22"/>
                <w:lang w:eastAsia="lt-LT"/>
              </w:rPr>
            </w:pPr>
            <w:r w:rsidRPr="00EE753B">
              <w:rPr>
                <w:b/>
                <w:color w:val="000000"/>
                <w:sz w:val="22"/>
                <w:szCs w:val="22"/>
                <w:lang w:eastAsia="lt-LT"/>
              </w:rPr>
              <w:t xml:space="preserve">03-001-06-03-04 </w:t>
            </w:r>
          </w:p>
          <w:p w14:paraId="15636301" w14:textId="0E79F80A" w:rsidR="00A13816" w:rsidRPr="00EE753B" w:rsidRDefault="00D7058D" w:rsidP="008D298B">
            <w:pPr>
              <w:spacing w:line="276" w:lineRule="auto"/>
              <w:jc w:val="both"/>
              <w:rPr>
                <w:bCs/>
                <w:i/>
                <w:color w:val="808080"/>
                <w:sz w:val="22"/>
                <w:szCs w:val="22"/>
              </w:rPr>
            </w:pPr>
            <w:r w:rsidRPr="00EE753B">
              <w:rPr>
                <w:bCs/>
                <w:color w:val="000000"/>
                <w:sz w:val="22"/>
                <w:szCs w:val="22"/>
                <w:lang w:eastAsia="lt-LT"/>
              </w:rPr>
              <w:t>Į</w:t>
            </w:r>
            <w:r w:rsidR="00445D16" w:rsidRPr="00EE753B">
              <w:rPr>
                <w:bCs/>
                <w:color w:val="000000"/>
                <w:sz w:val="22"/>
                <w:szCs w:val="22"/>
                <w:lang w:eastAsia="lt-LT"/>
              </w:rPr>
              <w:t xml:space="preserve">gyvendinti centralizuoto šilumos ir vėsumos tiekimo sistemų energijos vartojimo efektyvumą didinančias priemones </w:t>
            </w:r>
          </w:p>
        </w:tc>
      </w:tr>
      <w:tr w:rsidR="00720D66" w:rsidRPr="00EE753B" w14:paraId="71E17937" w14:textId="77777777">
        <w:tc>
          <w:tcPr>
            <w:tcW w:w="2972" w:type="dxa"/>
            <w:shd w:val="clear" w:color="auto" w:fill="DBE5F1" w:themeFill="accent1" w:themeFillTint="33"/>
          </w:tcPr>
          <w:p w14:paraId="5F41B8DF" w14:textId="77777777" w:rsidR="00720D66" w:rsidRPr="00EE753B" w:rsidRDefault="00720D66" w:rsidP="00720D66">
            <w:pPr>
              <w:spacing w:line="276" w:lineRule="auto"/>
              <w:jc w:val="center"/>
              <w:rPr>
                <w:b/>
                <w:sz w:val="22"/>
                <w:szCs w:val="24"/>
              </w:rPr>
            </w:pPr>
            <w:r w:rsidRPr="00EE753B">
              <w:rPr>
                <w:b/>
                <w:sz w:val="22"/>
                <w:szCs w:val="24"/>
              </w:rPr>
              <w:t>Nacionalinio pažangos plano uždavinys</w:t>
            </w:r>
          </w:p>
        </w:tc>
        <w:tc>
          <w:tcPr>
            <w:tcW w:w="6634" w:type="dxa"/>
          </w:tcPr>
          <w:p w14:paraId="775E25EA" w14:textId="4EC0A12A" w:rsidR="00720D66" w:rsidRPr="00EE753B" w:rsidRDefault="00445D16" w:rsidP="00720D66">
            <w:pPr>
              <w:spacing w:line="276" w:lineRule="auto"/>
              <w:jc w:val="both"/>
              <w:rPr>
                <w:bCs/>
                <w:i/>
                <w:color w:val="808080"/>
                <w:sz w:val="22"/>
                <w:szCs w:val="22"/>
              </w:rPr>
            </w:pPr>
            <w:r w:rsidRPr="00EE753B">
              <w:rPr>
                <w:bCs/>
                <w:sz w:val="22"/>
                <w:szCs w:val="22"/>
              </w:rPr>
              <w:t>6</w:t>
            </w:r>
            <w:r w:rsidR="00720D66" w:rsidRPr="00EE753B">
              <w:rPr>
                <w:bCs/>
                <w:sz w:val="22"/>
                <w:szCs w:val="22"/>
              </w:rPr>
              <w:t>.</w:t>
            </w:r>
            <w:r w:rsidRPr="00EE753B">
              <w:rPr>
                <w:bCs/>
                <w:sz w:val="22"/>
                <w:szCs w:val="22"/>
              </w:rPr>
              <w:t>3</w:t>
            </w:r>
            <w:r w:rsidR="00EF5C06" w:rsidRPr="00EE753B">
              <w:rPr>
                <w:bCs/>
                <w:sz w:val="22"/>
                <w:szCs w:val="22"/>
              </w:rPr>
              <w:t>.</w:t>
            </w:r>
            <w:r w:rsidR="00720D66" w:rsidRPr="00EE753B">
              <w:rPr>
                <w:bCs/>
                <w:sz w:val="22"/>
                <w:szCs w:val="22"/>
              </w:rPr>
              <w:t xml:space="preserve"> </w:t>
            </w:r>
            <w:r w:rsidR="00EB13E7" w:rsidRPr="00EE753B">
              <w:rPr>
                <w:bCs/>
                <w:color w:val="000000"/>
                <w:sz w:val="22"/>
                <w:szCs w:val="22"/>
                <w:lang w:eastAsia="lt-LT"/>
              </w:rPr>
              <w:t>Užtikrinti Lietuvos elektros energijos rinkos ir elektros energetikos sistemos adekvatumą ir didinti vidaus energijos gamybos ir bendrojo galutinio energijos vartojimo AEI dalį bei diegti taršos mažinimo priemones energetikos sektoriuje</w:t>
            </w:r>
          </w:p>
        </w:tc>
      </w:tr>
      <w:tr w:rsidR="009C7416" w:rsidRPr="00EE753B" w14:paraId="7A54A828" w14:textId="77777777">
        <w:tc>
          <w:tcPr>
            <w:tcW w:w="2972" w:type="dxa"/>
            <w:shd w:val="clear" w:color="auto" w:fill="DBE5F1" w:themeFill="accent1" w:themeFillTint="33"/>
          </w:tcPr>
          <w:p w14:paraId="71F432E1" w14:textId="77777777" w:rsidR="009C7416" w:rsidRPr="00EE753B" w:rsidRDefault="009C7416" w:rsidP="009C7416">
            <w:pPr>
              <w:spacing w:line="276" w:lineRule="auto"/>
              <w:jc w:val="center"/>
              <w:rPr>
                <w:b/>
                <w:sz w:val="22"/>
                <w:szCs w:val="24"/>
              </w:rPr>
            </w:pPr>
            <w:r w:rsidRPr="00EE753B">
              <w:rPr>
                <w:b/>
                <w:sz w:val="22"/>
                <w:szCs w:val="24"/>
              </w:rPr>
              <w:t xml:space="preserve">Plėtros programa </w:t>
            </w:r>
          </w:p>
        </w:tc>
        <w:tc>
          <w:tcPr>
            <w:tcW w:w="6634" w:type="dxa"/>
          </w:tcPr>
          <w:p w14:paraId="4050E457" w14:textId="30960BFE" w:rsidR="009C7416" w:rsidRPr="00EE753B" w:rsidRDefault="009C7416" w:rsidP="008C729B">
            <w:pPr>
              <w:jc w:val="both"/>
              <w:rPr>
                <w:bCs/>
                <w:i/>
                <w:color w:val="808080"/>
                <w:sz w:val="22"/>
                <w:szCs w:val="22"/>
              </w:rPr>
            </w:pPr>
            <w:r w:rsidRPr="00EE753B">
              <w:rPr>
                <w:sz w:val="22"/>
                <w:szCs w:val="22"/>
                <w:lang w:eastAsia="lt-LT"/>
              </w:rPr>
              <w:t>2021–2030 metų plėtros programos valdytojos Lietuvos Respublikos energetikos ministerijos energetikos plėtros programa, patvirtinta Lietuvos Respublikos Vyriausybės</w:t>
            </w:r>
            <w:r w:rsidR="00874A55" w:rsidRPr="00EE753B">
              <w:rPr>
                <w:sz w:val="22"/>
                <w:szCs w:val="22"/>
                <w:lang w:eastAsia="lt-LT"/>
              </w:rPr>
              <w:t xml:space="preserve"> </w:t>
            </w:r>
            <w:r w:rsidRPr="00EE753B">
              <w:rPr>
                <w:sz w:val="22"/>
                <w:szCs w:val="22"/>
                <w:lang w:eastAsia="lt-LT"/>
              </w:rPr>
              <w:t xml:space="preserve">2021 m. gruodžio 8 d. nutarimu Nr. </w:t>
            </w:r>
            <w:r w:rsidR="00205E30" w:rsidRPr="00EE753B">
              <w:rPr>
                <w:sz w:val="22"/>
                <w:szCs w:val="22"/>
                <w:lang w:eastAsia="lt-LT"/>
              </w:rPr>
              <w:t>1064</w:t>
            </w:r>
          </w:p>
        </w:tc>
      </w:tr>
      <w:tr w:rsidR="009C7416" w:rsidRPr="00EE753B" w14:paraId="5351B734" w14:textId="77777777">
        <w:tc>
          <w:tcPr>
            <w:tcW w:w="2972" w:type="dxa"/>
            <w:shd w:val="clear" w:color="auto" w:fill="DBE5F1" w:themeFill="accent1" w:themeFillTint="33"/>
          </w:tcPr>
          <w:p w14:paraId="1CC3FC79" w14:textId="77777777" w:rsidR="009C7416" w:rsidRPr="00EE753B" w:rsidRDefault="009C7416" w:rsidP="009C7416">
            <w:pPr>
              <w:spacing w:line="276" w:lineRule="auto"/>
              <w:jc w:val="center"/>
              <w:rPr>
                <w:b/>
                <w:sz w:val="22"/>
                <w:szCs w:val="24"/>
              </w:rPr>
            </w:pPr>
            <w:r w:rsidRPr="00EE753B">
              <w:rPr>
                <w:b/>
                <w:sz w:val="22"/>
                <w:szCs w:val="24"/>
              </w:rPr>
              <w:t>Atsakinga institucija (koordinuojančioji institucija)</w:t>
            </w:r>
          </w:p>
        </w:tc>
        <w:tc>
          <w:tcPr>
            <w:tcW w:w="6634" w:type="dxa"/>
          </w:tcPr>
          <w:p w14:paraId="25B95DD7" w14:textId="36A99AAE" w:rsidR="009C7416" w:rsidRPr="00EE753B" w:rsidRDefault="009C7416" w:rsidP="009C7416">
            <w:pPr>
              <w:spacing w:line="276" w:lineRule="auto"/>
              <w:jc w:val="both"/>
              <w:rPr>
                <w:bCs/>
                <w:i/>
                <w:color w:val="808080"/>
                <w:sz w:val="22"/>
                <w:szCs w:val="22"/>
              </w:rPr>
            </w:pPr>
            <w:r w:rsidRPr="00EE753B">
              <w:rPr>
                <w:bCs/>
                <w:sz w:val="22"/>
                <w:szCs w:val="22"/>
              </w:rPr>
              <w:t>Lietuvos Respublikos energetikos ministerija</w:t>
            </w:r>
          </w:p>
        </w:tc>
      </w:tr>
    </w:tbl>
    <w:p w14:paraId="00EE2547" w14:textId="77777777" w:rsidR="00A13816" w:rsidRPr="00EE753B" w:rsidRDefault="00A13816">
      <w:pPr>
        <w:ind w:firstLine="567"/>
        <w:rPr>
          <w:b/>
          <w:sz w:val="20"/>
        </w:rPr>
      </w:pPr>
    </w:p>
    <w:p w14:paraId="499E8C09" w14:textId="77777777" w:rsidR="00A13816" w:rsidRPr="00EE753B" w:rsidRDefault="00A13816">
      <w:pPr>
        <w:rPr>
          <w:sz w:val="6"/>
          <w:szCs w:val="6"/>
        </w:rPr>
      </w:pPr>
    </w:p>
    <w:p w14:paraId="626F1075" w14:textId="77777777" w:rsidR="00A13816" w:rsidRPr="00EE753B" w:rsidRDefault="00020307">
      <w:pPr>
        <w:jc w:val="center"/>
        <w:rPr>
          <w:b/>
          <w:bCs/>
        </w:rPr>
      </w:pPr>
      <w:r w:rsidRPr="00EE753B">
        <w:rPr>
          <w:b/>
          <w:bCs/>
        </w:rPr>
        <w:t>II SKYRIUS</w:t>
      </w:r>
    </w:p>
    <w:p w14:paraId="59D73484" w14:textId="77777777" w:rsidR="00A13816" w:rsidRPr="00EE753B" w:rsidRDefault="00020307">
      <w:pPr>
        <w:jc w:val="center"/>
        <w:rPr>
          <w:b/>
          <w:bCs/>
        </w:rPr>
      </w:pPr>
      <w:r w:rsidRPr="00EE753B">
        <w:rPr>
          <w:b/>
          <w:bCs/>
        </w:rPr>
        <w:t>SIEKIAMAS POKYTIS</w:t>
      </w:r>
    </w:p>
    <w:p w14:paraId="300687E4" w14:textId="77777777" w:rsidR="00A13816" w:rsidRPr="00EE753B" w:rsidRDefault="00A1381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E753B" w14:paraId="34E30D33" w14:textId="77777777">
        <w:tc>
          <w:tcPr>
            <w:tcW w:w="9628" w:type="dxa"/>
            <w:shd w:val="clear" w:color="auto" w:fill="DBE5F1" w:themeFill="accent1" w:themeFillTint="33"/>
          </w:tcPr>
          <w:p w14:paraId="05980ACD" w14:textId="77777777" w:rsidR="00A13816" w:rsidRPr="00EE753B" w:rsidRDefault="00020307">
            <w:pPr>
              <w:keepNext/>
              <w:keepLines/>
              <w:jc w:val="center"/>
              <w:rPr>
                <w:caps/>
                <w:szCs w:val="24"/>
              </w:rPr>
            </w:pPr>
            <w:r w:rsidRPr="00EE753B">
              <w:rPr>
                <w:b/>
                <w:bCs/>
                <w:caps/>
                <w:szCs w:val="24"/>
              </w:rPr>
              <w:t>PLĖTROS PROGRAMOS PAŽANGOS Priemonės laukiamAS pokyTIS</w:t>
            </w:r>
          </w:p>
        </w:tc>
      </w:tr>
      <w:tr w:rsidR="00A13816" w:rsidRPr="00EE753B" w14:paraId="6BF9B5E7" w14:textId="77777777">
        <w:tc>
          <w:tcPr>
            <w:tcW w:w="9628" w:type="dxa"/>
          </w:tcPr>
          <w:p w14:paraId="0DA2FACF" w14:textId="2E21463B" w:rsidR="004F2569" w:rsidRPr="00EE753B" w:rsidRDefault="004F2569" w:rsidP="004F2569">
            <w:pPr>
              <w:jc w:val="both"/>
              <w:rPr>
                <w:sz w:val="22"/>
                <w:szCs w:val="22"/>
                <w:lang w:eastAsia="lt-LT"/>
              </w:rPr>
            </w:pPr>
            <w:r w:rsidRPr="00EE753B">
              <w:rPr>
                <w:sz w:val="22"/>
                <w:szCs w:val="22"/>
                <w:lang w:eastAsia="lt-LT"/>
              </w:rPr>
              <w:t xml:space="preserve">Pažangos priemonė skirta šalinti </w:t>
            </w:r>
            <w:r w:rsidRPr="00EE753B">
              <w:rPr>
                <w:b/>
                <w:bCs/>
                <w:sz w:val="22"/>
                <w:szCs w:val="22"/>
                <w:lang w:eastAsia="lt-LT"/>
              </w:rPr>
              <w:t>7 problemos „</w:t>
            </w:r>
            <w:r w:rsidR="007C0511" w:rsidRPr="00EE753B">
              <w:rPr>
                <w:b/>
                <w:bCs/>
                <w:sz w:val="22"/>
                <w:szCs w:val="22"/>
                <w:lang w:eastAsia="lt-LT"/>
              </w:rPr>
              <w:t>Maža AEI dalis, palyginti su galutiniu energijos suvartojimu: 25,47 proc. (2019 m.), siekiama 50 proc. (2030 m.)</w:t>
            </w:r>
            <w:r w:rsidRPr="00EE753B">
              <w:rPr>
                <w:b/>
                <w:bCs/>
                <w:sz w:val="22"/>
                <w:szCs w:val="22"/>
                <w:lang w:eastAsia="lt-LT"/>
              </w:rPr>
              <w:t>“</w:t>
            </w:r>
            <w:r w:rsidRPr="00EE753B">
              <w:rPr>
                <w:sz w:val="22"/>
                <w:szCs w:val="22"/>
                <w:lang w:eastAsia="lt-LT"/>
              </w:rPr>
              <w:t xml:space="preserve"> </w:t>
            </w:r>
            <w:r w:rsidR="007C0511" w:rsidRPr="00EE753B">
              <w:rPr>
                <w:sz w:val="22"/>
                <w:szCs w:val="22"/>
                <w:lang w:eastAsia="lt-LT"/>
              </w:rPr>
              <w:t xml:space="preserve">7.1.3. </w:t>
            </w:r>
            <w:r w:rsidR="002878C1" w:rsidRPr="00EE753B">
              <w:rPr>
                <w:sz w:val="22"/>
                <w:szCs w:val="22"/>
                <w:lang w:eastAsia="lt-LT"/>
              </w:rPr>
              <w:t>priežastį „</w:t>
            </w:r>
            <w:r w:rsidR="00837199" w:rsidRPr="00EE753B">
              <w:rPr>
                <w:sz w:val="22"/>
                <w:szCs w:val="22"/>
                <w:lang w:eastAsia="lt-LT"/>
              </w:rPr>
              <w:t xml:space="preserve">Vėlai įgyvendinta ES fondų paramos priemonė (tik 2019 m.)“, </w:t>
            </w:r>
            <w:r w:rsidRPr="00EE753B">
              <w:rPr>
                <w:sz w:val="22"/>
                <w:szCs w:val="22"/>
                <w:lang w:eastAsia="lt-LT"/>
              </w:rPr>
              <w:t xml:space="preserve">identifikuotą 2021–2030 metų plėtros programos valdytojos Lietuvos Respublikos energetikos ministerijos energetikos plėtros programoje, patvirtintoje Lietuvos Respublikos Vyriausybės 2021 m. gruodžio 8 d. nutarimu Nr. </w:t>
            </w:r>
            <w:r w:rsidR="00205E30" w:rsidRPr="00EE753B">
              <w:rPr>
                <w:sz w:val="22"/>
                <w:szCs w:val="22"/>
                <w:lang w:eastAsia="lt-LT"/>
              </w:rPr>
              <w:t>1064</w:t>
            </w:r>
            <w:r w:rsidRPr="00EE753B">
              <w:rPr>
                <w:sz w:val="22"/>
                <w:szCs w:val="22"/>
                <w:lang w:eastAsia="lt-LT"/>
              </w:rPr>
              <w:t xml:space="preserve"> (toliau – Plėtros programa). </w:t>
            </w:r>
          </w:p>
          <w:p w14:paraId="3FBF208D" w14:textId="687F8DD0" w:rsidR="00660B40" w:rsidRPr="00EE753B" w:rsidRDefault="00285599" w:rsidP="00E42579">
            <w:pPr>
              <w:tabs>
                <w:tab w:val="left" w:pos="598"/>
              </w:tabs>
              <w:jc w:val="both"/>
              <w:rPr>
                <w:iCs/>
                <w:sz w:val="22"/>
                <w:szCs w:val="22"/>
              </w:rPr>
            </w:pPr>
            <w:r w:rsidRPr="00EE753B">
              <w:rPr>
                <w:iCs/>
                <w:sz w:val="22"/>
                <w:szCs w:val="22"/>
              </w:rPr>
              <w:t xml:space="preserve">Šia pažangos priemone orientuojamasi į galutinio energijos suvartojimo mažinimą. </w:t>
            </w:r>
          </w:p>
          <w:p w14:paraId="52F4158D" w14:textId="4D901588" w:rsidR="00E42579" w:rsidRPr="00EE753B" w:rsidRDefault="00E42579" w:rsidP="00E42579">
            <w:pPr>
              <w:tabs>
                <w:tab w:val="left" w:pos="598"/>
              </w:tabs>
              <w:jc w:val="both"/>
              <w:rPr>
                <w:iCs/>
                <w:sz w:val="22"/>
                <w:szCs w:val="22"/>
              </w:rPr>
            </w:pPr>
            <w:r w:rsidRPr="00EE753B">
              <w:rPr>
                <w:iCs/>
                <w:sz w:val="22"/>
                <w:szCs w:val="22"/>
              </w:rPr>
              <w:t>Energijos vartojimo efektyvumo didinimas yra vienas svarbiausių prioritetų energetikos srityje iki 2050 m. ir tai įtvirtinta 2018</w:t>
            </w:r>
            <w:r w:rsidR="007B6EFC" w:rsidRPr="00EE753B">
              <w:rPr>
                <w:iCs/>
                <w:sz w:val="22"/>
                <w:szCs w:val="22"/>
              </w:rPr>
              <w:t> </w:t>
            </w:r>
            <w:r w:rsidRPr="00EE753B">
              <w:rPr>
                <w:iCs/>
                <w:sz w:val="22"/>
                <w:szCs w:val="22"/>
              </w:rPr>
              <w:t xml:space="preserve">m. patvirtintoje </w:t>
            </w:r>
            <w:r w:rsidR="00436CAE" w:rsidRPr="00EE753B">
              <w:rPr>
                <w:iCs/>
                <w:sz w:val="22"/>
                <w:szCs w:val="22"/>
              </w:rPr>
              <w:t xml:space="preserve">Nacionalinėje energetinės nepriklausomybės </w:t>
            </w:r>
            <w:r w:rsidR="00205E30" w:rsidRPr="00EE753B">
              <w:rPr>
                <w:iCs/>
                <w:sz w:val="22"/>
                <w:szCs w:val="22"/>
              </w:rPr>
              <w:t>strategijoje</w:t>
            </w:r>
            <w:r w:rsidR="00436CAE" w:rsidRPr="00EE753B">
              <w:rPr>
                <w:rStyle w:val="Hyperlink"/>
                <w:iCs/>
                <w:sz w:val="22"/>
                <w:szCs w:val="22"/>
              </w:rPr>
              <w:t xml:space="preserve"> </w:t>
            </w:r>
            <w:r w:rsidR="00436CAE" w:rsidRPr="00EE753B">
              <w:rPr>
                <w:sz w:val="22"/>
                <w:szCs w:val="22"/>
              </w:rPr>
              <w:t>(toliau – NENS)</w:t>
            </w:r>
            <w:r w:rsidRPr="00EE753B">
              <w:rPr>
                <w:iCs/>
                <w:sz w:val="22"/>
                <w:szCs w:val="22"/>
              </w:rPr>
              <w:t>. Lietuva siekia nuolat ir nuosekliai didinti energijos vartojimo efektyvumą, diegti naujesnes ir mažiau energijos vartojančias technologijas, didinti vartotojų švietimą bei konsultavimą ir keisti jų elgseną. Didžiausias energijos vartojimo efektyvumo didinimo potencialas įvertinus efektyvumo priemonių ekonominį pagrįstumą yra pramonės, pastatų ir transporto sektoriuose.</w:t>
            </w:r>
          </w:p>
          <w:p w14:paraId="78EB97B6" w14:textId="1FC7FD75" w:rsidR="00E42579" w:rsidRPr="00EE753B" w:rsidRDefault="00E42579" w:rsidP="00E42579">
            <w:pPr>
              <w:tabs>
                <w:tab w:val="left" w:pos="598"/>
              </w:tabs>
              <w:jc w:val="both"/>
              <w:rPr>
                <w:iCs/>
                <w:sz w:val="22"/>
                <w:szCs w:val="22"/>
              </w:rPr>
            </w:pPr>
            <w:r w:rsidRPr="00EE753B">
              <w:rPr>
                <w:iCs/>
                <w:sz w:val="22"/>
                <w:szCs w:val="22"/>
              </w:rPr>
              <w:t>Nors Lietuvos ekonominiai ir energetiniai rodikliai paskutiniais metais gerėjo ir bendrasis energijos suvartojimo efektyvumo rodiklis 2018 metais pasiekė 4,852 E</w:t>
            </w:r>
            <w:r w:rsidR="005633F8" w:rsidRPr="00EE753B">
              <w:rPr>
                <w:iCs/>
                <w:sz w:val="22"/>
                <w:szCs w:val="22"/>
              </w:rPr>
              <w:t>ur</w:t>
            </w:r>
            <w:r w:rsidRPr="00EE753B">
              <w:rPr>
                <w:iCs/>
                <w:sz w:val="22"/>
                <w:szCs w:val="22"/>
              </w:rPr>
              <w:t>/</w:t>
            </w:r>
            <w:proofErr w:type="spellStart"/>
            <w:r w:rsidRPr="00EE753B">
              <w:rPr>
                <w:iCs/>
                <w:sz w:val="22"/>
                <w:szCs w:val="22"/>
              </w:rPr>
              <w:t>k</w:t>
            </w:r>
            <w:r w:rsidR="00861AAE" w:rsidRPr="00EE753B">
              <w:rPr>
                <w:iCs/>
                <w:sz w:val="22"/>
                <w:szCs w:val="22"/>
              </w:rPr>
              <w:t>g</w:t>
            </w:r>
            <w:r w:rsidRPr="00EE753B">
              <w:rPr>
                <w:iCs/>
                <w:sz w:val="22"/>
                <w:szCs w:val="22"/>
              </w:rPr>
              <w:t>ne</w:t>
            </w:r>
            <w:proofErr w:type="spellEnd"/>
            <w:r w:rsidRPr="00EE753B">
              <w:rPr>
                <w:iCs/>
                <w:sz w:val="22"/>
                <w:szCs w:val="22"/>
              </w:rPr>
              <w:t>, tačiau vis dar 43</w:t>
            </w:r>
            <w:r w:rsidR="00861AAE" w:rsidRPr="00EE753B">
              <w:rPr>
                <w:iCs/>
                <w:sz w:val="22"/>
                <w:szCs w:val="22"/>
              </w:rPr>
              <w:t> </w:t>
            </w:r>
            <w:r w:rsidRPr="00EE753B">
              <w:rPr>
                <w:iCs/>
                <w:sz w:val="22"/>
                <w:szCs w:val="22"/>
              </w:rPr>
              <w:t>proc., arba 3,645</w:t>
            </w:r>
            <w:r w:rsidR="00861AAE" w:rsidRPr="00EE753B">
              <w:rPr>
                <w:iCs/>
                <w:sz w:val="22"/>
                <w:szCs w:val="22"/>
              </w:rPr>
              <w:t> </w:t>
            </w:r>
            <w:r w:rsidRPr="00EE753B">
              <w:rPr>
                <w:iCs/>
                <w:sz w:val="22"/>
                <w:szCs w:val="22"/>
              </w:rPr>
              <w:t>E</w:t>
            </w:r>
            <w:r w:rsidR="005633F8" w:rsidRPr="00EE753B">
              <w:rPr>
                <w:iCs/>
                <w:sz w:val="22"/>
                <w:szCs w:val="22"/>
              </w:rPr>
              <w:t>ur</w:t>
            </w:r>
            <w:r w:rsidRPr="00EE753B">
              <w:rPr>
                <w:iCs/>
                <w:sz w:val="22"/>
                <w:szCs w:val="22"/>
              </w:rPr>
              <w:t>/</w:t>
            </w:r>
            <w:proofErr w:type="spellStart"/>
            <w:r w:rsidRPr="00EE753B">
              <w:rPr>
                <w:iCs/>
                <w:sz w:val="22"/>
                <w:szCs w:val="22"/>
              </w:rPr>
              <w:t>kgne</w:t>
            </w:r>
            <w:proofErr w:type="spellEnd"/>
            <w:r w:rsidR="00EF5C06" w:rsidRPr="00EE753B">
              <w:rPr>
                <w:iCs/>
                <w:sz w:val="22"/>
                <w:szCs w:val="22"/>
              </w:rPr>
              <w:t>,</w:t>
            </w:r>
            <w:r w:rsidRPr="00EE753B">
              <w:rPr>
                <w:iCs/>
                <w:sz w:val="22"/>
                <w:szCs w:val="22"/>
              </w:rPr>
              <w:t xml:space="preserve"> atsiliko nuo bendro 2</w:t>
            </w:r>
            <w:r w:rsidR="00C16568" w:rsidRPr="00EE753B">
              <w:rPr>
                <w:iCs/>
                <w:sz w:val="22"/>
                <w:szCs w:val="22"/>
              </w:rPr>
              <w:t>8</w:t>
            </w:r>
            <w:r w:rsidR="00C16568" w:rsidRPr="00EE753B">
              <w:rPr>
                <w:rStyle w:val="FootnoteReference"/>
                <w:iCs/>
                <w:sz w:val="22"/>
                <w:szCs w:val="22"/>
              </w:rPr>
              <w:footnoteReference w:id="1"/>
            </w:r>
            <w:r w:rsidRPr="00EE753B">
              <w:rPr>
                <w:iCs/>
                <w:sz w:val="22"/>
                <w:szCs w:val="22"/>
              </w:rPr>
              <w:t xml:space="preserve"> valstybių narių energijos produktyvumo vidurkio, kuris yra 8,497</w:t>
            </w:r>
            <w:r w:rsidR="00861AAE" w:rsidRPr="00EE753B">
              <w:rPr>
                <w:iCs/>
                <w:sz w:val="22"/>
                <w:szCs w:val="22"/>
              </w:rPr>
              <w:t> </w:t>
            </w:r>
            <w:r w:rsidRPr="00EE753B">
              <w:rPr>
                <w:iCs/>
                <w:sz w:val="22"/>
                <w:szCs w:val="22"/>
              </w:rPr>
              <w:t>E</w:t>
            </w:r>
            <w:r w:rsidR="005633F8" w:rsidRPr="00EE753B">
              <w:rPr>
                <w:iCs/>
                <w:sz w:val="22"/>
                <w:szCs w:val="22"/>
              </w:rPr>
              <w:t>ur</w:t>
            </w:r>
            <w:r w:rsidRPr="00EE753B">
              <w:rPr>
                <w:iCs/>
                <w:sz w:val="22"/>
                <w:szCs w:val="22"/>
              </w:rPr>
              <w:t>/</w:t>
            </w:r>
            <w:proofErr w:type="spellStart"/>
            <w:r w:rsidRPr="00EE753B">
              <w:rPr>
                <w:iCs/>
                <w:sz w:val="22"/>
                <w:szCs w:val="22"/>
              </w:rPr>
              <w:t>kgne</w:t>
            </w:r>
            <w:proofErr w:type="spellEnd"/>
            <w:r w:rsidR="0065686A" w:rsidRPr="00EE753B">
              <w:rPr>
                <w:iCs/>
                <w:sz w:val="22"/>
                <w:szCs w:val="22"/>
              </w:rPr>
              <w:t xml:space="preserve"> (žr.</w:t>
            </w:r>
            <w:r w:rsidR="001652D6" w:rsidRPr="00EE753B">
              <w:rPr>
                <w:iCs/>
                <w:sz w:val="22"/>
                <w:szCs w:val="22"/>
              </w:rPr>
              <w:t xml:space="preserve"> </w:t>
            </w:r>
            <w:r w:rsidR="0065686A" w:rsidRPr="00EE753B">
              <w:rPr>
                <w:iCs/>
                <w:sz w:val="22"/>
                <w:szCs w:val="22"/>
              </w:rPr>
              <w:t>paveikslą)</w:t>
            </w:r>
            <w:r w:rsidRPr="00EE753B">
              <w:rPr>
                <w:iCs/>
                <w:sz w:val="22"/>
                <w:szCs w:val="22"/>
              </w:rPr>
              <w:t>. Energijos produktyvumo rodiklis nurodo šalies energijos vartojimo efektyvumą ir leidžia atskirti energijos suvartojimą nuo šalies ekonomikos augimo (angl.</w:t>
            </w:r>
            <w:r w:rsidRPr="00EE753B">
              <w:rPr>
                <w:i/>
                <w:sz w:val="22"/>
                <w:szCs w:val="22"/>
              </w:rPr>
              <w:t xml:space="preserve"> </w:t>
            </w:r>
            <w:proofErr w:type="spellStart"/>
            <w:r w:rsidRPr="00EE753B">
              <w:rPr>
                <w:i/>
                <w:sz w:val="22"/>
                <w:szCs w:val="22"/>
              </w:rPr>
              <w:t>decoupling</w:t>
            </w:r>
            <w:proofErr w:type="spellEnd"/>
            <w:r w:rsidRPr="00EE753B">
              <w:rPr>
                <w:iCs/>
                <w:sz w:val="22"/>
                <w:szCs w:val="22"/>
              </w:rPr>
              <w:t xml:space="preserve">). Jis rodo, kiek prekių ir paslaugų šalyje buvo sukurta su konkrečiu energijos kiekiu (eurų ir konkretaus energijos kiekio </w:t>
            </w:r>
            <w:proofErr w:type="spellStart"/>
            <w:r w:rsidRPr="00EE753B">
              <w:rPr>
                <w:iCs/>
                <w:sz w:val="22"/>
                <w:szCs w:val="22"/>
              </w:rPr>
              <w:t>kgne</w:t>
            </w:r>
            <w:proofErr w:type="spellEnd"/>
            <w:r w:rsidRPr="00EE753B">
              <w:rPr>
                <w:iCs/>
                <w:sz w:val="22"/>
                <w:szCs w:val="22"/>
              </w:rPr>
              <w:t xml:space="preserve"> santykis).</w:t>
            </w:r>
          </w:p>
          <w:p w14:paraId="01282AFD" w14:textId="3161894F" w:rsidR="00E42579" w:rsidRPr="00EE753B" w:rsidRDefault="00E42579" w:rsidP="00E42579">
            <w:pPr>
              <w:tabs>
                <w:tab w:val="left" w:pos="598"/>
              </w:tabs>
              <w:spacing w:after="100"/>
              <w:jc w:val="both"/>
              <w:rPr>
                <w:iCs/>
                <w:sz w:val="22"/>
                <w:szCs w:val="22"/>
              </w:rPr>
            </w:pPr>
            <w:r w:rsidRPr="00EE753B">
              <w:rPr>
                <w:iCs/>
                <w:sz w:val="22"/>
                <w:szCs w:val="22"/>
              </w:rPr>
              <w:t xml:space="preserve">Remiantis </w:t>
            </w:r>
            <w:r w:rsidR="00EF5C06" w:rsidRPr="00EE753B">
              <w:rPr>
                <w:iCs/>
                <w:sz w:val="22"/>
                <w:szCs w:val="22"/>
              </w:rPr>
              <w:t xml:space="preserve">pirmiau </w:t>
            </w:r>
            <w:r w:rsidRPr="00EE753B">
              <w:rPr>
                <w:iCs/>
                <w:sz w:val="22"/>
                <w:szCs w:val="22"/>
              </w:rPr>
              <w:t xml:space="preserve">minėtais energijos produktyvumo rodikliais, galima daryti išvadą, kad įmonės savo veikloje vis dar nepakankamai efektyviai panaudoja energiją ir energetinius išteklius produkcijai pagaminti ar paslaugoms suteikti. Tai gali lemti įmonėse naudojamos pasenusios technologijos, nedidelė energijos ar jos išteklių kainos dalis produkcijoje, nepakankamas požiūris ar kompetencija iš atsakingų asmenų ar įmonių vadovų. </w:t>
            </w:r>
            <w:r w:rsidR="004D406B" w:rsidRPr="00EE753B">
              <w:rPr>
                <w:iCs/>
                <w:sz w:val="22"/>
                <w:szCs w:val="22"/>
              </w:rPr>
              <w:t>Nacionaliniame energetikos ir klimato srities veiksmų plane 2021–2030 m</w:t>
            </w:r>
            <w:r w:rsidRPr="00EE753B">
              <w:rPr>
                <w:iCs/>
                <w:sz w:val="22"/>
                <w:szCs w:val="22"/>
              </w:rPr>
              <w:t xml:space="preserve">. </w:t>
            </w:r>
            <w:r w:rsidR="00EF5C06" w:rsidRPr="00EE753B">
              <w:rPr>
                <w:iCs/>
                <w:sz w:val="22"/>
                <w:szCs w:val="22"/>
              </w:rPr>
              <w:t>numatyta</w:t>
            </w:r>
            <w:r w:rsidRPr="00EE753B">
              <w:rPr>
                <w:iCs/>
                <w:sz w:val="22"/>
                <w:szCs w:val="22"/>
              </w:rPr>
              <w:t xml:space="preserve"> skatinti įmonėse diegti energijos efektyvumo didinimo priemones, nurodytas energijos vartojimo audituose, ir taip sutaupyti 5,5 </w:t>
            </w:r>
            <w:proofErr w:type="spellStart"/>
            <w:r w:rsidRPr="00EE753B">
              <w:rPr>
                <w:iCs/>
                <w:sz w:val="22"/>
                <w:szCs w:val="22"/>
              </w:rPr>
              <w:t>TWh</w:t>
            </w:r>
            <w:proofErr w:type="spellEnd"/>
            <w:r w:rsidRPr="00EE753B">
              <w:rPr>
                <w:iCs/>
                <w:sz w:val="22"/>
                <w:szCs w:val="22"/>
              </w:rPr>
              <w:t xml:space="preserve"> energijos.</w:t>
            </w:r>
          </w:p>
          <w:p w14:paraId="527366F5" w14:textId="2A2D1960" w:rsidR="00930109" w:rsidRPr="00EE753B" w:rsidRDefault="00930109" w:rsidP="00930109">
            <w:pPr>
              <w:pStyle w:val="Caption"/>
              <w:rPr>
                <w:b/>
                <w:bCs/>
              </w:rPr>
            </w:pPr>
            <w:r w:rsidRPr="00EE753B">
              <w:lastRenderedPageBreak/>
              <w:t xml:space="preserve">Paveikslas </w:t>
            </w:r>
            <w:fldSimple w:instr=" SEQ Paveikslas \* ARABIC ">
              <w:r w:rsidRPr="00EE753B">
                <w:rPr>
                  <w:noProof/>
                </w:rPr>
                <w:t>1</w:t>
              </w:r>
            </w:fldSimple>
            <w:r w:rsidRPr="00EE753B">
              <w:t xml:space="preserve">. Energijos produktyvumas Europos Sąjungos valstybėse narėse 2018 m. </w:t>
            </w:r>
          </w:p>
          <w:tbl>
            <w:tblPr>
              <w:tblW w:w="978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ook w:val="04A0" w:firstRow="1" w:lastRow="0" w:firstColumn="1" w:lastColumn="0" w:noHBand="0" w:noVBand="1"/>
            </w:tblPr>
            <w:tblGrid>
              <w:gridCol w:w="9781"/>
            </w:tblGrid>
            <w:tr w:rsidR="00E42579" w:rsidRPr="00EE753B" w14:paraId="66999C27" w14:textId="77777777" w:rsidTr="00B07D3D">
              <w:trPr>
                <w:trHeight w:val="128"/>
                <w:jc w:val="center"/>
              </w:trPr>
              <w:tc>
                <w:tcPr>
                  <w:tcW w:w="9781" w:type="dxa"/>
                  <w:shd w:val="clear" w:color="auto" w:fill="F2F2F2"/>
                </w:tcPr>
                <w:p w14:paraId="7D05E7C6" w14:textId="77777777" w:rsidR="00E42579" w:rsidRPr="00EE753B" w:rsidRDefault="00E42579" w:rsidP="00E42579">
                  <w:pPr>
                    <w:contextualSpacing/>
                    <w:jc w:val="center"/>
                    <w:rPr>
                      <w:b/>
                      <w:sz w:val="22"/>
                      <w:szCs w:val="22"/>
                    </w:rPr>
                  </w:pPr>
                  <w:r w:rsidRPr="00EE753B">
                    <w:rPr>
                      <w:b/>
                      <w:sz w:val="22"/>
                      <w:szCs w:val="22"/>
                    </w:rPr>
                    <w:t>Energijos produktyvumas Europos Sąjungos valstybėse narėse 2018 m.</w:t>
                  </w:r>
                </w:p>
              </w:tc>
            </w:tr>
            <w:tr w:rsidR="00E42579" w:rsidRPr="00EE753B" w14:paraId="319A7003" w14:textId="77777777" w:rsidTr="00B07D3D">
              <w:trPr>
                <w:trHeight w:val="4697"/>
                <w:jc w:val="center"/>
              </w:trPr>
              <w:tc>
                <w:tcPr>
                  <w:tcW w:w="9781" w:type="dxa"/>
                  <w:shd w:val="clear" w:color="auto" w:fill="F2F2F2"/>
                  <w:vAlign w:val="center"/>
                </w:tcPr>
                <w:p w14:paraId="2E0867E6" w14:textId="77777777" w:rsidR="00E42579" w:rsidRPr="00EE753B" w:rsidRDefault="00E42579" w:rsidP="00E42579">
                  <w:pPr>
                    <w:contextualSpacing/>
                    <w:jc w:val="center"/>
                    <w:rPr>
                      <w:sz w:val="22"/>
                      <w:szCs w:val="22"/>
                    </w:rPr>
                  </w:pPr>
                </w:p>
                <w:p w14:paraId="1386B355" w14:textId="77777777" w:rsidR="00E42579" w:rsidRPr="00EE753B" w:rsidRDefault="00E42579" w:rsidP="00E42579">
                  <w:pPr>
                    <w:contextualSpacing/>
                    <w:jc w:val="center"/>
                    <w:rPr>
                      <w:sz w:val="22"/>
                      <w:szCs w:val="22"/>
                    </w:rPr>
                  </w:pPr>
                  <w:r w:rsidRPr="00EE753B">
                    <w:rPr>
                      <w:noProof/>
                      <w:sz w:val="22"/>
                      <w:szCs w:val="22"/>
                      <w:lang w:eastAsia="lt-LT"/>
                    </w:rPr>
                    <mc:AlternateContent>
                      <mc:Choice Requires="wps">
                        <w:drawing>
                          <wp:anchor distT="0" distB="0" distL="114300" distR="114300" simplePos="0" relativeHeight="251659264" behindDoc="0" locked="0" layoutInCell="1" allowOverlap="1" wp14:anchorId="5CC2EAFA" wp14:editId="3CBD6B29">
                            <wp:simplePos x="0" y="0"/>
                            <wp:positionH relativeFrom="column">
                              <wp:posOffset>4030345</wp:posOffset>
                            </wp:positionH>
                            <wp:positionV relativeFrom="paragraph">
                              <wp:posOffset>1583690</wp:posOffset>
                            </wp:positionV>
                            <wp:extent cx="142875" cy="1418590"/>
                            <wp:effectExtent l="0" t="0" r="9525"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18590"/>
                                    </a:xfrm>
                                    <a:prstGeom prst="rect">
                                      <a:avLst/>
                                    </a:prstGeom>
                                    <a:noFill/>
                                    <a:ln w="9525" cap="flat" cmpd="sng" algn="ctr">
                                      <a:solidFill>
                                        <a:srgbClr val="FF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50C57" id="Rectangle 3" o:spid="_x0000_s1026" style="position:absolute;margin-left:317.35pt;margin-top:124.7pt;width:11.25pt;height:1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" filled="f" strokecolor="red">
                            <v:stroke dashstyle="3 1"/>
                            <v:path arrowok="t"/>
                          </v:rect>
                        </w:pict>
                      </mc:Fallback>
                    </mc:AlternateContent>
                  </w:r>
                  <w:r w:rsidRPr="00EE753B">
                    <w:rPr>
                      <w:noProof/>
                      <w:sz w:val="22"/>
                      <w:szCs w:val="22"/>
                      <w:lang w:eastAsia="lt-LT"/>
                    </w:rPr>
                    <w:drawing>
                      <wp:inline distT="0" distB="0" distL="0" distR="0" wp14:anchorId="49C4E4C7" wp14:editId="21897AD0">
                        <wp:extent cx="5859780" cy="3743325"/>
                        <wp:effectExtent l="0" t="0" r="7620" b="0"/>
                        <wp:docPr id="9" name="Chart 1">
                          <a:extLst xmlns:a="http://schemas.openxmlformats.org/drawingml/2006/main">
                            <a:ext uri="{FF2B5EF4-FFF2-40B4-BE49-F238E27FC236}">
                              <a16:creationId xmlns:a16="http://schemas.microsoft.com/office/drawing/2014/main" id="{D83970EC-AD17-4100-870A-2F9BE16395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0CC7FC68" w14:textId="55C2A6C0" w:rsidR="00E42579" w:rsidRPr="00EE753B" w:rsidRDefault="00930109" w:rsidP="00E42579">
            <w:pPr>
              <w:rPr>
                <w:i/>
                <w:iCs/>
                <w:sz w:val="22"/>
                <w:szCs w:val="22"/>
              </w:rPr>
            </w:pPr>
            <w:r w:rsidRPr="00EE753B">
              <w:rPr>
                <w:i/>
                <w:iCs/>
                <w:sz w:val="22"/>
                <w:szCs w:val="22"/>
              </w:rPr>
              <w:t xml:space="preserve">Šaltinis: </w:t>
            </w:r>
            <w:proofErr w:type="spellStart"/>
            <w:r w:rsidRPr="00EE753B">
              <w:rPr>
                <w:i/>
                <w:iCs/>
                <w:sz w:val="22"/>
                <w:szCs w:val="22"/>
              </w:rPr>
              <w:t>Eurostat</w:t>
            </w:r>
            <w:proofErr w:type="spellEnd"/>
          </w:p>
          <w:p w14:paraId="2511ACAE" w14:textId="77777777" w:rsidR="000275DA" w:rsidRPr="00EE753B" w:rsidRDefault="000275DA" w:rsidP="007E6014">
            <w:pPr>
              <w:spacing w:after="100"/>
              <w:rPr>
                <w:sz w:val="22"/>
                <w:szCs w:val="22"/>
              </w:rPr>
            </w:pPr>
          </w:p>
          <w:p w14:paraId="0466A2B1" w14:textId="05DD5925" w:rsidR="00A13816" w:rsidRPr="00EE753B" w:rsidRDefault="00E42579" w:rsidP="009F0680">
            <w:pPr>
              <w:spacing w:after="100"/>
              <w:jc w:val="both"/>
              <w:rPr>
                <w:sz w:val="22"/>
                <w:szCs w:val="22"/>
              </w:rPr>
            </w:pPr>
            <w:r w:rsidRPr="00EE753B">
              <w:rPr>
                <w:sz w:val="22"/>
                <w:szCs w:val="22"/>
              </w:rPr>
              <w:t xml:space="preserve">Siekiant </w:t>
            </w:r>
            <w:r w:rsidR="009F0680" w:rsidRPr="00EE753B">
              <w:rPr>
                <w:sz w:val="22"/>
                <w:szCs w:val="22"/>
              </w:rPr>
              <w:t xml:space="preserve">Nacionaliniame pažangos plane </w:t>
            </w:r>
            <w:r w:rsidR="0036144E" w:rsidRPr="00EE753B">
              <w:rPr>
                <w:sz w:val="22"/>
                <w:szCs w:val="22"/>
              </w:rPr>
              <w:t xml:space="preserve">užsibrėžto </w:t>
            </w:r>
            <w:r w:rsidRPr="00EE753B">
              <w:rPr>
                <w:sz w:val="22"/>
                <w:szCs w:val="22"/>
              </w:rPr>
              <w:t>6-ojo strateginio tikslo „</w:t>
            </w:r>
            <w:r w:rsidR="007D53B5" w:rsidRPr="00EE753B">
              <w:rPr>
                <w:sz w:val="22"/>
                <w:szCs w:val="22"/>
              </w:rPr>
              <w:t>U</w:t>
            </w:r>
            <w:r w:rsidRPr="00EE753B">
              <w:rPr>
                <w:sz w:val="22"/>
                <w:szCs w:val="22"/>
              </w:rPr>
              <w:t>žtikrinti gerą aplinkos kokybę ir gamtos išteklių naudojimo darną, saugoti biologinę įvairovę, švelninti Lietuvos poveikį klimato kaitai ir didinti atsparumą jos poveikiui“, numatoma įgyvendinti šiuos pažangos uždavinius:</w:t>
            </w:r>
          </w:p>
          <w:p w14:paraId="707C205D" w14:textId="32C7B6EF" w:rsidR="007E6014" w:rsidRPr="00EE753B" w:rsidRDefault="007E6014" w:rsidP="00B76F9A">
            <w:pPr>
              <w:pStyle w:val="ListParagraph"/>
              <w:numPr>
                <w:ilvl w:val="0"/>
                <w:numId w:val="30"/>
              </w:numPr>
              <w:spacing w:after="100"/>
              <w:contextualSpacing w:val="0"/>
              <w:jc w:val="both"/>
              <w:rPr>
                <w:sz w:val="22"/>
                <w:szCs w:val="22"/>
              </w:rPr>
            </w:pPr>
            <w:r w:rsidRPr="00EE753B">
              <w:rPr>
                <w:sz w:val="22"/>
                <w:szCs w:val="22"/>
              </w:rPr>
              <w:t xml:space="preserve">užtikrinti Lietuvos elektros energijos rinkos ir elektros energetikos sistemos adekvatumą bei didinti vidaus energijos gamybos ir bendrojo galutinio energijos vartojimo atsinaujinančių energijos išteklių dalį, skatinti pažangiųjų elektros tiekimo ir kaupimo technologijų, </w:t>
            </w:r>
            <w:r w:rsidRPr="00EE753B">
              <w:rPr>
                <w:b/>
                <w:bCs/>
                <w:sz w:val="22"/>
                <w:szCs w:val="22"/>
              </w:rPr>
              <w:t>išmaniųjų energijos apskaitos</w:t>
            </w:r>
            <w:r w:rsidRPr="00EE753B">
              <w:rPr>
                <w:sz w:val="22"/>
                <w:szCs w:val="22"/>
              </w:rPr>
              <w:t xml:space="preserve">, </w:t>
            </w:r>
            <w:r w:rsidRPr="00EE753B">
              <w:rPr>
                <w:b/>
                <w:bCs/>
                <w:sz w:val="22"/>
                <w:szCs w:val="22"/>
              </w:rPr>
              <w:t>valdymo ir energijos vartojimo reguliavimo sistemų diegimą, didinti energijos vartojimo efektyvumą</w:t>
            </w:r>
            <w:r w:rsidRPr="00EE753B">
              <w:rPr>
                <w:sz w:val="22"/>
                <w:szCs w:val="22"/>
              </w:rPr>
              <w:t>, siekiant gerinti gyventojų finansinę būklę, didinti verslo konkurencingumą, mažinti išmetamų ŠESD ir oro teršalų kiekį</w:t>
            </w:r>
            <w:r w:rsidR="0036144E" w:rsidRPr="00EE753B">
              <w:rPr>
                <w:sz w:val="22"/>
                <w:szCs w:val="22"/>
              </w:rPr>
              <w:t>;</w:t>
            </w:r>
          </w:p>
          <w:p w14:paraId="315D3BF0" w14:textId="6C5F5076" w:rsidR="004655A3" w:rsidRPr="00EE753B" w:rsidRDefault="007909A8" w:rsidP="004655A3">
            <w:pPr>
              <w:autoSpaceDE w:val="0"/>
              <w:autoSpaceDN w:val="0"/>
              <w:adjustRightInd w:val="0"/>
              <w:jc w:val="both"/>
              <w:rPr>
                <w:sz w:val="22"/>
                <w:szCs w:val="22"/>
              </w:rPr>
            </w:pPr>
            <w:r w:rsidRPr="00EE753B">
              <w:rPr>
                <w:sz w:val="22"/>
                <w:szCs w:val="22"/>
              </w:rPr>
              <w:t xml:space="preserve">Remiantis Lietuvos šilumos tiekėjų asociacijos (toliau </w:t>
            </w:r>
            <w:r w:rsidR="00445423" w:rsidRPr="00EE753B">
              <w:rPr>
                <w:sz w:val="22"/>
                <w:szCs w:val="22"/>
              </w:rPr>
              <w:t>–</w:t>
            </w:r>
            <w:r w:rsidRPr="00EE753B">
              <w:rPr>
                <w:sz w:val="22"/>
                <w:szCs w:val="22"/>
              </w:rPr>
              <w:t xml:space="preserve"> L</w:t>
            </w:r>
            <w:r w:rsidR="00445423" w:rsidRPr="00EE753B">
              <w:rPr>
                <w:sz w:val="22"/>
                <w:szCs w:val="22"/>
              </w:rPr>
              <w:t xml:space="preserve">ŠTA) </w:t>
            </w:r>
            <w:r w:rsidRPr="00EE753B">
              <w:rPr>
                <w:sz w:val="22"/>
                <w:szCs w:val="22"/>
              </w:rPr>
              <w:t>duomenimis, c</w:t>
            </w:r>
            <w:r w:rsidR="00E75207" w:rsidRPr="00EE753B">
              <w:rPr>
                <w:sz w:val="22"/>
                <w:szCs w:val="22"/>
              </w:rPr>
              <w:t xml:space="preserve">entralizuoto šilumos </w:t>
            </w:r>
            <w:r w:rsidR="005D68B8" w:rsidRPr="00EE753B">
              <w:rPr>
                <w:sz w:val="22"/>
                <w:szCs w:val="22"/>
              </w:rPr>
              <w:t>tiekimo (</w:t>
            </w:r>
            <w:r w:rsidRPr="00EE753B">
              <w:rPr>
                <w:sz w:val="22"/>
                <w:szCs w:val="22"/>
              </w:rPr>
              <w:t xml:space="preserve">toliau </w:t>
            </w:r>
            <w:r w:rsidR="00EF5C06" w:rsidRPr="00EE753B">
              <w:rPr>
                <w:sz w:val="22"/>
                <w:szCs w:val="22"/>
              </w:rPr>
              <w:t xml:space="preserve">– </w:t>
            </w:r>
            <w:r w:rsidR="005D68B8" w:rsidRPr="00EE753B">
              <w:rPr>
                <w:sz w:val="22"/>
                <w:szCs w:val="22"/>
              </w:rPr>
              <w:t>CŠT) sektorius Lietuvoje užima daugiau kaip 50</w:t>
            </w:r>
            <w:r w:rsidR="00B16A55" w:rsidRPr="00EE753B">
              <w:rPr>
                <w:sz w:val="22"/>
                <w:szCs w:val="22"/>
              </w:rPr>
              <w:t xml:space="preserve"> </w:t>
            </w:r>
            <w:r w:rsidR="005D68B8" w:rsidRPr="00EE753B">
              <w:rPr>
                <w:sz w:val="22"/>
                <w:szCs w:val="22"/>
              </w:rPr>
              <w:t>% visos šilumos rinkos, miestuose</w:t>
            </w:r>
            <w:r w:rsidR="002F29B6" w:rsidRPr="00EE753B">
              <w:rPr>
                <w:sz w:val="22"/>
                <w:szCs w:val="22"/>
              </w:rPr>
              <w:t xml:space="preserve"> šis santykis yra didesnis – centralizuotai šiluma ir karštu vandeniu aprūpinama apie 70</w:t>
            </w:r>
            <w:r w:rsidR="00B16A55" w:rsidRPr="00EE753B">
              <w:rPr>
                <w:sz w:val="22"/>
                <w:szCs w:val="22"/>
              </w:rPr>
              <w:t>–</w:t>
            </w:r>
            <w:r w:rsidR="002F29B6" w:rsidRPr="00EE753B">
              <w:rPr>
                <w:sz w:val="22"/>
                <w:szCs w:val="22"/>
              </w:rPr>
              <w:t>80</w:t>
            </w:r>
            <w:r w:rsidR="00B16A55" w:rsidRPr="00EE753B">
              <w:rPr>
                <w:sz w:val="22"/>
                <w:szCs w:val="22"/>
              </w:rPr>
              <w:t xml:space="preserve"> </w:t>
            </w:r>
            <w:r w:rsidR="002F29B6" w:rsidRPr="00EE753B">
              <w:rPr>
                <w:sz w:val="22"/>
                <w:szCs w:val="22"/>
              </w:rPr>
              <w:t>% pastat</w:t>
            </w:r>
            <w:r w:rsidRPr="00EE753B">
              <w:rPr>
                <w:sz w:val="22"/>
                <w:szCs w:val="22"/>
              </w:rPr>
              <w:t>ų</w:t>
            </w:r>
            <w:r w:rsidR="003A2457" w:rsidRPr="00EE753B">
              <w:rPr>
                <w:sz w:val="22"/>
                <w:szCs w:val="22"/>
              </w:rPr>
              <w:t>. E</w:t>
            </w:r>
            <w:r w:rsidR="00F330A4" w:rsidRPr="00EE753B">
              <w:rPr>
                <w:sz w:val="22"/>
                <w:szCs w:val="22"/>
              </w:rPr>
              <w:t>nergijos vartojimo efektyvum</w:t>
            </w:r>
            <w:r w:rsidR="00C63F0D" w:rsidRPr="00EE753B">
              <w:rPr>
                <w:sz w:val="22"/>
                <w:szCs w:val="22"/>
              </w:rPr>
              <w:t>as</w:t>
            </w:r>
            <w:r w:rsidR="003A2457" w:rsidRPr="00EE753B">
              <w:rPr>
                <w:sz w:val="22"/>
                <w:szCs w:val="22"/>
              </w:rPr>
              <w:t xml:space="preserve"> </w:t>
            </w:r>
            <w:r w:rsidR="00896B48" w:rsidRPr="00EE753B">
              <w:rPr>
                <w:sz w:val="22"/>
                <w:szCs w:val="22"/>
              </w:rPr>
              <w:t xml:space="preserve">(toliau – EVE) </w:t>
            </w:r>
            <w:r w:rsidR="00C63F0D" w:rsidRPr="00EE753B">
              <w:rPr>
                <w:sz w:val="22"/>
                <w:szCs w:val="22"/>
              </w:rPr>
              <w:t>CŠT sektoriuje yra skirtingas</w:t>
            </w:r>
            <w:r w:rsidR="003A2457" w:rsidRPr="00EE753B">
              <w:rPr>
                <w:sz w:val="22"/>
                <w:szCs w:val="22"/>
              </w:rPr>
              <w:t>:</w:t>
            </w:r>
            <w:r w:rsidR="00C63F0D" w:rsidRPr="00EE753B">
              <w:rPr>
                <w:sz w:val="22"/>
                <w:szCs w:val="22"/>
              </w:rPr>
              <w:t xml:space="preserve"> šilumos suvartojimas vienam kvadratiniam metrui ploto apšildyti tame pačiame mieste gali skirtis iki 10 kartų. Tai tiesiogiai lemia ir šildymo sąskaitos dydį. Šilumos suvartojimas atskiruose namuose priklauso nuo jo dydžio, geometrijos, aukščio, sienų ir langų kokybės, stogo ir rūsio būklės ir t. t. Didelę įtaką turi ir vidaus vamzdynų sistemos išbalansavimas, papildomi prijungti šildymo prietaisai, šilumos punkto automatizavimo lygis ir visą šį ūkį prižiūrinčios įmonės ar asmens kvalifikacija bei pastangos. </w:t>
            </w:r>
            <w:r w:rsidR="00FC174C" w:rsidRPr="00EE753B">
              <w:rPr>
                <w:sz w:val="22"/>
                <w:szCs w:val="22"/>
              </w:rPr>
              <w:t>EVE</w:t>
            </w:r>
            <w:r w:rsidR="00B0337A" w:rsidRPr="00EE753B">
              <w:rPr>
                <w:sz w:val="22"/>
                <w:szCs w:val="22"/>
              </w:rPr>
              <w:t xml:space="preserve"> turi tiesioginį poveikį ir </w:t>
            </w:r>
            <w:r w:rsidR="00A01EBE" w:rsidRPr="00EE753B">
              <w:rPr>
                <w:sz w:val="22"/>
                <w:szCs w:val="22"/>
              </w:rPr>
              <w:t>gyventojų išlaidoms už būstų šildymą: 2020 m. neapšiltintuose daugiabučiuose, kuriuose gyvena dauguma gyventojų, vidutiniškai išleido apie 0,8 Eur už m</w:t>
            </w:r>
            <w:r w:rsidR="00A01EBE" w:rsidRPr="00EE753B">
              <w:rPr>
                <w:sz w:val="22"/>
                <w:szCs w:val="22"/>
                <w:vertAlign w:val="superscript"/>
              </w:rPr>
              <w:t>2</w:t>
            </w:r>
            <w:r w:rsidR="00A01EBE" w:rsidRPr="00EE753B">
              <w:rPr>
                <w:sz w:val="22"/>
                <w:szCs w:val="22"/>
              </w:rPr>
              <w:t>, kokybiškuose daugiabučiuose – 0,3 Eur už m</w:t>
            </w:r>
            <w:r w:rsidR="00A01EBE" w:rsidRPr="00EE753B">
              <w:rPr>
                <w:sz w:val="22"/>
                <w:szCs w:val="22"/>
                <w:vertAlign w:val="superscript"/>
              </w:rPr>
              <w:t>2</w:t>
            </w:r>
            <w:r w:rsidR="00A01EBE" w:rsidRPr="00EE753B">
              <w:rPr>
                <w:sz w:val="22"/>
                <w:szCs w:val="22"/>
              </w:rPr>
              <w:t>, labai p</w:t>
            </w:r>
            <w:r w:rsidR="006421C2" w:rsidRPr="00EE753B">
              <w:rPr>
                <w:sz w:val="22"/>
                <w:szCs w:val="22"/>
              </w:rPr>
              <w:t>r</w:t>
            </w:r>
            <w:r w:rsidR="00A01EBE" w:rsidRPr="00EE753B">
              <w:rPr>
                <w:sz w:val="22"/>
                <w:szCs w:val="22"/>
              </w:rPr>
              <w:t>astos būklės</w:t>
            </w:r>
            <w:r w:rsidR="002802F3" w:rsidRPr="00EE753B">
              <w:rPr>
                <w:sz w:val="22"/>
                <w:szCs w:val="22"/>
              </w:rPr>
              <w:t xml:space="preserve"> </w:t>
            </w:r>
            <w:r w:rsidR="00A01EBE" w:rsidRPr="00EE753B">
              <w:rPr>
                <w:sz w:val="22"/>
                <w:szCs w:val="22"/>
              </w:rPr>
              <w:t>daugiabučiuose – 1,2 Eur už m</w:t>
            </w:r>
            <w:r w:rsidR="00A01EBE" w:rsidRPr="00EE753B">
              <w:rPr>
                <w:sz w:val="22"/>
                <w:szCs w:val="22"/>
                <w:vertAlign w:val="superscript"/>
              </w:rPr>
              <w:t>2</w:t>
            </w:r>
            <w:r w:rsidR="00A01EBE" w:rsidRPr="00EE753B">
              <w:rPr>
                <w:sz w:val="22"/>
                <w:szCs w:val="22"/>
              </w:rPr>
              <w:t>.</w:t>
            </w:r>
            <w:r w:rsidR="00C63F0D" w:rsidRPr="00EE753B">
              <w:rPr>
                <w:sz w:val="22"/>
                <w:szCs w:val="22"/>
              </w:rPr>
              <w:cr/>
            </w:r>
            <w:r w:rsidR="004655A3" w:rsidRPr="00EE753B">
              <w:rPr>
                <w:sz w:val="22"/>
                <w:szCs w:val="22"/>
              </w:rPr>
              <w:t xml:space="preserve">NENS </w:t>
            </w:r>
            <w:r w:rsidR="00552990" w:rsidRPr="00EE753B">
              <w:rPr>
                <w:sz w:val="22"/>
                <w:szCs w:val="22"/>
              </w:rPr>
              <w:t>nurodyta</w:t>
            </w:r>
            <w:r w:rsidR="004655A3" w:rsidRPr="00EE753B">
              <w:rPr>
                <w:sz w:val="22"/>
                <w:szCs w:val="22"/>
              </w:rPr>
              <w:t xml:space="preserve">, kad pagrindinis tikslas šilumos ūkio srityje – nuoseklus CŠT sistemų atnaujinimas (optimizavimas), kuris užtikrintų efektyvų šilumos vartojimą, patikimą, ekonomiškai patrauklią (konkurencingą) gamybą ir tiekimą. Taip pat </w:t>
            </w:r>
            <w:r w:rsidR="00BF25F0" w:rsidRPr="00EE753B">
              <w:rPr>
                <w:sz w:val="22"/>
                <w:szCs w:val="22"/>
              </w:rPr>
              <w:t>CŠT sistemų modernizavimas</w:t>
            </w:r>
            <w:r w:rsidR="004655A3" w:rsidRPr="00EE753B">
              <w:rPr>
                <w:sz w:val="22"/>
                <w:szCs w:val="22"/>
              </w:rPr>
              <w:t xml:space="preserve"> turėtų sudaryti galimybę diegti modernias ir aplinkai palankias technologijas, naudojančias tiek vietinius išteklius, tiek AEI.</w:t>
            </w:r>
          </w:p>
          <w:p w14:paraId="0BBAFE84" w14:textId="60D143D9" w:rsidR="00E60B21" w:rsidRPr="00EE753B" w:rsidRDefault="00E60B21" w:rsidP="00E60B21">
            <w:pPr>
              <w:autoSpaceDE w:val="0"/>
              <w:autoSpaceDN w:val="0"/>
              <w:adjustRightInd w:val="0"/>
              <w:jc w:val="both"/>
              <w:rPr>
                <w:sz w:val="22"/>
                <w:szCs w:val="22"/>
              </w:rPr>
            </w:pPr>
          </w:p>
          <w:p w14:paraId="78A6C07C" w14:textId="77777777" w:rsidR="00E244EE" w:rsidRPr="00EE753B" w:rsidRDefault="00E244EE" w:rsidP="00E60B21">
            <w:pPr>
              <w:autoSpaceDE w:val="0"/>
              <w:autoSpaceDN w:val="0"/>
              <w:adjustRightInd w:val="0"/>
              <w:jc w:val="center"/>
              <w:rPr>
                <w:b/>
                <w:bCs/>
                <w:color w:val="1F497D" w:themeColor="text2"/>
                <w:sz w:val="22"/>
                <w:szCs w:val="22"/>
              </w:rPr>
            </w:pPr>
          </w:p>
          <w:p w14:paraId="68F76430" w14:textId="77777777" w:rsidR="009A5804" w:rsidRDefault="009A5804" w:rsidP="00E60B21">
            <w:pPr>
              <w:autoSpaceDE w:val="0"/>
              <w:autoSpaceDN w:val="0"/>
              <w:adjustRightInd w:val="0"/>
              <w:jc w:val="center"/>
              <w:rPr>
                <w:b/>
                <w:bCs/>
                <w:color w:val="1F497D" w:themeColor="text2"/>
                <w:sz w:val="22"/>
                <w:szCs w:val="22"/>
              </w:rPr>
            </w:pPr>
          </w:p>
          <w:p w14:paraId="65441972" w14:textId="05FA28AF" w:rsidR="00E60B21" w:rsidRPr="00EE753B" w:rsidRDefault="00E60B21" w:rsidP="00E60B21">
            <w:pPr>
              <w:autoSpaceDE w:val="0"/>
              <w:autoSpaceDN w:val="0"/>
              <w:adjustRightInd w:val="0"/>
              <w:jc w:val="center"/>
              <w:rPr>
                <w:b/>
                <w:bCs/>
                <w:color w:val="1F497D" w:themeColor="text2"/>
                <w:sz w:val="22"/>
                <w:szCs w:val="22"/>
              </w:rPr>
            </w:pPr>
            <w:r w:rsidRPr="00EE753B">
              <w:rPr>
                <w:b/>
                <w:bCs/>
                <w:color w:val="1F497D" w:themeColor="text2"/>
                <w:sz w:val="22"/>
                <w:szCs w:val="22"/>
              </w:rPr>
              <w:lastRenderedPageBreak/>
              <w:t xml:space="preserve">CŠT </w:t>
            </w:r>
            <w:r w:rsidR="00B553C9" w:rsidRPr="00EE753B">
              <w:rPr>
                <w:b/>
                <w:bCs/>
                <w:color w:val="1F497D" w:themeColor="text2"/>
                <w:sz w:val="22"/>
                <w:szCs w:val="22"/>
              </w:rPr>
              <w:t>tinklai</w:t>
            </w:r>
          </w:p>
          <w:p w14:paraId="7D819F4F" w14:textId="77777777" w:rsidR="00CE3A87" w:rsidRPr="00EE753B" w:rsidRDefault="00CE3A87" w:rsidP="00E60B21">
            <w:pPr>
              <w:autoSpaceDE w:val="0"/>
              <w:autoSpaceDN w:val="0"/>
              <w:adjustRightInd w:val="0"/>
              <w:jc w:val="center"/>
              <w:rPr>
                <w:b/>
                <w:bCs/>
                <w:color w:val="1F497D" w:themeColor="text2"/>
                <w:sz w:val="22"/>
                <w:szCs w:val="22"/>
              </w:rPr>
            </w:pPr>
          </w:p>
          <w:p w14:paraId="66E4B5A0" w14:textId="6E179A72" w:rsidR="000F5700" w:rsidRPr="00EE753B" w:rsidRDefault="006421C2" w:rsidP="008D4FE7">
            <w:pPr>
              <w:autoSpaceDE w:val="0"/>
              <w:autoSpaceDN w:val="0"/>
              <w:adjustRightInd w:val="0"/>
              <w:jc w:val="both"/>
              <w:rPr>
                <w:sz w:val="22"/>
                <w:szCs w:val="22"/>
              </w:rPr>
            </w:pPr>
            <w:r w:rsidRPr="00EE753B">
              <w:rPr>
                <w:sz w:val="22"/>
                <w:szCs w:val="22"/>
              </w:rPr>
              <w:t>CŠT t</w:t>
            </w:r>
            <w:r w:rsidR="00CA365D" w:rsidRPr="00EE753B">
              <w:rPr>
                <w:sz w:val="22"/>
                <w:szCs w:val="22"/>
              </w:rPr>
              <w:t>inklų</w:t>
            </w:r>
            <w:r w:rsidRPr="00EE753B">
              <w:rPr>
                <w:sz w:val="22"/>
                <w:szCs w:val="22"/>
              </w:rPr>
              <w:t xml:space="preserve"> ilgis 2020 m. pabaigoje siekė apie 2 925 km</w:t>
            </w:r>
            <w:r w:rsidR="00BA72CF" w:rsidRPr="00EE753B">
              <w:rPr>
                <w:sz w:val="22"/>
                <w:szCs w:val="22"/>
              </w:rPr>
              <w:t xml:space="preserve">, įskaitant ir ne šilumos tiekėjų valdomus ruožus. </w:t>
            </w:r>
            <w:r w:rsidR="0021258D" w:rsidRPr="00EE753B">
              <w:rPr>
                <w:sz w:val="22"/>
                <w:szCs w:val="22"/>
              </w:rPr>
              <w:t>Perduodant šilumą vartotojams, 2020 m. vamzdynuose buvo prarasta apie 1</w:t>
            </w:r>
            <w:r w:rsidR="00D95ADA" w:rsidRPr="00EE753B">
              <w:rPr>
                <w:sz w:val="22"/>
                <w:szCs w:val="22"/>
              </w:rPr>
              <w:t xml:space="preserve"> </w:t>
            </w:r>
            <w:r w:rsidR="0021258D" w:rsidRPr="00EE753B">
              <w:rPr>
                <w:sz w:val="22"/>
                <w:szCs w:val="22"/>
              </w:rPr>
              <w:t>203 </w:t>
            </w:r>
            <w:proofErr w:type="spellStart"/>
            <w:r w:rsidR="0021258D" w:rsidRPr="00EE753B">
              <w:rPr>
                <w:sz w:val="22"/>
                <w:szCs w:val="22"/>
              </w:rPr>
              <w:t>GWh</w:t>
            </w:r>
            <w:proofErr w:type="spellEnd"/>
            <w:r w:rsidR="0021258D" w:rsidRPr="00EE753B">
              <w:rPr>
                <w:sz w:val="22"/>
                <w:szCs w:val="22"/>
              </w:rPr>
              <w:t xml:space="preserve"> šilumos, </w:t>
            </w:r>
            <w:r w:rsidR="005919F3" w:rsidRPr="00EE753B">
              <w:rPr>
                <w:sz w:val="22"/>
                <w:szCs w:val="22"/>
              </w:rPr>
              <w:t>kas sudarė apie 15</w:t>
            </w:r>
            <w:r w:rsidR="00D95ADA" w:rsidRPr="00EE753B">
              <w:rPr>
                <w:sz w:val="22"/>
                <w:szCs w:val="22"/>
              </w:rPr>
              <w:t xml:space="preserve"> </w:t>
            </w:r>
            <w:r w:rsidR="005919F3" w:rsidRPr="00EE753B">
              <w:rPr>
                <w:sz w:val="22"/>
                <w:szCs w:val="22"/>
              </w:rPr>
              <w:t xml:space="preserve">% į CŠT sistemą patiekto šilumos kiekio. </w:t>
            </w:r>
            <w:r w:rsidR="00005275" w:rsidRPr="00EE753B">
              <w:rPr>
                <w:sz w:val="22"/>
                <w:szCs w:val="22"/>
              </w:rPr>
              <w:t>Palyginimui, Skandinavijos šalių CŠT sistemose prarandama vidutiniškai apie 12</w:t>
            </w:r>
            <w:r w:rsidR="00D95ADA" w:rsidRPr="00EE753B">
              <w:rPr>
                <w:sz w:val="22"/>
                <w:szCs w:val="22"/>
              </w:rPr>
              <w:t xml:space="preserve"> </w:t>
            </w:r>
            <w:r w:rsidR="00005275" w:rsidRPr="00EE753B">
              <w:rPr>
                <w:sz w:val="22"/>
                <w:szCs w:val="22"/>
              </w:rPr>
              <w:t xml:space="preserve">% šilumos. </w:t>
            </w:r>
            <w:r w:rsidR="00D729E3" w:rsidRPr="00EE753B">
              <w:rPr>
                <w:sz w:val="22"/>
                <w:szCs w:val="22"/>
              </w:rPr>
              <w:t>Pagrindinė priežastis – apie 41</w:t>
            </w:r>
            <w:r w:rsidR="00D95ADA" w:rsidRPr="00EE753B">
              <w:rPr>
                <w:sz w:val="22"/>
                <w:szCs w:val="22"/>
              </w:rPr>
              <w:t xml:space="preserve"> </w:t>
            </w:r>
            <w:r w:rsidR="00D729E3" w:rsidRPr="00EE753B">
              <w:rPr>
                <w:sz w:val="22"/>
                <w:szCs w:val="22"/>
              </w:rPr>
              <w:t>% vamzdžių</w:t>
            </w:r>
            <w:r w:rsidR="007F72A2" w:rsidRPr="00EE753B">
              <w:rPr>
                <w:sz w:val="22"/>
                <w:szCs w:val="22"/>
              </w:rPr>
              <w:t xml:space="preserve"> yra </w:t>
            </w:r>
            <w:r w:rsidR="00D729E3" w:rsidRPr="00EE753B">
              <w:rPr>
                <w:sz w:val="22"/>
                <w:szCs w:val="22"/>
              </w:rPr>
              <w:t>sumontuot</w:t>
            </w:r>
            <w:r w:rsidR="007F72A2" w:rsidRPr="00EE753B">
              <w:rPr>
                <w:sz w:val="22"/>
                <w:szCs w:val="22"/>
              </w:rPr>
              <w:t>i</w:t>
            </w:r>
            <w:r w:rsidR="00D729E3" w:rsidRPr="00EE753B">
              <w:rPr>
                <w:sz w:val="22"/>
                <w:szCs w:val="22"/>
              </w:rPr>
              <w:t xml:space="preserve"> probleminiuose neprieinamuose kanaluose, kurie nuties</w:t>
            </w:r>
            <w:r w:rsidR="007F72A2" w:rsidRPr="00EE753B">
              <w:rPr>
                <w:sz w:val="22"/>
                <w:szCs w:val="22"/>
              </w:rPr>
              <w:t>t</w:t>
            </w:r>
            <w:r w:rsidR="00D729E3" w:rsidRPr="00EE753B">
              <w:rPr>
                <w:sz w:val="22"/>
                <w:szCs w:val="22"/>
              </w:rPr>
              <w:t>i sovietmečiu (1960</w:t>
            </w:r>
            <w:r w:rsidR="00D95ADA" w:rsidRPr="00EE753B">
              <w:rPr>
                <w:sz w:val="22"/>
                <w:szCs w:val="22"/>
              </w:rPr>
              <w:t>–</w:t>
            </w:r>
            <w:r w:rsidR="00D729E3" w:rsidRPr="00EE753B">
              <w:rPr>
                <w:sz w:val="22"/>
                <w:szCs w:val="22"/>
              </w:rPr>
              <w:t xml:space="preserve">1990 m.). </w:t>
            </w:r>
            <w:r w:rsidR="00480DD7" w:rsidRPr="00EE753B">
              <w:rPr>
                <w:sz w:val="22"/>
                <w:szCs w:val="22"/>
              </w:rPr>
              <w:t>Yra likusių ir orinių t</w:t>
            </w:r>
            <w:r w:rsidR="00CA365D" w:rsidRPr="00EE753B">
              <w:rPr>
                <w:sz w:val="22"/>
                <w:szCs w:val="22"/>
              </w:rPr>
              <w:t>inklų</w:t>
            </w:r>
            <w:r w:rsidR="00480DD7" w:rsidRPr="00EE753B">
              <w:rPr>
                <w:sz w:val="22"/>
                <w:szCs w:val="22"/>
              </w:rPr>
              <w:t xml:space="preserve"> – j</w:t>
            </w:r>
            <w:r w:rsidR="00CA365D" w:rsidRPr="00EE753B">
              <w:rPr>
                <w:sz w:val="22"/>
                <w:szCs w:val="22"/>
              </w:rPr>
              <w:t>ie</w:t>
            </w:r>
            <w:r w:rsidR="00480DD7" w:rsidRPr="00EE753B">
              <w:rPr>
                <w:sz w:val="22"/>
                <w:szCs w:val="22"/>
              </w:rPr>
              <w:t xml:space="preserve"> sudaro apie 2</w:t>
            </w:r>
            <w:r w:rsidR="00D95ADA" w:rsidRPr="00EE753B">
              <w:rPr>
                <w:sz w:val="22"/>
                <w:szCs w:val="22"/>
              </w:rPr>
              <w:t xml:space="preserve"> </w:t>
            </w:r>
            <w:r w:rsidR="00480DD7" w:rsidRPr="00EE753B">
              <w:rPr>
                <w:sz w:val="22"/>
                <w:szCs w:val="22"/>
              </w:rPr>
              <w:t>%. Apie 15</w:t>
            </w:r>
            <w:r w:rsidR="00D95ADA" w:rsidRPr="00EE753B">
              <w:rPr>
                <w:sz w:val="22"/>
                <w:szCs w:val="22"/>
              </w:rPr>
              <w:t xml:space="preserve"> </w:t>
            </w:r>
            <w:r w:rsidR="00480DD7" w:rsidRPr="00EE753B">
              <w:rPr>
                <w:sz w:val="22"/>
                <w:szCs w:val="22"/>
              </w:rPr>
              <w:t xml:space="preserve">% </w:t>
            </w:r>
            <w:r w:rsidR="00DA64F5" w:rsidRPr="00EE753B">
              <w:rPr>
                <w:sz w:val="22"/>
                <w:szCs w:val="22"/>
              </w:rPr>
              <w:t>CŠT t</w:t>
            </w:r>
            <w:r w:rsidR="00CA365D" w:rsidRPr="00EE753B">
              <w:rPr>
                <w:sz w:val="22"/>
                <w:szCs w:val="22"/>
              </w:rPr>
              <w:t>inklų</w:t>
            </w:r>
            <w:r w:rsidR="00DA64F5" w:rsidRPr="00EE753B">
              <w:rPr>
                <w:sz w:val="22"/>
                <w:szCs w:val="22"/>
              </w:rPr>
              <w:t xml:space="preserve"> </w:t>
            </w:r>
            <w:r w:rsidR="00480DD7" w:rsidRPr="00EE753B">
              <w:rPr>
                <w:sz w:val="22"/>
                <w:szCs w:val="22"/>
              </w:rPr>
              <w:t>sudar</w:t>
            </w:r>
            <w:r w:rsidR="00482C6D" w:rsidRPr="00EE753B">
              <w:rPr>
                <w:sz w:val="22"/>
                <w:szCs w:val="22"/>
              </w:rPr>
              <w:t xml:space="preserve">o techniniai koridoriai. </w:t>
            </w:r>
            <w:r w:rsidR="00AB1120" w:rsidRPr="00EE753B">
              <w:rPr>
                <w:sz w:val="22"/>
                <w:szCs w:val="22"/>
              </w:rPr>
              <w:t>Todėl i</w:t>
            </w:r>
            <w:r w:rsidR="00D85784" w:rsidRPr="00EE753B">
              <w:rPr>
                <w:sz w:val="22"/>
                <w:szCs w:val="22"/>
              </w:rPr>
              <w:t>nvesticijos į CŠT t</w:t>
            </w:r>
            <w:r w:rsidR="005F1145" w:rsidRPr="00EE753B">
              <w:rPr>
                <w:sz w:val="22"/>
                <w:szCs w:val="22"/>
              </w:rPr>
              <w:t>inklų</w:t>
            </w:r>
            <w:r w:rsidR="00D85784" w:rsidRPr="00EE753B">
              <w:rPr>
                <w:sz w:val="22"/>
                <w:szCs w:val="22"/>
              </w:rPr>
              <w:t xml:space="preserve"> modernizavimą sukur</w:t>
            </w:r>
            <w:r w:rsidR="00AB1120" w:rsidRPr="00EE753B">
              <w:rPr>
                <w:sz w:val="22"/>
                <w:szCs w:val="22"/>
              </w:rPr>
              <w:t>tų</w:t>
            </w:r>
            <w:r w:rsidR="00D85784" w:rsidRPr="00EE753B">
              <w:rPr>
                <w:sz w:val="22"/>
                <w:szCs w:val="22"/>
              </w:rPr>
              <w:t xml:space="preserve"> didžiulę socialinę-ekonominę netiesioginę naudą dėl oro taršos </w:t>
            </w:r>
            <w:r w:rsidR="008D4FE7" w:rsidRPr="00EE753B">
              <w:rPr>
                <w:sz w:val="22"/>
                <w:szCs w:val="22"/>
              </w:rPr>
              <w:t>mažėjimo.</w:t>
            </w:r>
            <w:r w:rsidR="00C11FFA" w:rsidRPr="00EE753B">
              <w:rPr>
                <w:sz w:val="22"/>
                <w:szCs w:val="22"/>
              </w:rPr>
              <w:t xml:space="preserve"> </w:t>
            </w:r>
          </w:p>
          <w:p w14:paraId="59DBC019" w14:textId="546FD9EF" w:rsidR="00BD210A" w:rsidRPr="00EE753B" w:rsidRDefault="00C744EC" w:rsidP="00BD210A">
            <w:pPr>
              <w:autoSpaceDE w:val="0"/>
              <w:autoSpaceDN w:val="0"/>
              <w:adjustRightInd w:val="0"/>
              <w:jc w:val="both"/>
              <w:rPr>
                <w:sz w:val="22"/>
                <w:szCs w:val="22"/>
              </w:rPr>
            </w:pPr>
            <w:r w:rsidRPr="00EE753B">
              <w:rPr>
                <w:sz w:val="22"/>
                <w:szCs w:val="22"/>
              </w:rPr>
              <w:t>NEKSVP numatyta</w:t>
            </w:r>
            <w:r w:rsidR="00570EFD" w:rsidRPr="00EE753B">
              <w:rPr>
                <w:sz w:val="22"/>
                <w:szCs w:val="22"/>
              </w:rPr>
              <w:t xml:space="preserve"> EVE CŠT t</w:t>
            </w:r>
            <w:r w:rsidR="00CA365D" w:rsidRPr="00EE753B">
              <w:rPr>
                <w:sz w:val="22"/>
                <w:szCs w:val="22"/>
              </w:rPr>
              <w:t>inkluose</w:t>
            </w:r>
            <w:r w:rsidR="00570EFD" w:rsidRPr="00EE753B">
              <w:rPr>
                <w:sz w:val="22"/>
                <w:szCs w:val="22"/>
              </w:rPr>
              <w:t xml:space="preserve"> didinti pritaikant </w:t>
            </w:r>
            <w:r w:rsidR="00A65A9C" w:rsidRPr="00EE753B">
              <w:rPr>
                <w:sz w:val="22"/>
                <w:szCs w:val="22"/>
              </w:rPr>
              <w:t>CŠT t</w:t>
            </w:r>
            <w:r w:rsidR="00CA365D" w:rsidRPr="00EE753B">
              <w:rPr>
                <w:sz w:val="22"/>
                <w:szCs w:val="22"/>
              </w:rPr>
              <w:t>inklus</w:t>
            </w:r>
            <w:r w:rsidR="00570EFD" w:rsidRPr="00EE753B">
              <w:rPr>
                <w:sz w:val="22"/>
                <w:szCs w:val="22"/>
              </w:rPr>
              <w:t xml:space="preserve"> dirbti </w:t>
            </w:r>
            <w:proofErr w:type="spellStart"/>
            <w:r w:rsidR="00570EFD" w:rsidRPr="00EE753B">
              <w:rPr>
                <w:sz w:val="22"/>
                <w:szCs w:val="22"/>
              </w:rPr>
              <w:t>žematemperatūriniu</w:t>
            </w:r>
            <w:proofErr w:type="spellEnd"/>
            <w:r w:rsidR="00570EFD" w:rsidRPr="00EE753B">
              <w:rPr>
                <w:sz w:val="22"/>
                <w:szCs w:val="22"/>
              </w:rPr>
              <w:t xml:space="preserve"> režimu</w:t>
            </w:r>
            <w:r w:rsidR="00A65A9C" w:rsidRPr="00EE753B">
              <w:rPr>
                <w:sz w:val="22"/>
                <w:szCs w:val="22"/>
              </w:rPr>
              <w:t xml:space="preserve">. </w:t>
            </w:r>
            <w:r w:rsidR="00BD210A" w:rsidRPr="00EE753B">
              <w:rPr>
                <w:sz w:val="22"/>
                <w:szCs w:val="22"/>
              </w:rPr>
              <w:t>CŠT t</w:t>
            </w:r>
            <w:r w:rsidR="00CA365D" w:rsidRPr="00EE753B">
              <w:rPr>
                <w:sz w:val="22"/>
                <w:szCs w:val="22"/>
              </w:rPr>
              <w:t>inklų</w:t>
            </w:r>
            <w:r w:rsidR="00BD210A" w:rsidRPr="00EE753B">
              <w:rPr>
                <w:sz w:val="22"/>
                <w:szCs w:val="22"/>
              </w:rPr>
              <w:t xml:space="preserve"> eksploatavimas žemesnėje temperatūroje ne tik padidina EVE ir prisideda prie aplinkos taršos mažinimo, bet ir užtikrina ilgesnį vamzdžių ekonomiškai naudingo tarnavimo laikotarpį. </w:t>
            </w:r>
          </w:p>
          <w:p w14:paraId="4EDC7363" w14:textId="5E656FEC" w:rsidR="00C744EC" w:rsidRPr="00EE753B" w:rsidRDefault="00C744EC" w:rsidP="008D4FE7">
            <w:pPr>
              <w:autoSpaceDE w:val="0"/>
              <w:autoSpaceDN w:val="0"/>
              <w:adjustRightInd w:val="0"/>
              <w:jc w:val="both"/>
              <w:rPr>
                <w:sz w:val="22"/>
                <w:szCs w:val="22"/>
              </w:rPr>
            </w:pPr>
          </w:p>
          <w:p w14:paraId="54B465D4" w14:textId="66DBB0E2" w:rsidR="0089285C" w:rsidRPr="00EE753B" w:rsidRDefault="0089285C" w:rsidP="0089285C">
            <w:pPr>
              <w:autoSpaceDE w:val="0"/>
              <w:autoSpaceDN w:val="0"/>
              <w:adjustRightInd w:val="0"/>
              <w:jc w:val="center"/>
              <w:rPr>
                <w:b/>
                <w:bCs/>
                <w:color w:val="1F497D" w:themeColor="text2"/>
                <w:sz w:val="22"/>
                <w:szCs w:val="22"/>
              </w:rPr>
            </w:pPr>
            <w:r w:rsidRPr="00EE753B">
              <w:rPr>
                <w:b/>
                <w:bCs/>
                <w:color w:val="1F497D" w:themeColor="text2"/>
                <w:sz w:val="22"/>
                <w:szCs w:val="22"/>
              </w:rPr>
              <w:t>Šilumos punktai</w:t>
            </w:r>
          </w:p>
          <w:p w14:paraId="151DC3E4" w14:textId="77777777" w:rsidR="00CE3A87" w:rsidRPr="00EE753B" w:rsidRDefault="00CE3A87" w:rsidP="0089285C">
            <w:pPr>
              <w:autoSpaceDE w:val="0"/>
              <w:autoSpaceDN w:val="0"/>
              <w:adjustRightInd w:val="0"/>
              <w:jc w:val="center"/>
              <w:rPr>
                <w:b/>
                <w:bCs/>
                <w:color w:val="1F497D" w:themeColor="text2"/>
                <w:sz w:val="22"/>
                <w:szCs w:val="22"/>
              </w:rPr>
            </w:pPr>
          </w:p>
          <w:p w14:paraId="3CF6DA90" w14:textId="3240E97A" w:rsidR="00E75207" w:rsidRPr="00EE753B" w:rsidRDefault="00FC174C" w:rsidP="000E4FB6">
            <w:pPr>
              <w:autoSpaceDE w:val="0"/>
              <w:autoSpaceDN w:val="0"/>
              <w:adjustRightInd w:val="0"/>
              <w:jc w:val="both"/>
              <w:rPr>
                <w:sz w:val="22"/>
                <w:szCs w:val="22"/>
              </w:rPr>
            </w:pPr>
            <w:r w:rsidRPr="00EE753B">
              <w:rPr>
                <w:sz w:val="22"/>
                <w:szCs w:val="22"/>
              </w:rPr>
              <w:t>Iš viso Lietuvos CŠT sistemose 2020 m. pabaigoje</w:t>
            </w:r>
            <w:r w:rsidR="00182658" w:rsidRPr="00EE753B">
              <w:rPr>
                <w:sz w:val="22"/>
                <w:szCs w:val="22"/>
              </w:rPr>
              <w:t xml:space="preserve"> buvo eksploatuojami 28 447 šilumos punktai, iš jų </w:t>
            </w:r>
            <w:r w:rsidR="00317A09" w:rsidRPr="00EE753B">
              <w:rPr>
                <w:sz w:val="22"/>
                <w:szCs w:val="22"/>
              </w:rPr>
              <w:t>83</w:t>
            </w:r>
            <w:r w:rsidR="00182658" w:rsidRPr="00EE753B">
              <w:rPr>
                <w:sz w:val="22"/>
                <w:szCs w:val="22"/>
              </w:rPr>
              <w:t>% arba 23</w:t>
            </w:r>
            <w:r w:rsidR="00D95ADA" w:rsidRPr="00EE753B">
              <w:rPr>
                <w:sz w:val="22"/>
                <w:szCs w:val="22"/>
              </w:rPr>
              <w:t> </w:t>
            </w:r>
            <w:r w:rsidR="00182658" w:rsidRPr="00EE753B">
              <w:rPr>
                <w:sz w:val="22"/>
                <w:szCs w:val="22"/>
              </w:rPr>
              <w:t>557</w:t>
            </w:r>
            <w:r w:rsidR="00D95ADA" w:rsidRPr="00EE753B">
              <w:rPr>
                <w:sz w:val="22"/>
                <w:szCs w:val="22"/>
              </w:rPr>
              <w:t>,</w:t>
            </w:r>
            <w:r w:rsidR="00182658" w:rsidRPr="00EE753B">
              <w:rPr>
                <w:sz w:val="22"/>
                <w:szCs w:val="22"/>
              </w:rPr>
              <w:t xml:space="preserve"> – automatiniai. </w:t>
            </w:r>
            <w:r w:rsidR="00143490" w:rsidRPr="00EE753B">
              <w:rPr>
                <w:sz w:val="22"/>
                <w:szCs w:val="22"/>
              </w:rPr>
              <w:t>Likusieji 4</w:t>
            </w:r>
            <w:r w:rsidR="00D95ADA" w:rsidRPr="00EE753B">
              <w:rPr>
                <w:sz w:val="22"/>
                <w:szCs w:val="22"/>
              </w:rPr>
              <w:t xml:space="preserve"> </w:t>
            </w:r>
            <w:r w:rsidR="00143490" w:rsidRPr="00EE753B">
              <w:rPr>
                <w:sz w:val="22"/>
                <w:szCs w:val="22"/>
              </w:rPr>
              <w:t xml:space="preserve">890 </w:t>
            </w:r>
            <w:r w:rsidR="00D95ADA" w:rsidRPr="00EE753B">
              <w:rPr>
                <w:sz w:val="22"/>
                <w:szCs w:val="22"/>
              </w:rPr>
              <w:t xml:space="preserve">– </w:t>
            </w:r>
            <w:r w:rsidR="007B087C" w:rsidRPr="00EE753B">
              <w:rPr>
                <w:sz w:val="22"/>
                <w:szCs w:val="22"/>
              </w:rPr>
              <w:t>sovietinio tipo neautomatizuot</w:t>
            </w:r>
            <w:r w:rsidR="00143490" w:rsidRPr="00EE753B">
              <w:rPr>
                <w:sz w:val="22"/>
                <w:szCs w:val="22"/>
              </w:rPr>
              <w:t>i</w:t>
            </w:r>
            <w:r w:rsidR="007B087C" w:rsidRPr="00EE753B">
              <w:rPr>
                <w:sz w:val="22"/>
                <w:szCs w:val="22"/>
              </w:rPr>
              <w:t xml:space="preserve"> </w:t>
            </w:r>
            <w:proofErr w:type="spellStart"/>
            <w:r w:rsidR="007B087C" w:rsidRPr="00EE753B">
              <w:rPr>
                <w:sz w:val="22"/>
                <w:szCs w:val="22"/>
              </w:rPr>
              <w:t>elevatoriniai</w:t>
            </w:r>
            <w:proofErr w:type="spellEnd"/>
            <w:r w:rsidR="007B087C" w:rsidRPr="00EE753B">
              <w:rPr>
                <w:sz w:val="22"/>
                <w:szCs w:val="22"/>
              </w:rPr>
              <w:t xml:space="preserve"> šilumos punktai, kurie, esant teigiamoms arba artimoms nuliui temperatūroms, mažai reaguoja į </w:t>
            </w:r>
            <w:r w:rsidR="00C35D6F" w:rsidRPr="00EE753B">
              <w:rPr>
                <w:sz w:val="22"/>
                <w:szCs w:val="22"/>
              </w:rPr>
              <w:t>lauko oro temperatūrų pasike</w:t>
            </w:r>
            <w:r w:rsidR="000E4FB6" w:rsidRPr="00EE753B">
              <w:rPr>
                <w:sz w:val="22"/>
                <w:szCs w:val="22"/>
              </w:rPr>
              <w:t>i</w:t>
            </w:r>
            <w:r w:rsidR="00C35D6F" w:rsidRPr="00EE753B">
              <w:rPr>
                <w:sz w:val="22"/>
                <w:szCs w:val="22"/>
              </w:rPr>
              <w:t>timo</w:t>
            </w:r>
            <w:r w:rsidR="0022234B" w:rsidRPr="00EE753B">
              <w:rPr>
                <w:sz w:val="22"/>
                <w:szCs w:val="22"/>
              </w:rPr>
              <w:t xml:space="preserve"> </w:t>
            </w:r>
            <w:r w:rsidR="007B087C" w:rsidRPr="00EE753B">
              <w:rPr>
                <w:sz w:val="22"/>
                <w:szCs w:val="22"/>
              </w:rPr>
              <w:t>sąlygas,</w:t>
            </w:r>
            <w:r w:rsidR="000E4FB6" w:rsidRPr="00EE753B">
              <w:rPr>
                <w:sz w:val="22"/>
                <w:szCs w:val="22"/>
              </w:rPr>
              <w:t xml:space="preserve"> </w:t>
            </w:r>
            <w:r w:rsidR="007B087C" w:rsidRPr="00EE753B">
              <w:rPr>
                <w:sz w:val="22"/>
                <w:szCs w:val="22"/>
              </w:rPr>
              <w:t xml:space="preserve">todėl tokie pastatai iš dalies perkaitinami. </w:t>
            </w:r>
            <w:r w:rsidR="00143490" w:rsidRPr="00EE753B">
              <w:rPr>
                <w:sz w:val="22"/>
                <w:szCs w:val="22"/>
              </w:rPr>
              <w:t xml:space="preserve">Vien ši priežastis gali </w:t>
            </w:r>
            <w:r w:rsidR="007B087C" w:rsidRPr="00EE753B">
              <w:rPr>
                <w:sz w:val="22"/>
                <w:szCs w:val="22"/>
              </w:rPr>
              <w:t>lemti apie 7–15</w:t>
            </w:r>
            <w:r w:rsidR="00D83E32" w:rsidRPr="00EE753B">
              <w:rPr>
                <w:sz w:val="22"/>
                <w:szCs w:val="22"/>
              </w:rPr>
              <w:t xml:space="preserve"> </w:t>
            </w:r>
            <w:r w:rsidR="007B087C" w:rsidRPr="00EE753B">
              <w:rPr>
                <w:sz w:val="22"/>
                <w:szCs w:val="22"/>
              </w:rPr>
              <w:t>% didesnį šildymo sąskaitos dydį.</w:t>
            </w:r>
          </w:p>
          <w:p w14:paraId="5BA3AE65" w14:textId="316632E8" w:rsidR="00CE3A87" w:rsidRPr="00EE753B" w:rsidRDefault="00CE3A87" w:rsidP="00CE3A87">
            <w:pPr>
              <w:autoSpaceDE w:val="0"/>
              <w:autoSpaceDN w:val="0"/>
              <w:adjustRightInd w:val="0"/>
              <w:jc w:val="center"/>
              <w:rPr>
                <w:b/>
                <w:bCs/>
                <w:color w:val="1F497D" w:themeColor="text2"/>
                <w:sz w:val="22"/>
                <w:szCs w:val="22"/>
              </w:rPr>
            </w:pPr>
          </w:p>
          <w:p w14:paraId="38BBBC6F" w14:textId="1F9E9E67" w:rsidR="00CE3A87" w:rsidRPr="00EE753B" w:rsidRDefault="00CE3A87" w:rsidP="00CE3A87">
            <w:pPr>
              <w:autoSpaceDE w:val="0"/>
              <w:autoSpaceDN w:val="0"/>
              <w:adjustRightInd w:val="0"/>
              <w:jc w:val="center"/>
              <w:rPr>
                <w:b/>
                <w:bCs/>
                <w:color w:val="1F497D" w:themeColor="text2"/>
                <w:sz w:val="22"/>
                <w:szCs w:val="22"/>
              </w:rPr>
            </w:pPr>
            <w:r w:rsidRPr="00EE753B">
              <w:rPr>
                <w:b/>
                <w:bCs/>
                <w:color w:val="1F497D" w:themeColor="text2"/>
                <w:sz w:val="22"/>
                <w:szCs w:val="22"/>
              </w:rPr>
              <w:t>Šilumos apskaitos prietaisai</w:t>
            </w:r>
          </w:p>
          <w:p w14:paraId="633AEE7A" w14:textId="77777777" w:rsidR="00CE3A87" w:rsidRPr="00EE753B" w:rsidRDefault="00CE3A87" w:rsidP="00CE3A87">
            <w:pPr>
              <w:autoSpaceDE w:val="0"/>
              <w:autoSpaceDN w:val="0"/>
              <w:adjustRightInd w:val="0"/>
              <w:jc w:val="center"/>
              <w:rPr>
                <w:b/>
                <w:bCs/>
                <w:color w:val="1F497D" w:themeColor="text2"/>
                <w:sz w:val="22"/>
                <w:szCs w:val="22"/>
              </w:rPr>
            </w:pPr>
          </w:p>
          <w:p w14:paraId="2A5E41F6" w14:textId="7C9C7C2F" w:rsidR="00DA4E5E" w:rsidRPr="00EE753B" w:rsidRDefault="00DE51A3" w:rsidP="00B50DF8">
            <w:pPr>
              <w:jc w:val="both"/>
              <w:rPr>
                <w:sz w:val="22"/>
                <w:szCs w:val="22"/>
              </w:rPr>
            </w:pPr>
            <w:r w:rsidRPr="00EE753B">
              <w:rPr>
                <w:sz w:val="22"/>
                <w:szCs w:val="22"/>
              </w:rPr>
              <w:t>Įvadinių šilumos apskaitos prietaisų, neturinčių nuotolinės duomenų nuskaitymo sistemos, skaičius Lietuvoje 2020</w:t>
            </w:r>
            <w:r w:rsidR="00056BA8" w:rsidRPr="00EE753B">
              <w:rPr>
                <w:sz w:val="22"/>
                <w:szCs w:val="22"/>
              </w:rPr>
              <w:t> </w:t>
            </w:r>
            <w:r w:rsidRPr="00EE753B">
              <w:rPr>
                <w:sz w:val="22"/>
                <w:szCs w:val="22"/>
              </w:rPr>
              <w:t>m. pabaigoje siekė 11</w:t>
            </w:r>
            <w:r w:rsidR="00B50DF8" w:rsidRPr="00EE753B">
              <w:rPr>
                <w:sz w:val="22"/>
                <w:szCs w:val="22"/>
              </w:rPr>
              <w:t>,76</w:t>
            </w:r>
            <w:r w:rsidR="00C2265A" w:rsidRPr="00EE753B">
              <w:rPr>
                <w:sz w:val="22"/>
                <w:szCs w:val="22"/>
              </w:rPr>
              <w:t> </w:t>
            </w:r>
            <w:r w:rsidR="00B50DF8" w:rsidRPr="00EE753B">
              <w:rPr>
                <w:sz w:val="22"/>
                <w:szCs w:val="22"/>
              </w:rPr>
              <w:t>tūkst.</w:t>
            </w:r>
            <w:r w:rsidR="00D83E32" w:rsidRPr="00EE753B">
              <w:rPr>
                <w:sz w:val="22"/>
                <w:szCs w:val="22"/>
              </w:rPr>
              <w:t>,</w:t>
            </w:r>
            <w:r w:rsidR="00734F12" w:rsidRPr="00EE753B">
              <w:rPr>
                <w:sz w:val="22"/>
                <w:szCs w:val="22"/>
              </w:rPr>
              <w:t xml:space="preserve"> arba 40</w:t>
            </w:r>
            <w:r w:rsidR="00D83E32" w:rsidRPr="00EE753B">
              <w:rPr>
                <w:sz w:val="22"/>
                <w:szCs w:val="22"/>
              </w:rPr>
              <w:t xml:space="preserve"> </w:t>
            </w:r>
            <w:r w:rsidR="00734F12" w:rsidRPr="00EE753B">
              <w:rPr>
                <w:sz w:val="22"/>
                <w:szCs w:val="22"/>
              </w:rPr>
              <w:t>% iš 29,4 tūkst.</w:t>
            </w:r>
            <w:r w:rsidR="00D83E32" w:rsidRPr="00EE753B">
              <w:rPr>
                <w:sz w:val="22"/>
                <w:szCs w:val="22"/>
              </w:rPr>
              <w:t>,</w:t>
            </w:r>
            <w:r w:rsidR="00734F12" w:rsidRPr="00EE753B">
              <w:rPr>
                <w:sz w:val="22"/>
                <w:szCs w:val="22"/>
              </w:rPr>
              <w:t xml:space="preserve"> </w:t>
            </w:r>
            <w:r w:rsidR="00E075B3" w:rsidRPr="00EE753B">
              <w:rPr>
                <w:sz w:val="22"/>
                <w:szCs w:val="22"/>
              </w:rPr>
              <w:t>pastatų įvadiniuose šilumos punktuose sumontuotų apskaitos prietaisų.</w:t>
            </w:r>
            <w:r w:rsidR="00B50DF8" w:rsidRPr="00EE753B">
              <w:rPr>
                <w:sz w:val="22"/>
                <w:szCs w:val="22"/>
              </w:rPr>
              <w:t xml:space="preserve"> Nuotolinio nuskaitymo prietaisų parodymai, įtraukti į bendrąją CŠT sistemų vizualizacijos ir analitikos sistemą, padeda efektyviau organizuoti šilumos tiekimo procesą, gerinti paslaugos kokybę, laiku užkirsti kelią įvairiems nesklandumams ir atlikti kitas funkcijas.</w:t>
            </w:r>
          </w:p>
          <w:p w14:paraId="27D52167" w14:textId="7BE2BC28" w:rsidR="00153537" w:rsidRPr="00EE753B" w:rsidRDefault="00594C5D" w:rsidP="00153537">
            <w:pPr>
              <w:jc w:val="both"/>
              <w:rPr>
                <w:sz w:val="22"/>
                <w:szCs w:val="22"/>
              </w:rPr>
            </w:pPr>
            <w:r w:rsidRPr="00EE753B">
              <w:rPr>
                <w:sz w:val="22"/>
                <w:szCs w:val="22"/>
              </w:rPr>
              <w:t xml:space="preserve">Lietuvos Respublikos šilumos ūkio įstatymo (toliau – ŠŪĮ) </w:t>
            </w:r>
            <w:r w:rsidR="00595770" w:rsidRPr="00EE753B">
              <w:rPr>
                <w:sz w:val="22"/>
                <w:szCs w:val="22"/>
              </w:rPr>
              <w:t xml:space="preserve">16 straipsnio 1 dalyje reglamentuota, kad šilumos tiekėjas savo lėšomis įrengia atsiskaitomuosius šilumos apskaitos prietaisus, užtikrina jų tinkamą techninę būklę, nustatytą matavimų tikslumą ir organizuoja patikrą, 2 dalyje reglamentuota, kad karšto vandens tiekėjas arba šio įstatymo 15 straipsnio 2 dalyje nustatytu atveju esamas tiekėjas įrengia vartotojo bute ar kitose patalpose karšto vandens apskaitos prietaisus tiekimo–vartojimo ribos vietoje. ŠŪĮ 11 straipsnyje reglamentuota, kad </w:t>
            </w:r>
            <w:r w:rsidR="002D5B0A" w:rsidRPr="00EE753B">
              <w:rPr>
                <w:sz w:val="22"/>
                <w:szCs w:val="22"/>
              </w:rPr>
              <w:t>į</w:t>
            </w:r>
            <w:r w:rsidR="00595770" w:rsidRPr="00EE753B">
              <w:rPr>
                <w:sz w:val="22"/>
                <w:szCs w:val="22"/>
              </w:rPr>
              <w:t>vadinių atsiskaitomųjų šilumos apskaitos prietaisų ir šio straipsnio 4 dalyje nurodytų apskaitos prietaisų (šilumos skaitiklių, šilumos daliklių) rodmenis turi būti galima nuskaityti nuotoliniu būdu. Karšto vandens skaitikliai, šilumos skaitikliai ir dalikliai, kurių rodmenis galima nuskaityti nuotoliniu būdu, įrengiami visame pastate, jeigu tai techniškai įmanoma ir ekonomiškai naudinga</w:t>
            </w:r>
            <w:r w:rsidR="00E85690" w:rsidRPr="00EE753B">
              <w:rPr>
                <w:sz w:val="22"/>
                <w:szCs w:val="22"/>
              </w:rPr>
              <w:t>.</w:t>
            </w:r>
            <w:r w:rsidR="00153537" w:rsidRPr="00EE753B">
              <w:rPr>
                <w:sz w:val="22"/>
                <w:szCs w:val="22"/>
              </w:rPr>
              <w:t xml:space="preserve"> ŠŪĮ 11 straipsnio 6 dalimi numatytos galimybės šiluminės energijos vartotojams, tinkamiau ir dažniau suteikti informaciją apie jų vartojimą, be kita ko, pasinaudojant technologijų pažanga, kad ne vėliau kaip iki 2027 m. sausio 1 d. </w:t>
            </w:r>
            <w:r w:rsidR="00D83E32" w:rsidRPr="00EE753B">
              <w:rPr>
                <w:sz w:val="22"/>
                <w:szCs w:val="22"/>
              </w:rPr>
              <w:t xml:space="preserve">visa </w:t>
            </w:r>
            <w:r w:rsidR="00153537" w:rsidRPr="00EE753B">
              <w:rPr>
                <w:sz w:val="22"/>
                <w:szCs w:val="22"/>
              </w:rPr>
              <w:t>apimtimi pereiti prie nuotoliniu būdu nuskaitomų apskaitos prietaisų, išskyrus atvejus, kai tai nėra ekonomiškai efektyvu;</w:t>
            </w:r>
          </w:p>
          <w:p w14:paraId="126C6E30" w14:textId="6ED7AA90" w:rsidR="003A2457" w:rsidRPr="00EE753B" w:rsidRDefault="00153537" w:rsidP="00A01EBE">
            <w:pPr>
              <w:jc w:val="both"/>
              <w:rPr>
                <w:sz w:val="22"/>
                <w:szCs w:val="22"/>
              </w:rPr>
            </w:pPr>
            <w:r w:rsidRPr="00EE753B">
              <w:rPr>
                <w:sz w:val="22"/>
                <w:szCs w:val="22"/>
              </w:rPr>
              <w:t xml:space="preserve">ŠŪĮ 11 ir 15 straipsniuose nustatyta, kad šilumos tiekėjai nuo 2020 m. spalio 26 d. turi įrengti naujus atsiskaitomuosius šilumos ir karšto vandens apskaitos prietaisus ar šilumos skaitiklius arba daliklius su nuotolinio nuskaitymo funkcija. </w:t>
            </w:r>
            <w:r w:rsidR="008F171B" w:rsidRPr="00EE753B">
              <w:rPr>
                <w:sz w:val="22"/>
                <w:szCs w:val="22"/>
              </w:rPr>
              <w:t>Tikimasi, kad šiuolaikiniai</w:t>
            </w:r>
            <w:r w:rsidR="005C18BD" w:rsidRPr="00EE753B">
              <w:rPr>
                <w:sz w:val="22"/>
                <w:szCs w:val="22"/>
              </w:rPr>
              <w:t xml:space="preserve"> </w:t>
            </w:r>
            <w:r w:rsidR="008F171B" w:rsidRPr="00EE753B">
              <w:rPr>
                <w:sz w:val="22"/>
                <w:szCs w:val="22"/>
              </w:rPr>
              <w:t>apskaitos prietaisai su operatyvia rodmenų</w:t>
            </w:r>
            <w:r w:rsidR="005C18BD" w:rsidRPr="00EE753B">
              <w:rPr>
                <w:sz w:val="22"/>
                <w:szCs w:val="22"/>
              </w:rPr>
              <w:t xml:space="preserve"> </w:t>
            </w:r>
            <w:r w:rsidR="008F171B" w:rsidRPr="00EE753B">
              <w:rPr>
                <w:sz w:val="22"/>
                <w:szCs w:val="22"/>
              </w:rPr>
              <w:t>stebėsena paskatins vartotojus labiau domėtis</w:t>
            </w:r>
            <w:r w:rsidR="005C18BD" w:rsidRPr="00EE753B">
              <w:rPr>
                <w:sz w:val="22"/>
                <w:szCs w:val="22"/>
              </w:rPr>
              <w:t xml:space="preserve"> </w:t>
            </w:r>
            <w:r w:rsidR="008F171B" w:rsidRPr="00EE753B">
              <w:rPr>
                <w:sz w:val="22"/>
                <w:szCs w:val="22"/>
              </w:rPr>
              <w:t>šilumos suvartojimo efektyvumu ir</w:t>
            </w:r>
            <w:r w:rsidR="005C18BD" w:rsidRPr="00EE753B">
              <w:rPr>
                <w:sz w:val="22"/>
                <w:szCs w:val="22"/>
              </w:rPr>
              <w:t xml:space="preserve"> jos taupymo galimybėmis. </w:t>
            </w:r>
          </w:p>
          <w:p w14:paraId="75E6C909" w14:textId="77777777" w:rsidR="005C18BD" w:rsidRPr="00EE753B" w:rsidRDefault="005C18BD" w:rsidP="00A01EBE">
            <w:pPr>
              <w:jc w:val="both"/>
              <w:rPr>
                <w:sz w:val="22"/>
                <w:szCs w:val="22"/>
              </w:rPr>
            </w:pPr>
          </w:p>
          <w:p w14:paraId="092417DE" w14:textId="4459409E" w:rsidR="0091016B" w:rsidRPr="00EE753B" w:rsidRDefault="005228CC" w:rsidP="00A01EBE">
            <w:pPr>
              <w:jc w:val="both"/>
              <w:rPr>
                <w:sz w:val="22"/>
                <w:szCs w:val="22"/>
              </w:rPr>
            </w:pPr>
            <w:r w:rsidRPr="00EE753B">
              <w:rPr>
                <w:sz w:val="22"/>
                <w:szCs w:val="22"/>
              </w:rPr>
              <w:t xml:space="preserve">Pažangos priemonės įgyvendinimas visa apimtimi yra suplanuotas </w:t>
            </w:r>
            <w:r w:rsidR="004D406B" w:rsidRPr="00EE753B">
              <w:rPr>
                <w:sz w:val="22"/>
                <w:szCs w:val="22"/>
              </w:rPr>
              <w:t>2021–2027 m. Europos Sąjungos fondų investicijų programos Lietuvai</w:t>
            </w:r>
            <w:r w:rsidR="0091016B" w:rsidRPr="00EE753B">
              <w:rPr>
                <w:sz w:val="22"/>
                <w:szCs w:val="22"/>
              </w:rPr>
              <w:t xml:space="preserve"> (toliau – </w:t>
            </w:r>
            <w:r w:rsidR="00D85BD8" w:rsidRPr="00EE753B">
              <w:rPr>
                <w:sz w:val="22"/>
                <w:szCs w:val="22"/>
              </w:rPr>
              <w:t>2021</w:t>
            </w:r>
            <w:r w:rsidR="00D83E32" w:rsidRPr="00EE753B">
              <w:rPr>
                <w:sz w:val="22"/>
                <w:szCs w:val="22"/>
              </w:rPr>
              <w:t>–</w:t>
            </w:r>
            <w:r w:rsidR="00D85BD8" w:rsidRPr="00EE753B">
              <w:rPr>
                <w:sz w:val="22"/>
                <w:szCs w:val="22"/>
              </w:rPr>
              <w:t>2027 IP</w:t>
            </w:r>
            <w:r w:rsidR="000C0E9F" w:rsidRPr="00EE753B">
              <w:rPr>
                <w:sz w:val="22"/>
                <w:szCs w:val="22"/>
              </w:rPr>
              <w:t>)</w:t>
            </w:r>
            <w:r w:rsidR="0091016B" w:rsidRPr="00EE753B">
              <w:rPr>
                <w:sz w:val="22"/>
                <w:szCs w:val="22"/>
              </w:rPr>
              <w:t xml:space="preserve"> </w:t>
            </w:r>
            <w:r w:rsidRPr="00EE753B">
              <w:rPr>
                <w:sz w:val="22"/>
                <w:szCs w:val="22"/>
              </w:rPr>
              <w:t xml:space="preserve">2 prioriteto „Žalesnė Lietuva“ </w:t>
            </w:r>
            <w:r w:rsidR="0091016B" w:rsidRPr="00EE753B">
              <w:rPr>
                <w:sz w:val="22"/>
                <w:szCs w:val="22"/>
              </w:rPr>
              <w:t>konkre</w:t>
            </w:r>
            <w:r w:rsidR="00261343" w:rsidRPr="00EE753B">
              <w:rPr>
                <w:sz w:val="22"/>
                <w:szCs w:val="22"/>
              </w:rPr>
              <w:t>čiame</w:t>
            </w:r>
            <w:r w:rsidR="0091016B" w:rsidRPr="00EE753B">
              <w:rPr>
                <w:sz w:val="22"/>
                <w:szCs w:val="22"/>
              </w:rPr>
              <w:t xml:space="preserve"> uždavin</w:t>
            </w:r>
            <w:r w:rsidR="00261343" w:rsidRPr="00EE753B">
              <w:rPr>
                <w:sz w:val="22"/>
                <w:szCs w:val="22"/>
              </w:rPr>
              <w:t>yje</w:t>
            </w:r>
            <w:r w:rsidR="0091016B" w:rsidRPr="00EE753B">
              <w:rPr>
                <w:sz w:val="22"/>
                <w:szCs w:val="22"/>
              </w:rPr>
              <w:t xml:space="preserve"> </w:t>
            </w:r>
            <w:r w:rsidR="00544C04" w:rsidRPr="00EE753B">
              <w:rPr>
                <w:i/>
                <w:iCs/>
                <w:sz w:val="22"/>
                <w:szCs w:val="22"/>
              </w:rPr>
              <w:t>„</w:t>
            </w:r>
            <w:r w:rsidR="0091016B" w:rsidRPr="00EE753B">
              <w:rPr>
                <w:sz w:val="22"/>
                <w:szCs w:val="22"/>
              </w:rPr>
              <w:t xml:space="preserve">2.1. </w:t>
            </w:r>
            <w:r w:rsidR="00E27FE9" w:rsidRPr="00EE753B">
              <w:rPr>
                <w:sz w:val="22"/>
                <w:szCs w:val="22"/>
              </w:rPr>
              <w:t>Skatinti energijos vartojimo efektyvumą ir mažinti išmetamų šiltnamio efektą sukeliančių dujų kiekį</w:t>
            </w:r>
            <w:r w:rsidR="0091016B" w:rsidRPr="00EE753B">
              <w:rPr>
                <w:i/>
                <w:iCs/>
                <w:sz w:val="22"/>
                <w:szCs w:val="22"/>
              </w:rPr>
              <w:t xml:space="preserve">“ </w:t>
            </w:r>
            <w:r w:rsidR="00544C04" w:rsidRPr="00EE753B">
              <w:rPr>
                <w:sz w:val="22"/>
                <w:szCs w:val="22"/>
              </w:rPr>
              <w:t>kaip</w:t>
            </w:r>
            <w:r w:rsidR="00544C04" w:rsidRPr="00EE753B">
              <w:rPr>
                <w:i/>
                <w:iCs/>
                <w:sz w:val="22"/>
                <w:szCs w:val="22"/>
              </w:rPr>
              <w:t xml:space="preserve"> </w:t>
            </w:r>
            <w:r w:rsidR="0091016B" w:rsidRPr="00EE753B">
              <w:rPr>
                <w:sz w:val="22"/>
                <w:szCs w:val="22"/>
              </w:rPr>
              <w:t xml:space="preserve">veikla </w:t>
            </w:r>
            <w:r w:rsidR="0091016B" w:rsidRPr="00EE753B">
              <w:rPr>
                <w:b/>
                <w:bCs/>
                <w:sz w:val="22"/>
                <w:szCs w:val="22"/>
              </w:rPr>
              <w:t>„Didinti centralizuoto šilumos ir vėsumos tiekimo sistemų energijos vartojimo efektyvumą bei plėsti sistemas“</w:t>
            </w:r>
            <w:r w:rsidR="00544C04" w:rsidRPr="00EE753B">
              <w:rPr>
                <w:b/>
                <w:bCs/>
                <w:sz w:val="22"/>
                <w:szCs w:val="22"/>
              </w:rPr>
              <w:t xml:space="preserve">. </w:t>
            </w:r>
            <w:r w:rsidR="00C26D20" w:rsidRPr="00EE753B">
              <w:rPr>
                <w:sz w:val="22"/>
                <w:szCs w:val="22"/>
              </w:rPr>
              <w:t>Įgyvendinant šią veiklą, numatyta:</w:t>
            </w:r>
          </w:p>
          <w:p w14:paraId="48B459A5" w14:textId="7F73C9BB" w:rsidR="0091016B" w:rsidRPr="00EE753B" w:rsidRDefault="0091016B" w:rsidP="008678BB">
            <w:pPr>
              <w:pStyle w:val="ListParagraph"/>
              <w:numPr>
                <w:ilvl w:val="0"/>
                <w:numId w:val="42"/>
              </w:numPr>
              <w:jc w:val="both"/>
              <w:rPr>
                <w:sz w:val="22"/>
                <w:szCs w:val="22"/>
              </w:rPr>
            </w:pPr>
            <w:r w:rsidRPr="00EE753B">
              <w:rPr>
                <w:sz w:val="22"/>
                <w:szCs w:val="22"/>
              </w:rPr>
              <w:t xml:space="preserve">siekiant mažinti pirminės ir galutinės energijos suvartojimą bei išmetamų ŠESD kiekį CŠT sektoriuje, </w:t>
            </w:r>
            <w:r w:rsidRPr="00EE753B">
              <w:rPr>
                <w:b/>
                <w:bCs/>
                <w:sz w:val="22"/>
                <w:szCs w:val="22"/>
              </w:rPr>
              <w:t>skatinti CŠT tinklų perėjimą prie 4</w:t>
            </w:r>
            <w:r w:rsidR="00B34363" w:rsidRPr="00EE753B">
              <w:rPr>
                <w:b/>
                <w:bCs/>
                <w:sz w:val="22"/>
                <w:szCs w:val="22"/>
              </w:rPr>
              <w:t>-os</w:t>
            </w:r>
            <w:r w:rsidRPr="00EE753B">
              <w:rPr>
                <w:b/>
                <w:bCs/>
                <w:sz w:val="22"/>
                <w:szCs w:val="22"/>
              </w:rPr>
              <w:t xml:space="preserve"> kartos šilumos tiekimo sistemos</w:t>
            </w:r>
            <w:r w:rsidRPr="00EE753B">
              <w:rPr>
                <w:sz w:val="22"/>
                <w:szCs w:val="22"/>
              </w:rPr>
              <w:t>, kuriant integruotas CŠVT sistemas, efektyviai panaudojant liekamąją ir aplinkos energiją;</w:t>
            </w:r>
          </w:p>
          <w:p w14:paraId="49DFD90C" w14:textId="19D5A70F" w:rsidR="0091016B" w:rsidRPr="00EE753B" w:rsidRDefault="0091016B" w:rsidP="008678BB">
            <w:pPr>
              <w:pStyle w:val="ListParagraph"/>
              <w:numPr>
                <w:ilvl w:val="0"/>
                <w:numId w:val="42"/>
              </w:numPr>
              <w:jc w:val="both"/>
              <w:rPr>
                <w:sz w:val="22"/>
                <w:szCs w:val="22"/>
              </w:rPr>
            </w:pPr>
            <w:r w:rsidRPr="00EE753B">
              <w:rPr>
                <w:sz w:val="22"/>
                <w:szCs w:val="22"/>
              </w:rPr>
              <w:t>siekiant sumažinti apie 12–13</w:t>
            </w:r>
            <w:r w:rsidR="00DA0A75" w:rsidRPr="00EE753B">
              <w:rPr>
                <w:sz w:val="22"/>
                <w:szCs w:val="22"/>
              </w:rPr>
              <w:t xml:space="preserve"> </w:t>
            </w:r>
            <w:r w:rsidRPr="00EE753B">
              <w:rPr>
                <w:sz w:val="22"/>
                <w:szCs w:val="22"/>
              </w:rPr>
              <w:t>% energijos CŠT tinkluose vartojimą bei daugiau nei 2</w:t>
            </w:r>
            <w:r w:rsidR="00222903" w:rsidRPr="00EE753B">
              <w:rPr>
                <w:sz w:val="22"/>
                <w:szCs w:val="22"/>
              </w:rPr>
              <w:t> </w:t>
            </w:r>
            <w:r w:rsidRPr="00EE753B">
              <w:rPr>
                <w:sz w:val="22"/>
                <w:szCs w:val="22"/>
              </w:rPr>
              <w:t>tūkst.</w:t>
            </w:r>
            <w:r w:rsidR="00D83E32" w:rsidRPr="00EE753B">
              <w:rPr>
                <w:sz w:val="22"/>
                <w:szCs w:val="22"/>
              </w:rPr>
              <w:t xml:space="preserve"> </w:t>
            </w:r>
            <w:r w:rsidRPr="00EE753B">
              <w:rPr>
                <w:sz w:val="22"/>
                <w:szCs w:val="22"/>
              </w:rPr>
              <w:t xml:space="preserve">t kasmet išmetamo CO2 kiekį, investuoti į centralizuoto energijos tiekimo vamzdynų sistemų modernizavimą ir plėtrą, diegiant žemesnės temperatūros režimus, technologijas (pvz.: cirkuliacinius siurblius, </w:t>
            </w:r>
            <w:r w:rsidRPr="00EE753B">
              <w:rPr>
                <w:sz w:val="22"/>
                <w:szCs w:val="22"/>
              </w:rPr>
              <w:lastRenderedPageBreak/>
              <w:t xml:space="preserve">šilumos transformavimo punktus, šilumokaičius, vamzdynus skirtus </w:t>
            </w:r>
            <w:proofErr w:type="spellStart"/>
            <w:r w:rsidRPr="00EE753B">
              <w:rPr>
                <w:sz w:val="22"/>
                <w:szCs w:val="22"/>
              </w:rPr>
              <w:t>žematemperatūriui</w:t>
            </w:r>
            <w:proofErr w:type="spellEnd"/>
            <w:r w:rsidRPr="00EE753B">
              <w:rPr>
                <w:sz w:val="22"/>
                <w:szCs w:val="22"/>
              </w:rPr>
              <w:t xml:space="preserve"> režimui, matavimo prietaisus ir kt.);</w:t>
            </w:r>
          </w:p>
          <w:p w14:paraId="71D6C879" w14:textId="09E2F5DA" w:rsidR="00EB5878" w:rsidRPr="00EE753B" w:rsidRDefault="007A6A6D" w:rsidP="008678BB">
            <w:pPr>
              <w:pStyle w:val="ListParagraph"/>
              <w:numPr>
                <w:ilvl w:val="0"/>
                <w:numId w:val="42"/>
              </w:numPr>
              <w:spacing w:after="100"/>
              <w:jc w:val="both"/>
              <w:rPr>
                <w:sz w:val="22"/>
                <w:szCs w:val="22"/>
              </w:rPr>
            </w:pPr>
            <w:r w:rsidRPr="00EE753B">
              <w:rPr>
                <w:b/>
                <w:bCs/>
                <w:sz w:val="22"/>
                <w:szCs w:val="22"/>
              </w:rPr>
              <w:t xml:space="preserve">Modernizuoti </w:t>
            </w:r>
            <w:r w:rsidR="0091016B" w:rsidRPr="00EE753B">
              <w:rPr>
                <w:b/>
                <w:bCs/>
                <w:sz w:val="22"/>
                <w:szCs w:val="22"/>
              </w:rPr>
              <w:t xml:space="preserve">pastatų įvadinės šilumos apskaitos prietaisus bei </w:t>
            </w:r>
            <w:r w:rsidR="00D07EF5" w:rsidRPr="00EE753B">
              <w:rPr>
                <w:b/>
                <w:bCs/>
                <w:sz w:val="22"/>
                <w:szCs w:val="22"/>
              </w:rPr>
              <w:t xml:space="preserve">įrengti </w:t>
            </w:r>
            <w:r w:rsidR="0091016B" w:rsidRPr="00EE753B">
              <w:rPr>
                <w:b/>
                <w:bCs/>
                <w:sz w:val="22"/>
                <w:szCs w:val="22"/>
              </w:rPr>
              <w:t>duomenų nuotolinio nuskaitymo sistemas.</w:t>
            </w:r>
            <w:r w:rsidR="0091016B" w:rsidRPr="00EE753B">
              <w:rPr>
                <w:sz w:val="22"/>
                <w:szCs w:val="22"/>
              </w:rPr>
              <w:t xml:space="preserve"> Planuojama modernizuoti </w:t>
            </w:r>
            <w:r w:rsidR="00552990" w:rsidRPr="00EE753B">
              <w:rPr>
                <w:sz w:val="22"/>
                <w:szCs w:val="22"/>
              </w:rPr>
              <w:t xml:space="preserve">apie </w:t>
            </w:r>
            <w:r w:rsidR="0091016B" w:rsidRPr="00EE753B">
              <w:rPr>
                <w:sz w:val="22"/>
                <w:szCs w:val="22"/>
              </w:rPr>
              <w:t>1</w:t>
            </w:r>
            <w:r w:rsidR="008678BB" w:rsidRPr="00EE753B">
              <w:rPr>
                <w:sz w:val="22"/>
                <w:szCs w:val="22"/>
              </w:rPr>
              <w:t>0</w:t>
            </w:r>
            <w:r w:rsidR="0091016B" w:rsidRPr="00EE753B">
              <w:rPr>
                <w:sz w:val="22"/>
                <w:szCs w:val="22"/>
              </w:rPr>
              <w:t xml:space="preserve"> tūkst. šilumos apskaitos prietaisų. </w:t>
            </w:r>
          </w:p>
          <w:p w14:paraId="5A86D89A" w14:textId="6EC0A1A0" w:rsidR="0084597D" w:rsidRPr="00EE753B" w:rsidRDefault="0084597D" w:rsidP="0084597D">
            <w:pPr>
              <w:spacing w:after="100"/>
              <w:jc w:val="both"/>
              <w:rPr>
                <w:sz w:val="23"/>
                <w:szCs w:val="23"/>
              </w:rPr>
            </w:pPr>
          </w:p>
          <w:p w14:paraId="6F0575AD" w14:textId="4173D12B" w:rsidR="0084597D" w:rsidRPr="00EE753B" w:rsidRDefault="0084597D" w:rsidP="0084597D">
            <w:pPr>
              <w:spacing w:after="100"/>
              <w:jc w:val="both"/>
              <w:rPr>
                <w:sz w:val="22"/>
                <w:szCs w:val="22"/>
              </w:rPr>
            </w:pPr>
            <w:r w:rsidRPr="00EE753B">
              <w:rPr>
                <w:sz w:val="22"/>
                <w:szCs w:val="22"/>
              </w:rPr>
              <w:t xml:space="preserve">Šioje pažangos priemonėje formuluojamos </w:t>
            </w:r>
            <w:r w:rsidR="007256B0" w:rsidRPr="00EE753B">
              <w:rPr>
                <w:sz w:val="22"/>
                <w:szCs w:val="22"/>
              </w:rPr>
              <w:t>4</w:t>
            </w:r>
            <w:r w:rsidR="006B3EBA" w:rsidRPr="00EE753B">
              <w:rPr>
                <w:sz w:val="22"/>
                <w:szCs w:val="22"/>
              </w:rPr>
              <w:t xml:space="preserve"> investicinės veiklos</w:t>
            </w:r>
            <w:r w:rsidR="00035C22" w:rsidRPr="00EE753B">
              <w:rPr>
                <w:sz w:val="22"/>
                <w:szCs w:val="22"/>
              </w:rPr>
              <w:t xml:space="preserve">, šalinančios problemos </w:t>
            </w:r>
            <w:r w:rsidR="00614718" w:rsidRPr="00EE753B">
              <w:rPr>
                <w:sz w:val="22"/>
                <w:szCs w:val="22"/>
              </w:rPr>
              <w:t xml:space="preserve">7 problemos „Maža AEI dalis, palyginti su galutiniu energijos suvartojimu: 25,47 proc. (2019 m.), siekiama 50 proc. (2030 m.)“, 7.1.3. priežastį „Vėlai įgyvendinta ES fondų paramos priemonė (tik 2019 m.)“. </w:t>
            </w:r>
            <w:r w:rsidR="00C10F15" w:rsidRPr="00EE753B">
              <w:rPr>
                <w:sz w:val="22"/>
                <w:szCs w:val="22"/>
              </w:rPr>
              <w:t xml:space="preserve">Veiklos formuluojamos identifikuojant investicijų tipą ir veiklos įgyvendinimo teritoriją. </w:t>
            </w:r>
          </w:p>
          <w:p w14:paraId="23836845" w14:textId="0715748C" w:rsidR="00614718" w:rsidRPr="00EE753B" w:rsidRDefault="00614718" w:rsidP="00614718">
            <w:pPr>
              <w:pStyle w:val="Caption"/>
              <w:rPr>
                <w:b/>
                <w:bCs/>
                <w:sz w:val="22"/>
                <w:szCs w:val="22"/>
              </w:rPr>
            </w:pPr>
            <w:r w:rsidRPr="00EE753B">
              <w:rPr>
                <w:sz w:val="22"/>
                <w:szCs w:val="22"/>
              </w:rPr>
              <w:t xml:space="preserve">Lentelė </w:t>
            </w:r>
            <w:r w:rsidRPr="00EE753B">
              <w:rPr>
                <w:sz w:val="22"/>
                <w:szCs w:val="22"/>
              </w:rPr>
              <w:fldChar w:fldCharType="begin"/>
            </w:r>
            <w:r w:rsidRPr="00EE753B">
              <w:rPr>
                <w:sz w:val="22"/>
                <w:szCs w:val="22"/>
              </w:rPr>
              <w:instrText xml:space="preserve"> SEQ Lentelė \* ARABIC </w:instrText>
            </w:r>
            <w:r w:rsidRPr="00EE753B">
              <w:rPr>
                <w:sz w:val="22"/>
                <w:szCs w:val="22"/>
              </w:rPr>
              <w:fldChar w:fldCharType="separate"/>
            </w:r>
            <w:r w:rsidR="004B4456" w:rsidRPr="00EE753B">
              <w:rPr>
                <w:noProof/>
                <w:sz w:val="22"/>
                <w:szCs w:val="22"/>
              </w:rPr>
              <w:t>1</w:t>
            </w:r>
            <w:r w:rsidRPr="00EE753B">
              <w:rPr>
                <w:noProof/>
                <w:sz w:val="22"/>
                <w:szCs w:val="22"/>
              </w:rPr>
              <w:fldChar w:fldCharType="end"/>
            </w:r>
            <w:r w:rsidRPr="00EE753B">
              <w:rPr>
                <w:sz w:val="22"/>
                <w:szCs w:val="22"/>
              </w:rPr>
              <w:t>. Pažangos prie</w:t>
            </w:r>
            <w:r w:rsidR="00C10F15" w:rsidRPr="00EE753B">
              <w:rPr>
                <w:sz w:val="22"/>
                <w:szCs w:val="22"/>
              </w:rPr>
              <w:t>monėje planuojamų veiklų sąrašas</w:t>
            </w:r>
          </w:p>
          <w:tbl>
            <w:tblPr>
              <w:tblStyle w:val="TableGrid"/>
              <w:tblW w:w="4988" w:type="pct"/>
              <w:tblCellMar>
                <w:left w:w="28" w:type="dxa"/>
                <w:right w:w="28" w:type="dxa"/>
              </w:tblCellMar>
              <w:tblLook w:val="04A0" w:firstRow="1" w:lastRow="0" w:firstColumn="1" w:lastColumn="0" w:noHBand="0" w:noVBand="1"/>
            </w:tblPr>
            <w:tblGrid>
              <w:gridCol w:w="3851"/>
              <w:gridCol w:w="5528"/>
            </w:tblGrid>
            <w:tr w:rsidR="007B2475" w:rsidRPr="00EE753B" w14:paraId="3C244840" w14:textId="77777777" w:rsidTr="00953208">
              <w:trPr>
                <w:tblHeader/>
              </w:trPr>
              <w:tc>
                <w:tcPr>
                  <w:tcW w:w="2053" w:type="pct"/>
                  <w:shd w:val="clear" w:color="auto" w:fill="D7E6C8"/>
                </w:tcPr>
                <w:p w14:paraId="7CD8C347" w14:textId="3476AE43" w:rsidR="007B2475" w:rsidRPr="00EE753B" w:rsidRDefault="007B2475" w:rsidP="00036B4B">
                  <w:pPr>
                    <w:jc w:val="center"/>
                    <w:rPr>
                      <w:rFonts w:ascii="Arial" w:hAnsi="Arial" w:cs="Arial"/>
                      <w:b/>
                      <w:sz w:val="16"/>
                      <w:szCs w:val="16"/>
                    </w:rPr>
                  </w:pPr>
                  <w:r w:rsidRPr="00EE753B">
                    <w:rPr>
                      <w:rFonts w:ascii="Arial" w:hAnsi="Arial" w:cs="Arial"/>
                      <w:b/>
                      <w:sz w:val="16"/>
                      <w:szCs w:val="16"/>
                    </w:rPr>
                    <w:t>2021</w:t>
                  </w:r>
                  <w:r w:rsidR="00D83E32" w:rsidRPr="00EE753B">
                    <w:rPr>
                      <w:rFonts w:ascii="Arial" w:hAnsi="Arial" w:cs="Arial"/>
                      <w:b/>
                      <w:sz w:val="16"/>
                      <w:szCs w:val="16"/>
                    </w:rPr>
                    <w:t>–</w:t>
                  </w:r>
                  <w:r w:rsidRPr="00EE753B">
                    <w:rPr>
                      <w:rFonts w:ascii="Arial" w:hAnsi="Arial" w:cs="Arial"/>
                      <w:b/>
                      <w:sz w:val="16"/>
                      <w:szCs w:val="16"/>
                    </w:rPr>
                    <w:t>2027 m.</w:t>
                  </w:r>
                  <w:r w:rsidR="00474F19" w:rsidRPr="00EE753B">
                    <w:rPr>
                      <w:rFonts w:ascii="Arial" w:hAnsi="Arial" w:cs="Arial"/>
                      <w:b/>
                      <w:sz w:val="16"/>
                      <w:szCs w:val="16"/>
                    </w:rPr>
                    <w:t xml:space="preserve"> </w:t>
                  </w:r>
                  <w:r w:rsidRPr="00EE753B">
                    <w:rPr>
                      <w:rFonts w:ascii="Arial" w:hAnsi="Arial" w:cs="Arial"/>
                      <w:b/>
                      <w:sz w:val="16"/>
                      <w:szCs w:val="16"/>
                    </w:rPr>
                    <w:t>IP veikla</w:t>
                  </w:r>
                </w:p>
              </w:tc>
              <w:tc>
                <w:tcPr>
                  <w:tcW w:w="2947" w:type="pct"/>
                  <w:shd w:val="clear" w:color="auto" w:fill="D7E6C8"/>
                </w:tcPr>
                <w:p w14:paraId="7F46046A" w14:textId="77777777" w:rsidR="007B2475" w:rsidRPr="00EE753B" w:rsidRDefault="007B2475" w:rsidP="00036B4B">
                  <w:pPr>
                    <w:jc w:val="center"/>
                    <w:rPr>
                      <w:rFonts w:ascii="Arial" w:hAnsi="Arial" w:cs="Arial"/>
                      <w:b/>
                      <w:sz w:val="16"/>
                      <w:szCs w:val="16"/>
                    </w:rPr>
                  </w:pPr>
                  <w:r w:rsidRPr="00EE753B">
                    <w:rPr>
                      <w:rFonts w:ascii="Arial" w:hAnsi="Arial" w:cs="Arial"/>
                      <w:b/>
                      <w:sz w:val="16"/>
                      <w:szCs w:val="16"/>
                    </w:rPr>
                    <w:t>Konkrečios šioje pažangos priemonėje identifikuotos investicinės veiklos</w:t>
                  </w:r>
                </w:p>
              </w:tc>
            </w:tr>
            <w:tr w:rsidR="007B2475" w:rsidRPr="00EE753B" w14:paraId="21F8958D" w14:textId="77777777" w:rsidTr="004421AB">
              <w:tc>
                <w:tcPr>
                  <w:tcW w:w="2053" w:type="pct"/>
                  <w:shd w:val="clear" w:color="auto" w:fill="auto"/>
                  <w:vAlign w:val="center"/>
                </w:tcPr>
                <w:p w14:paraId="56F48EE6" w14:textId="1E33EED7" w:rsidR="007B2475" w:rsidRPr="00EE753B" w:rsidRDefault="007B2475" w:rsidP="00036B4B">
                  <w:pPr>
                    <w:jc w:val="center"/>
                    <w:rPr>
                      <w:rFonts w:ascii="Arial" w:hAnsi="Arial" w:cs="Arial"/>
                      <w:sz w:val="16"/>
                      <w:szCs w:val="16"/>
                    </w:rPr>
                  </w:pPr>
                  <w:r w:rsidRPr="00EE753B">
                    <w:rPr>
                      <w:rFonts w:ascii="Arial" w:hAnsi="Arial" w:cs="Arial"/>
                      <w:b/>
                      <w:bCs/>
                      <w:sz w:val="16"/>
                      <w:szCs w:val="16"/>
                    </w:rPr>
                    <w:t>Skatinti CŠT tinklų perėjimą prie 4</w:t>
                  </w:r>
                  <w:r w:rsidR="00C12E3C" w:rsidRPr="00EE753B">
                    <w:rPr>
                      <w:rFonts w:ascii="Arial" w:hAnsi="Arial" w:cs="Arial"/>
                      <w:b/>
                      <w:bCs/>
                      <w:sz w:val="16"/>
                      <w:szCs w:val="16"/>
                    </w:rPr>
                    <w:t>-os</w:t>
                  </w:r>
                  <w:r w:rsidRPr="00EE753B">
                    <w:rPr>
                      <w:rFonts w:ascii="Arial" w:hAnsi="Arial" w:cs="Arial"/>
                      <w:b/>
                      <w:bCs/>
                      <w:sz w:val="16"/>
                      <w:szCs w:val="16"/>
                    </w:rPr>
                    <w:t xml:space="preserve"> kartos šilumos tiekimo sistemų</w:t>
                  </w:r>
                  <w:r w:rsidRPr="00EE753B">
                    <w:rPr>
                      <w:rFonts w:ascii="Arial" w:hAnsi="Arial" w:cs="Arial"/>
                      <w:sz w:val="16"/>
                      <w:szCs w:val="16"/>
                    </w:rPr>
                    <w:t xml:space="preserve"> </w:t>
                  </w:r>
                </w:p>
              </w:tc>
              <w:tc>
                <w:tcPr>
                  <w:tcW w:w="2947" w:type="pct"/>
                  <w:shd w:val="clear" w:color="auto" w:fill="auto"/>
                  <w:vAlign w:val="center"/>
                </w:tcPr>
                <w:p w14:paraId="26B20A1D" w14:textId="48080294" w:rsidR="007B2475" w:rsidRPr="00EE753B" w:rsidRDefault="007B2475" w:rsidP="00EC6F43">
                  <w:pPr>
                    <w:pStyle w:val="ListParagraph"/>
                    <w:numPr>
                      <w:ilvl w:val="0"/>
                      <w:numId w:val="40"/>
                    </w:numPr>
                    <w:jc w:val="center"/>
                    <w:rPr>
                      <w:rFonts w:ascii="Arial" w:hAnsi="Arial" w:cs="Arial"/>
                      <w:b/>
                      <w:bCs/>
                      <w:sz w:val="16"/>
                      <w:szCs w:val="16"/>
                    </w:rPr>
                  </w:pPr>
                  <w:r w:rsidRPr="00EE753B">
                    <w:rPr>
                      <w:rFonts w:ascii="Arial" w:hAnsi="Arial" w:cs="Arial"/>
                      <w:b/>
                      <w:bCs/>
                      <w:sz w:val="16"/>
                      <w:szCs w:val="16"/>
                    </w:rPr>
                    <w:t>Centralizuoto šilumos tiekimo tinklo pritaikymas 4</w:t>
                  </w:r>
                  <w:r w:rsidR="00C12E3C" w:rsidRPr="00EE753B">
                    <w:rPr>
                      <w:rFonts w:ascii="Arial" w:hAnsi="Arial" w:cs="Arial"/>
                      <w:b/>
                      <w:bCs/>
                      <w:sz w:val="16"/>
                      <w:szCs w:val="16"/>
                    </w:rPr>
                    <w:t>-os</w:t>
                  </w:r>
                  <w:r w:rsidRPr="00EE753B">
                    <w:rPr>
                      <w:rFonts w:ascii="Arial" w:hAnsi="Arial" w:cs="Arial"/>
                      <w:b/>
                      <w:bCs/>
                      <w:sz w:val="16"/>
                      <w:szCs w:val="16"/>
                    </w:rPr>
                    <w:t xml:space="preserve"> kartos šilumos tiekimo sistemai visoje Lietuvoje</w:t>
                  </w:r>
                </w:p>
                <w:p w14:paraId="46A779CD" w14:textId="6885C2F1" w:rsidR="007B2475" w:rsidRPr="00EE753B" w:rsidRDefault="007B2475" w:rsidP="00EC6F43">
                  <w:pPr>
                    <w:pStyle w:val="ListParagraph"/>
                    <w:numPr>
                      <w:ilvl w:val="0"/>
                      <w:numId w:val="40"/>
                    </w:numPr>
                    <w:jc w:val="center"/>
                    <w:rPr>
                      <w:rFonts w:ascii="Arial" w:hAnsi="Arial" w:cs="Arial"/>
                      <w:sz w:val="16"/>
                      <w:szCs w:val="16"/>
                    </w:rPr>
                  </w:pPr>
                  <w:r w:rsidRPr="00EE753B">
                    <w:rPr>
                      <w:rFonts w:ascii="Arial" w:hAnsi="Arial" w:cs="Arial"/>
                      <w:b/>
                      <w:bCs/>
                      <w:sz w:val="16"/>
                      <w:szCs w:val="16"/>
                    </w:rPr>
                    <w:t>Centralizuoto šilumos tiekimo tinklo pritaikymas 4</w:t>
                  </w:r>
                  <w:r w:rsidR="00C12E3C" w:rsidRPr="00EE753B">
                    <w:rPr>
                      <w:rFonts w:ascii="Arial" w:hAnsi="Arial" w:cs="Arial"/>
                      <w:b/>
                      <w:bCs/>
                      <w:sz w:val="16"/>
                      <w:szCs w:val="16"/>
                    </w:rPr>
                    <w:t>-os</w:t>
                  </w:r>
                  <w:r w:rsidRPr="00EE753B">
                    <w:rPr>
                      <w:rFonts w:ascii="Arial" w:hAnsi="Arial" w:cs="Arial"/>
                      <w:b/>
                      <w:bCs/>
                      <w:sz w:val="16"/>
                      <w:szCs w:val="16"/>
                    </w:rPr>
                    <w:t xml:space="preserve"> kartos šilumos tiekimo sistemai Vidurio ir Vakarų Lietuvoje</w:t>
                  </w:r>
                </w:p>
              </w:tc>
            </w:tr>
            <w:tr w:rsidR="007B2475" w:rsidRPr="00EE753B" w14:paraId="5815A24A" w14:textId="77777777" w:rsidTr="004421AB">
              <w:tc>
                <w:tcPr>
                  <w:tcW w:w="2053" w:type="pct"/>
                  <w:shd w:val="clear" w:color="auto" w:fill="auto"/>
                  <w:vAlign w:val="center"/>
                </w:tcPr>
                <w:p w14:paraId="588E0129" w14:textId="77777777" w:rsidR="007B2475" w:rsidRPr="00EE753B" w:rsidRDefault="007B2475" w:rsidP="00036B4B">
                  <w:pPr>
                    <w:jc w:val="center"/>
                    <w:rPr>
                      <w:rFonts w:ascii="Arial" w:hAnsi="Arial" w:cs="Arial"/>
                      <w:sz w:val="16"/>
                      <w:szCs w:val="16"/>
                    </w:rPr>
                  </w:pPr>
                  <w:r w:rsidRPr="00EE753B">
                    <w:rPr>
                      <w:rFonts w:ascii="Arial" w:hAnsi="Arial" w:cs="Arial"/>
                      <w:sz w:val="16"/>
                      <w:szCs w:val="16"/>
                    </w:rPr>
                    <w:t xml:space="preserve">Investuoti į centralizuoto energijos tiekimo vamzdynų sistemų modernizavimą ir plėtrą, diegiant žemesnės temperatūros režimus, technologijas (pvz.: cirkuliacinius siurblius, šilumos transformavimo punktus, šilumokaičius, vamzdynus skirtus </w:t>
                  </w:r>
                  <w:proofErr w:type="spellStart"/>
                  <w:r w:rsidRPr="00EE753B">
                    <w:rPr>
                      <w:rFonts w:ascii="Arial" w:hAnsi="Arial" w:cs="Arial"/>
                      <w:sz w:val="16"/>
                      <w:szCs w:val="16"/>
                    </w:rPr>
                    <w:t>žematemperatūriui</w:t>
                  </w:r>
                  <w:proofErr w:type="spellEnd"/>
                  <w:r w:rsidRPr="00EE753B">
                    <w:rPr>
                      <w:rFonts w:ascii="Arial" w:hAnsi="Arial" w:cs="Arial"/>
                      <w:sz w:val="16"/>
                      <w:szCs w:val="16"/>
                    </w:rPr>
                    <w:t xml:space="preserve"> režimui, matavimo prietaisus ir kt.)</w:t>
                  </w:r>
                </w:p>
              </w:tc>
              <w:tc>
                <w:tcPr>
                  <w:tcW w:w="2947" w:type="pct"/>
                  <w:shd w:val="clear" w:color="auto" w:fill="auto"/>
                  <w:vAlign w:val="center"/>
                </w:tcPr>
                <w:p w14:paraId="580BCF1E" w14:textId="0187E277" w:rsidR="007B2475" w:rsidRPr="00EE753B" w:rsidRDefault="007B2475" w:rsidP="00036B4B">
                  <w:pPr>
                    <w:jc w:val="center"/>
                    <w:rPr>
                      <w:rFonts w:ascii="Arial" w:hAnsi="Arial" w:cs="Arial"/>
                      <w:sz w:val="16"/>
                      <w:szCs w:val="16"/>
                    </w:rPr>
                  </w:pPr>
                  <w:r w:rsidRPr="00EE753B">
                    <w:rPr>
                      <w:rFonts w:ascii="Arial" w:hAnsi="Arial" w:cs="Arial"/>
                      <w:sz w:val="16"/>
                      <w:szCs w:val="16"/>
                    </w:rPr>
                    <w:t xml:space="preserve">Atskira </w:t>
                  </w:r>
                  <w:proofErr w:type="spellStart"/>
                  <w:r w:rsidRPr="00EE753B">
                    <w:rPr>
                      <w:rFonts w:ascii="Arial" w:hAnsi="Arial" w:cs="Arial"/>
                      <w:sz w:val="16"/>
                      <w:szCs w:val="16"/>
                    </w:rPr>
                    <w:t>poveiklė</w:t>
                  </w:r>
                  <w:proofErr w:type="spellEnd"/>
                  <w:r w:rsidRPr="00EE753B">
                    <w:rPr>
                      <w:rFonts w:ascii="Arial" w:hAnsi="Arial" w:cs="Arial"/>
                      <w:sz w:val="16"/>
                      <w:szCs w:val="16"/>
                    </w:rPr>
                    <w:t xml:space="preserve"> neišskiriama, kadangi kiekvienos savivaldybės CŠT tinklo pritaikymui gali būti reikalingi skirtingi techniniai sprendimai. Sprendimų optimalumas grindžiamas kiekvieno šilumos tiekėjo pateiktame verslo plane. </w:t>
                  </w:r>
                </w:p>
              </w:tc>
            </w:tr>
            <w:tr w:rsidR="007B2475" w:rsidRPr="00EE753B" w14:paraId="12F27DB0" w14:textId="77777777" w:rsidTr="004421AB">
              <w:trPr>
                <w:trHeight w:val="1383"/>
              </w:trPr>
              <w:tc>
                <w:tcPr>
                  <w:tcW w:w="2053" w:type="pct"/>
                  <w:shd w:val="clear" w:color="auto" w:fill="auto"/>
                  <w:vAlign w:val="center"/>
                </w:tcPr>
                <w:p w14:paraId="539FE0D1" w14:textId="10C2ECAF" w:rsidR="007B2475" w:rsidRPr="00EE753B" w:rsidRDefault="007B2475" w:rsidP="007256B0">
                  <w:pPr>
                    <w:jc w:val="center"/>
                    <w:rPr>
                      <w:rFonts w:ascii="Arial" w:hAnsi="Arial" w:cs="Arial"/>
                      <w:sz w:val="16"/>
                      <w:szCs w:val="16"/>
                    </w:rPr>
                  </w:pPr>
                  <w:r w:rsidRPr="00EE753B">
                    <w:rPr>
                      <w:rFonts w:ascii="Arial" w:hAnsi="Arial" w:cs="Arial"/>
                      <w:b/>
                      <w:bCs/>
                      <w:sz w:val="16"/>
                      <w:szCs w:val="16"/>
                    </w:rPr>
                    <w:t>Modernizuoti pastatų įvadinės šilumos apskaitos prietaisus bei įrengti duomenų nuotolinio nuskaitymo sistemas</w:t>
                  </w:r>
                </w:p>
              </w:tc>
              <w:tc>
                <w:tcPr>
                  <w:tcW w:w="2947" w:type="pct"/>
                  <w:shd w:val="clear" w:color="auto" w:fill="auto"/>
                  <w:vAlign w:val="center"/>
                </w:tcPr>
                <w:p w14:paraId="05A0D7D7" w14:textId="7657B11E" w:rsidR="007B2475" w:rsidRPr="00EE753B" w:rsidRDefault="007B2475" w:rsidP="008678BB">
                  <w:pPr>
                    <w:pStyle w:val="ListParagraph"/>
                    <w:numPr>
                      <w:ilvl w:val="0"/>
                      <w:numId w:val="40"/>
                    </w:numPr>
                    <w:ind w:left="532" w:hanging="172"/>
                    <w:contextualSpacing w:val="0"/>
                    <w:jc w:val="center"/>
                    <w:rPr>
                      <w:rFonts w:ascii="Arial" w:hAnsi="Arial" w:cs="Arial"/>
                      <w:b/>
                      <w:bCs/>
                      <w:sz w:val="16"/>
                      <w:szCs w:val="16"/>
                    </w:rPr>
                  </w:pPr>
                  <w:r w:rsidRPr="00EE753B">
                    <w:rPr>
                      <w:rFonts w:ascii="Arial" w:hAnsi="Arial" w:cs="Arial"/>
                      <w:b/>
                      <w:bCs/>
                      <w:sz w:val="16"/>
                      <w:szCs w:val="16"/>
                    </w:rPr>
                    <w:t>Šilumos (vėsumos) apskaitos prietaisų su nuotolinio duomenų nuskaitymo funkcija įrengimas visoje Lietuvoje</w:t>
                  </w:r>
                </w:p>
                <w:p w14:paraId="5D334532" w14:textId="4E8E4080" w:rsidR="007B2475" w:rsidRPr="00EE753B" w:rsidRDefault="007B2475" w:rsidP="008678BB">
                  <w:pPr>
                    <w:pStyle w:val="ListParagraph"/>
                    <w:numPr>
                      <w:ilvl w:val="0"/>
                      <w:numId w:val="40"/>
                    </w:numPr>
                    <w:ind w:left="532" w:hanging="172"/>
                    <w:contextualSpacing w:val="0"/>
                    <w:jc w:val="center"/>
                    <w:rPr>
                      <w:rFonts w:ascii="Arial" w:hAnsi="Arial" w:cs="Arial"/>
                      <w:sz w:val="16"/>
                      <w:szCs w:val="16"/>
                    </w:rPr>
                  </w:pPr>
                  <w:r w:rsidRPr="00EE753B">
                    <w:rPr>
                      <w:rFonts w:ascii="Arial" w:hAnsi="Arial" w:cs="Arial"/>
                      <w:b/>
                      <w:bCs/>
                      <w:sz w:val="16"/>
                      <w:szCs w:val="16"/>
                    </w:rPr>
                    <w:t>Šilumos (vėsumos) apskaitos prietaisų su nuotolinio duomenų nuskaitymo funkcija įrengimas Vidurio ir Vakarų Lietuvoje</w:t>
                  </w:r>
                </w:p>
              </w:tc>
            </w:tr>
          </w:tbl>
          <w:p w14:paraId="54308533" w14:textId="6FEDD49D" w:rsidR="008D2A7A" w:rsidRPr="00EE753B" w:rsidRDefault="00036B4B" w:rsidP="0084597D">
            <w:pPr>
              <w:spacing w:after="100"/>
              <w:jc w:val="both"/>
              <w:rPr>
                <w:i/>
                <w:iCs/>
                <w:sz w:val="18"/>
                <w:szCs w:val="18"/>
              </w:rPr>
            </w:pPr>
            <w:r w:rsidRPr="00EE753B">
              <w:rPr>
                <w:i/>
                <w:iCs/>
                <w:sz w:val="18"/>
                <w:szCs w:val="18"/>
              </w:rPr>
              <w:t>Šaltinis: sudaryta autorių</w:t>
            </w:r>
          </w:p>
          <w:p w14:paraId="4414005D" w14:textId="5D254516" w:rsidR="00AC55C9" w:rsidRPr="00EE753B" w:rsidRDefault="00402515" w:rsidP="00AB1B5C">
            <w:pPr>
              <w:spacing w:after="100"/>
              <w:jc w:val="both"/>
              <w:rPr>
                <w:sz w:val="22"/>
                <w:szCs w:val="22"/>
              </w:rPr>
            </w:pPr>
            <w:r w:rsidRPr="00EE753B">
              <w:rPr>
                <w:sz w:val="22"/>
                <w:szCs w:val="22"/>
              </w:rPr>
              <w:t xml:space="preserve">Veiklų vykdytojai ir jų skaičius </w:t>
            </w:r>
            <w:r w:rsidR="00AC55C9" w:rsidRPr="00EE753B">
              <w:rPr>
                <w:sz w:val="22"/>
                <w:szCs w:val="22"/>
              </w:rPr>
              <w:t>nustatyti remia</w:t>
            </w:r>
            <w:r w:rsidR="00AB1B5C" w:rsidRPr="00EE753B">
              <w:rPr>
                <w:sz w:val="22"/>
                <w:szCs w:val="22"/>
              </w:rPr>
              <w:t>ntis</w:t>
            </w:r>
            <w:r w:rsidR="00AC55C9" w:rsidRPr="00EE753B">
              <w:rPr>
                <w:sz w:val="22"/>
                <w:szCs w:val="22"/>
              </w:rPr>
              <w:t xml:space="preserve"> </w:t>
            </w:r>
            <w:r w:rsidR="00AB1B5C" w:rsidRPr="00EE753B">
              <w:rPr>
                <w:sz w:val="22"/>
                <w:szCs w:val="22"/>
              </w:rPr>
              <w:t xml:space="preserve">LŠTA duomenimis. </w:t>
            </w:r>
          </w:p>
          <w:p w14:paraId="1AF2CE4F" w14:textId="58FCAAFF" w:rsidR="008D2A7A" w:rsidRPr="00EE753B" w:rsidRDefault="008D2A7A" w:rsidP="0084597D">
            <w:pPr>
              <w:spacing w:after="100"/>
              <w:jc w:val="both"/>
              <w:rPr>
                <w:sz w:val="22"/>
                <w:szCs w:val="22"/>
              </w:rPr>
            </w:pPr>
          </w:p>
          <w:p w14:paraId="501776AC" w14:textId="416866D6" w:rsidR="008D2A7A" w:rsidRPr="00EE753B" w:rsidRDefault="008D2A7A" w:rsidP="008D2A7A">
            <w:pPr>
              <w:pStyle w:val="Caption"/>
              <w:rPr>
                <w:b/>
                <w:bCs/>
                <w:sz w:val="22"/>
                <w:szCs w:val="22"/>
              </w:rPr>
            </w:pPr>
            <w:r w:rsidRPr="00EE753B">
              <w:rPr>
                <w:sz w:val="22"/>
                <w:szCs w:val="22"/>
              </w:rPr>
              <w:t xml:space="preserve">Lentelė </w:t>
            </w:r>
            <w:r w:rsidRPr="00EE753B">
              <w:rPr>
                <w:sz w:val="22"/>
                <w:szCs w:val="22"/>
              </w:rPr>
              <w:fldChar w:fldCharType="begin"/>
            </w:r>
            <w:r w:rsidRPr="00EE753B">
              <w:rPr>
                <w:sz w:val="22"/>
                <w:szCs w:val="22"/>
              </w:rPr>
              <w:instrText xml:space="preserve"> SEQ Lentelė \* ARABIC </w:instrText>
            </w:r>
            <w:r w:rsidRPr="00EE753B">
              <w:rPr>
                <w:sz w:val="22"/>
                <w:szCs w:val="22"/>
              </w:rPr>
              <w:fldChar w:fldCharType="separate"/>
            </w:r>
            <w:r w:rsidR="004B4456" w:rsidRPr="00EE753B">
              <w:rPr>
                <w:noProof/>
                <w:sz w:val="22"/>
                <w:szCs w:val="22"/>
              </w:rPr>
              <w:t>2</w:t>
            </w:r>
            <w:r w:rsidRPr="00EE753B">
              <w:rPr>
                <w:noProof/>
                <w:sz w:val="22"/>
                <w:szCs w:val="22"/>
              </w:rPr>
              <w:fldChar w:fldCharType="end"/>
            </w:r>
            <w:r w:rsidRPr="00EE753B">
              <w:rPr>
                <w:sz w:val="22"/>
                <w:szCs w:val="22"/>
              </w:rPr>
              <w:t>. Pažangos priemonė</w:t>
            </w:r>
            <w:r w:rsidR="00036B4B" w:rsidRPr="00EE753B">
              <w:rPr>
                <w:sz w:val="22"/>
                <w:szCs w:val="22"/>
              </w:rPr>
              <w:t>s</w:t>
            </w:r>
            <w:r w:rsidRPr="00EE753B">
              <w:rPr>
                <w:sz w:val="22"/>
                <w:szCs w:val="22"/>
              </w:rPr>
              <w:t xml:space="preserve"> </w:t>
            </w:r>
            <w:r w:rsidR="00036B4B" w:rsidRPr="00EE753B">
              <w:rPr>
                <w:sz w:val="22"/>
                <w:szCs w:val="22"/>
              </w:rPr>
              <w:t>v</w:t>
            </w:r>
            <w:r w:rsidRPr="00EE753B">
              <w:rPr>
                <w:sz w:val="22"/>
                <w:szCs w:val="22"/>
              </w:rPr>
              <w:t xml:space="preserve">eiklų </w:t>
            </w:r>
            <w:r w:rsidR="0065716E" w:rsidRPr="00EE753B">
              <w:rPr>
                <w:sz w:val="22"/>
                <w:szCs w:val="22"/>
              </w:rPr>
              <w:t>vykdytojai</w:t>
            </w:r>
          </w:p>
          <w:tbl>
            <w:tblPr>
              <w:tblStyle w:val="TableGrid"/>
              <w:tblW w:w="5000" w:type="pct"/>
              <w:tblCellMar>
                <w:left w:w="28" w:type="dxa"/>
                <w:right w:w="28" w:type="dxa"/>
              </w:tblCellMar>
              <w:tblLook w:val="04A0" w:firstRow="1" w:lastRow="0" w:firstColumn="1" w:lastColumn="0" w:noHBand="0" w:noVBand="1"/>
            </w:tblPr>
            <w:tblGrid>
              <w:gridCol w:w="4554"/>
              <w:gridCol w:w="3545"/>
              <w:gridCol w:w="1303"/>
            </w:tblGrid>
            <w:tr w:rsidR="00F471A0" w:rsidRPr="00EE753B" w14:paraId="4581F6D2" w14:textId="305DB736" w:rsidTr="00F471A0">
              <w:trPr>
                <w:tblHeader/>
              </w:trPr>
              <w:tc>
                <w:tcPr>
                  <w:tcW w:w="2422" w:type="pct"/>
                  <w:shd w:val="clear" w:color="auto" w:fill="D7E6C8"/>
                </w:tcPr>
                <w:p w14:paraId="62FE013A" w14:textId="77777777" w:rsidR="008D50D0" w:rsidRPr="00EE753B" w:rsidRDefault="008D50D0" w:rsidP="008D50D0">
                  <w:pPr>
                    <w:jc w:val="center"/>
                    <w:rPr>
                      <w:rFonts w:ascii="Arial" w:hAnsi="Arial" w:cs="Arial"/>
                      <w:b/>
                      <w:sz w:val="16"/>
                      <w:szCs w:val="16"/>
                    </w:rPr>
                  </w:pPr>
                  <w:r w:rsidRPr="00EE753B">
                    <w:rPr>
                      <w:rFonts w:ascii="Arial" w:hAnsi="Arial" w:cs="Arial"/>
                      <w:b/>
                      <w:sz w:val="16"/>
                      <w:szCs w:val="16"/>
                    </w:rPr>
                    <w:t>Konkrečios šioje pažangos priemonėje identifikuotos investicinės veiklos</w:t>
                  </w:r>
                </w:p>
              </w:tc>
              <w:tc>
                <w:tcPr>
                  <w:tcW w:w="1885" w:type="pct"/>
                  <w:shd w:val="clear" w:color="auto" w:fill="D7E6C8"/>
                </w:tcPr>
                <w:p w14:paraId="42520A30" w14:textId="493A1570" w:rsidR="008D50D0" w:rsidRPr="00EE753B" w:rsidRDefault="0065716E" w:rsidP="008D50D0">
                  <w:pPr>
                    <w:jc w:val="center"/>
                    <w:rPr>
                      <w:rFonts w:ascii="Arial" w:hAnsi="Arial" w:cs="Arial"/>
                      <w:b/>
                      <w:sz w:val="16"/>
                      <w:szCs w:val="16"/>
                    </w:rPr>
                  </w:pPr>
                  <w:r w:rsidRPr="00EE753B">
                    <w:rPr>
                      <w:rFonts w:ascii="Arial" w:hAnsi="Arial" w:cs="Arial"/>
                      <w:b/>
                      <w:sz w:val="16"/>
                      <w:szCs w:val="16"/>
                    </w:rPr>
                    <w:t>Veiklos vykdytoj</w:t>
                  </w:r>
                  <w:r w:rsidR="003D0550" w:rsidRPr="00EE753B">
                    <w:rPr>
                      <w:rFonts w:ascii="Arial" w:hAnsi="Arial" w:cs="Arial"/>
                      <w:b/>
                      <w:sz w:val="16"/>
                      <w:szCs w:val="16"/>
                    </w:rPr>
                    <w:t>ų</w:t>
                  </w:r>
                  <w:r w:rsidRPr="00EE753B">
                    <w:rPr>
                      <w:rFonts w:ascii="Arial" w:hAnsi="Arial" w:cs="Arial"/>
                      <w:b/>
                      <w:sz w:val="16"/>
                      <w:szCs w:val="16"/>
                    </w:rPr>
                    <w:t xml:space="preserve"> tipa</w:t>
                  </w:r>
                  <w:r w:rsidR="003D0550" w:rsidRPr="00EE753B">
                    <w:rPr>
                      <w:rFonts w:ascii="Arial" w:hAnsi="Arial" w:cs="Arial"/>
                      <w:b/>
                      <w:sz w:val="16"/>
                      <w:szCs w:val="16"/>
                    </w:rPr>
                    <w:t>i</w:t>
                  </w:r>
                </w:p>
              </w:tc>
              <w:tc>
                <w:tcPr>
                  <w:tcW w:w="693" w:type="pct"/>
                  <w:shd w:val="clear" w:color="auto" w:fill="D7E6C8"/>
                </w:tcPr>
                <w:p w14:paraId="164A4DF7" w14:textId="64982D21" w:rsidR="008D50D0" w:rsidRPr="00EE753B" w:rsidRDefault="0065716E" w:rsidP="008D50D0">
                  <w:pPr>
                    <w:jc w:val="center"/>
                    <w:rPr>
                      <w:rFonts w:ascii="Arial" w:hAnsi="Arial" w:cs="Arial"/>
                      <w:b/>
                      <w:sz w:val="16"/>
                      <w:szCs w:val="16"/>
                    </w:rPr>
                  </w:pPr>
                  <w:r w:rsidRPr="00EE753B">
                    <w:rPr>
                      <w:rFonts w:ascii="Arial" w:hAnsi="Arial" w:cs="Arial"/>
                      <w:b/>
                      <w:sz w:val="16"/>
                      <w:szCs w:val="16"/>
                    </w:rPr>
                    <w:t>Potencialių veikl</w:t>
                  </w:r>
                  <w:r w:rsidR="003D0550" w:rsidRPr="00EE753B">
                    <w:rPr>
                      <w:rFonts w:ascii="Arial" w:hAnsi="Arial" w:cs="Arial"/>
                      <w:b/>
                      <w:sz w:val="16"/>
                      <w:szCs w:val="16"/>
                    </w:rPr>
                    <w:t>os vykdytojų skaičius</w:t>
                  </w:r>
                </w:p>
              </w:tc>
            </w:tr>
            <w:tr w:rsidR="008D50D0" w:rsidRPr="00EE753B" w14:paraId="2DCAC618" w14:textId="0C783F5D" w:rsidTr="00F471A0">
              <w:tc>
                <w:tcPr>
                  <w:tcW w:w="2422" w:type="pct"/>
                  <w:shd w:val="clear" w:color="auto" w:fill="auto"/>
                </w:tcPr>
                <w:p w14:paraId="1458CD5B" w14:textId="6AB5DAB0" w:rsidR="008D50D0" w:rsidRPr="00EE753B" w:rsidRDefault="007B2475" w:rsidP="007B2475">
                  <w:pPr>
                    <w:pStyle w:val="ListParagraph"/>
                    <w:numPr>
                      <w:ilvl w:val="0"/>
                      <w:numId w:val="28"/>
                    </w:numPr>
                    <w:rPr>
                      <w:rFonts w:ascii="Arial" w:hAnsi="Arial" w:cs="Arial"/>
                      <w:sz w:val="16"/>
                      <w:szCs w:val="16"/>
                    </w:rPr>
                  </w:pPr>
                  <w:r w:rsidRPr="00EE753B">
                    <w:rPr>
                      <w:rFonts w:ascii="Arial" w:hAnsi="Arial" w:cs="Arial"/>
                      <w:sz w:val="16"/>
                      <w:szCs w:val="16"/>
                    </w:rPr>
                    <w:t>Centralizuoto šilumos tiekimo tinklo pritaikymas 4</w:t>
                  </w:r>
                  <w:r w:rsidR="00243028" w:rsidRPr="00EE753B">
                    <w:rPr>
                      <w:rFonts w:ascii="Arial" w:hAnsi="Arial" w:cs="Arial"/>
                      <w:sz w:val="16"/>
                      <w:szCs w:val="16"/>
                    </w:rPr>
                    <w:t>-os</w:t>
                  </w:r>
                  <w:r w:rsidRPr="00EE753B">
                    <w:rPr>
                      <w:rFonts w:ascii="Arial" w:hAnsi="Arial" w:cs="Arial"/>
                      <w:sz w:val="16"/>
                      <w:szCs w:val="16"/>
                    </w:rPr>
                    <w:t xml:space="preserve"> kartos šilumos tiekimo sistemai visoje Lietuvoje</w:t>
                  </w:r>
                </w:p>
              </w:tc>
              <w:tc>
                <w:tcPr>
                  <w:tcW w:w="1885" w:type="pct"/>
                  <w:shd w:val="clear" w:color="auto" w:fill="auto"/>
                </w:tcPr>
                <w:p w14:paraId="3C4529E3" w14:textId="5ED4670E" w:rsidR="008D50D0" w:rsidRPr="00EE753B" w:rsidRDefault="00CC78CC" w:rsidP="008D50D0">
                  <w:pPr>
                    <w:jc w:val="center"/>
                    <w:rPr>
                      <w:rFonts w:ascii="Arial" w:hAnsi="Arial" w:cs="Arial"/>
                      <w:sz w:val="16"/>
                      <w:szCs w:val="16"/>
                    </w:rPr>
                  </w:pPr>
                  <w:r w:rsidRPr="00EE753B">
                    <w:rPr>
                      <w:rFonts w:ascii="Arial" w:hAnsi="Arial" w:cs="Arial"/>
                      <w:sz w:val="16"/>
                      <w:szCs w:val="16"/>
                    </w:rPr>
                    <w:t>Šilumos tiekimo</w:t>
                  </w:r>
                  <w:r w:rsidR="003D7197" w:rsidRPr="00EE753B">
                    <w:rPr>
                      <w:rFonts w:ascii="Arial" w:hAnsi="Arial" w:cs="Arial"/>
                      <w:sz w:val="16"/>
                      <w:szCs w:val="16"/>
                    </w:rPr>
                    <w:t xml:space="preserve"> licenciją turinčios įmonės, veiklą vykdančios visoje Lietuvoje</w:t>
                  </w:r>
                </w:p>
              </w:tc>
              <w:tc>
                <w:tcPr>
                  <w:tcW w:w="693" w:type="pct"/>
                  <w:shd w:val="clear" w:color="auto" w:fill="auto"/>
                </w:tcPr>
                <w:p w14:paraId="7C238608" w14:textId="49C99FD4" w:rsidR="008D50D0" w:rsidRPr="00EE753B" w:rsidRDefault="00D615F7" w:rsidP="008D50D0">
                  <w:pPr>
                    <w:jc w:val="center"/>
                    <w:rPr>
                      <w:rFonts w:ascii="Arial" w:hAnsi="Arial" w:cs="Arial"/>
                      <w:sz w:val="16"/>
                      <w:szCs w:val="16"/>
                    </w:rPr>
                  </w:pPr>
                  <w:r w:rsidRPr="00EE753B">
                    <w:rPr>
                      <w:rFonts w:ascii="Arial" w:hAnsi="Arial" w:cs="Arial"/>
                      <w:sz w:val="16"/>
                      <w:szCs w:val="16"/>
                    </w:rPr>
                    <w:t>44</w:t>
                  </w:r>
                  <w:r w:rsidR="00BF37D2" w:rsidRPr="00EE753B">
                    <w:rPr>
                      <w:rFonts w:ascii="Arial" w:hAnsi="Arial" w:cs="Arial"/>
                      <w:sz w:val="16"/>
                      <w:szCs w:val="16"/>
                    </w:rPr>
                    <w:t xml:space="preserve"> </w:t>
                  </w:r>
                </w:p>
              </w:tc>
            </w:tr>
            <w:tr w:rsidR="008D50D0" w:rsidRPr="00EE753B" w14:paraId="4FC8EF4B" w14:textId="471A223F" w:rsidTr="00F471A0">
              <w:tc>
                <w:tcPr>
                  <w:tcW w:w="2422" w:type="pct"/>
                  <w:shd w:val="clear" w:color="auto" w:fill="auto"/>
                </w:tcPr>
                <w:p w14:paraId="0BEF5317" w14:textId="3AB725F5" w:rsidR="008D50D0" w:rsidRPr="00EE753B" w:rsidRDefault="007B2475" w:rsidP="008D50D0">
                  <w:pPr>
                    <w:pStyle w:val="ListParagraph"/>
                    <w:numPr>
                      <w:ilvl w:val="0"/>
                      <w:numId w:val="28"/>
                    </w:numPr>
                    <w:rPr>
                      <w:rFonts w:ascii="Arial" w:hAnsi="Arial" w:cs="Arial"/>
                      <w:sz w:val="16"/>
                      <w:szCs w:val="16"/>
                    </w:rPr>
                  </w:pPr>
                  <w:r w:rsidRPr="00EE753B">
                    <w:rPr>
                      <w:rFonts w:ascii="Arial" w:hAnsi="Arial" w:cs="Arial"/>
                      <w:sz w:val="16"/>
                      <w:szCs w:val="16"/>
                    </w:rPr>
                    <w:t>Centralizuoto šilumos tiekimo tinklo pritaikymas 4</w:t>
                  </w:r>
                  <w:r w:rsidR="00243028" w:rsidRPr="00EE753B">
                    <w:rPr>
                      <w:rFonts w:ascii="Arial" w:hAnsi="Arial" w:cs="Arial"/>
                      <w:sz w:val="16"/>
                      <w:szCs w:val="16"/>
                    </w:rPr>
                    <w:t>-os</w:t>
                  </w:r>
                  <w:r w:rsidRPr="00EE753B">
                    <w:rPr>
                      <w:rFonts w:ascii="Arial" w:hAnsi="Arial" w:cs="Arial"/>
                      <w:sz w:val="16"/>
                      <w:szCs w:val="16"/>
                    </w:rPr>
                    <w:t xml:space="preserve"> kartos šilumos tiekimo sistemai</w:t>
                  </w:r>
                  <w:r w:rsidRPr="00EE753B" w:rsidDel="007B2475">
                    <w:rPr>
                      <w:rFonts w:ascii="Arial" w:hAnsi="Arial" w:cs="Arial"/>
                      <w:sz w:val="16"/>
                      <w:szCs w:val="16"/>
                    </w:rPr>
                    <w:t xml:space="preserve"> </w:t>
                  </w:r>
                  <w:r w:rsidR="008D50D0" w:rsidRPr="00EE753B">
                    <w:rPr>
                      <w:rFonts w:ascii="Arial" w:hAnsi="Arial" w:cs="Arial"/>
                      <w:sz w:val="16"/>
                      <w:szCs w:val="16"/>
                    </w:rPr>
                    <w:t>Vidurio ir Vakarų Lietuvoje</w:t>
                  </w:r>
                </w:p>
              </w:tc>
              <w:tc>
                <w:tcPr>
                  <w:tcW w:w="1885" w:type="pct"/>
                  <w:shd w:val="clear" w:color="auto" w:fill="auto"/>
                </w:tcPr>
                <w:p w14:paraId="77533FF1" w14:textId="15F5677B" w:rsidR="008D50D0" w:rsidRPr="00EE753B" w:rsidRDefault="00CC78CC" w:rsidP="008D50D0">
                  <w:pPr>
                    <w:jc w:val="center"/>
                    <w:rPr>
                      <w:rFonts w:ascii="Arial" w:hAnsi="Arial" w:cs="Arial"/>
                      <w:sz w:val="16"/>
                      <w:szCs w:val="16"/>
                    </w:rPr>
                  </w:pPr>
                  <w:r w:rsidRPr="00EE753B">
                    <w:rPr>
                      <w:rFonts w:ascii="Arial" w:hAnsi="Arial" w:cs="Arial"/>
                      <w:sz w:val="16"/>
                      <w:szCs w:val="16"/>
                    </w:rPr>
                    <w:t>Šilumos tiekimo licenciją turinčios įmonės</w:t>
                  </w:r>
                  <w:r w:rsidR="003D7197" w:rsidRPr="00EE753B">
                    <w:rPr>
                      <w:rFonts w:ascii="Arial" w:hAnsi="Arial" w:cs="Arial"/>
                      <w:sz w:val="16"/>
                      <w:szCs w:val="16"/>
                    </w:rPr>
                    <w:t xml:space="preserve">, veiklą vykdančios </w:t>
                  </w:r>
                  <w:r w:rsidR="00582F23" w:rsidRPr="00EE753B">
                    <w:rPr>
                      <w:rFonts w:ascii="Arial" w:hAnsi="Arial" w:cs="Arial"/>
                      <w:sz w:val="16"/>
                      <w:szCs w:val="16"/>
                    </w:rPr>
                    <w:t>Vidurio ir Vakarų Lietuvo</w:t>
                  </w:r>
                  <w:r w:rsidR="003D7197" w:rsidRPr="00EE753B">
                    <w:rPr>
                      <w:rFonts w:ascii="Arial" w:hAnsi="Arial" w:cs="Arial"/>
                      <w:sz w:val="16"/>
                      <w:szCs w:val="16"/>
                    </w:rPr>
                    <w:t>je</w:t>
                  </w:r>
                </w:p>
              </w:tc>
              <w:tc>
                <w:tcPr>
                  <w:tcW w:w="693" w:type="pct"/>
                  <w:shd w:val="clear" w:color="auto" w:fill="auto"/>
                </w:tcPr>
                <w:p w14:paraId="50A0A40D" w14:textId="570566A6" w:rsidR="008D50D0" w:rsidRPr="00EE753B" w:rsidRDefault="00D615F7" w:rsidP="008D50D0">
                  <w:pPr>
                    <w:jc w:val="center"/>
                    <w:rPr>
                      <w:rFonts w:ascii="Arial" w:hAnsi="Arial" w:cs="Arial"/>
                      <w:sz w:val="16"/>
                      <w:szCs w:val="16"/>
                    </w:rPr>
                  </w:pPr>
                  <w:r w:rsidRPr="00EE753B">
                    <w:rPr>
                      <w:rFonts w:ascii="Arial" w:hAnsi="Arial" w:cs="Arial"/>
                      <w:sz w:val="16"/>
                      <w:szCs w:val="16"/>
                    </w:rPr>
                    <w:t>34</w:t>
                  </w:r>
                </w:p>
              </w:tc>
            </w:tr>
            <w:tr w:rsidR="003D0550" w:rsidRPr="00EE753B" w14:paraId="75675E55" w14:textId="49A0F168" w:rsidTr="00F471A0">
              <w:tc>
                <w:tcPr>
                  <w:tcW w:w="2422" w:type="pct"/>
                  <w:shd w:val="clear" w:color="auto" w:fill="auto"/>
                </w:tcPr>
                <w:p w14:paraId="57370929" w14:textId="7F84AC23" w:rsidR="003D0550" w:rsidRPr="00EE753B" w:rsidRDefault="003D0550" w:rsidP="003D0550">
                  <w:pPr>
                    <w:pStyle w:val="ListParagraph"/>
                    <w:numPr>
                      <w:ilvl w:val="0"/>
                      <w:numId w:val="28"/>
                    </w:numPr>
                    <w:rPr>
                      <w:rFonts w:ascii="Arial" w:hAnsi="Arial" w:cs="Arial"/>
                      <w:sz w:val="16"/>
                      <w:szCs w:val="16"/>
                    </w:rPr>
                  </w:pPr>
                  <w:r w:rsidRPr="00EE753B">
                    <w:rPr>
                      <w:rFonts w:ascii="Arial" w:hAnsi="Arial" w:cs="Arial"/>
                      <w:sz w:val="16"/>
                      <w:szCs w:val="16"/>
                    </w:rPr>
                    <w:t>Šilumos (vėsumos) apskaitos prietaisų su nuotolinio duomenų nuskaitymo funkcija įrengimas visoje Lietuvoje</w:t>
                  </w:r>
                </w:p>
              </w:tc>
              <w:tc>
                <w:tcPr>
                  <w:tcW w:w="1885" w:type="pct"/>
                  <w:shd w:val="clear" w:color="auto" w:fill="auto"/>
                </w:tcPr>
                <w:p w14:paraId="4C1200F4" w14:textId="62289DB3" w:rsidR="003D0550" w:rsidRPr="00EE753B" w:rsidRDefault="00CC78CC" w:rsidP="003D0550">
                  <w:pPr>
                    <w:jc w:val="center"/>
                    <w:rPr>
                      <w:rFonts w:ascii="Arial" w:hAnsi="Arial" w:cs="Arial"/>
                      <w:sz w:val="16"/>
                      <w:szCs w:val="16"/>
                    </w:rPr>
                  </w:pPr>
                  <w:r w:rsidRPr="00EE753B">
                    <w:rPr>
                      <w:rFonts w:ascii="Arial" w:hAnsi="Arial" w:cs="Arial"/>
                      <w:sz w:val="16"/>
                      <w:szCs w:val="16"/>
                    </w:rPr>
                    <w:t>Šilumos tiekimo licenciją turinčios įmonės</w:t>
                  </w:r>
                  <w:r w:rsidR="003D0550" w:rsidRPr="00EE753B">
                    <w:rPr>
                      <w:rFonts w:ascii="Arial" w:hAnsi="Arial" w:cs="Arial"/>
                      <w:sz w:val="16"/>
                      <w:szCs w:val="16"/>
                    </w:rPr>
                    <w:t>, veiklą vykdančios visoje Lietuvoje</w:t>
                  </w:r>
                </w:p>
              </w:tc>
              <w:tc>
                <w:tcPr>
                  <w:tcW w:w="693" w:type="pct"/>
                  <w:shd w:val="clear" w:color="auto" w:fill="auto"/>
                </w:tcPr>
                <w:p w14:paraId="3E5A0E3B" w14:textId="7D4C89D2" w:rsidR="003D0550" w:rsidRPr="00EE753B" w:rsidRDefault="00D615F7" w:rsidP="003D0550">
                  <w:pPr>
                    <w:jc w:val="center"/>
                    <w:rPr>
                      <w:rFonts w:ascii="Arial" w:hAnsi="Arial" w:cs="Arial"/>
                      <w:sz w:val="16"/>
                      <w:szCs w:val="16"/>
                    </w:rPr>
                  </w:pPr>
                  <w:r w:rsidRPr="00EE753B">
                    <w:rPr>
                      <w:rFonts w:ascii="Arial" w:hAnsi="Arial" w:cs="Arial"/>
                      <w:sz w:val="16"/>
                      <w:szCs w:val="16"/>
                    </w:rPr>
                    <w:t>44</w:t>
                  </w:r>
                </w:p>
              </w:tc>
            </w:tr>
            <w:tr w:rsidR="003D0550" w:rsidRPr="00EE753B" w14:paraId="6EF4099C" w14:textId="0D66025C" w:rsidTr="00F471A0">
              <w:tc>
                <w:tcPr>
                  <w:tcW w:w="2422" w:type="pct"/>
                  <w:shd w:val="clear" w:color="auto" w:fill="auto"/>
                </w:tcPr>
                <w:p w14:paraId="4B7610E9" w14:textId="087A96A7" w:rsidR="003D0550" w:rsidRPr="00EE753B" w:rsidRDefault="003D0550" w:rsidP="003D0550">
                  <w:pPr>
                    <w:pStyle w:val="ListParagraph"/>
                    <w:numPr>
                      <w:ilvl w:val="0"/>
                      <w:numId w:val="28"/>
                    </w:numPr>
                    <w:rPr>
                      <w:rFonts w:ascii="Arial" w:hAnsi="Arial" w:cs="Arial"/>
                      <w:sz w:val="16"/>
                      <w:szCs w:val="16"/>
                    </w:rPr>
                  </w:pPr>
                  <w:r w:rsidRPr="00EE753B">
                    <w:rPr>
                      <w:rFonts w:ascii="Arial" w:hAnsi="Arial" w:cs="Arial"/>
                      <w:sz w:val="16"/>
                      <w:szCs w:val="16"/>
                    </w:rPr>
                    <w:t>Šilumos (vėsumos) apskaitos prietaisų su nuotolinio duomenų nuskaitymo funkcija įrengimas Vidurio ir Vakarų Lietuvoje</w:t>
                  </w:r>
                </w:p>
              </w:tc>
              <w:tc>
                <w:tcPr>
                  <w:tcW w:w="1885" w:type="pct"/>
                  <w:shd w:val="clear" w:color="auto" w:fill="auto"/>
                </w:tcPr>
                <w:p w14:paraId="0B73A7AB" w14:textId="10287356" w:rsidR="003D0550" w:rsidRPr="00EE753B" w:rsidRDefault="00CC78CC" w:rsidP="003D0550">
                  <w:pPr>
                    <w:jc w:val="center"/>
                    <w:rPr>
                      <w:rFonts w:ascii="Arial" w:hAnsi="Arial" w:cs="Arial"/>
                      <w:sz w:val="16"/>
                      <w:szCs w:val="16"/>
                    </w:rPr>
                  </w:pPr>
                  <w:r w:rsidRPr="00EE753B">
                    <w:rPr>
                      <w:rFonts w:ascii="Arial" w:hAnsi="Arial" w:cs="Arial"/>
                      <w:sz w:val="16"/>
                      <w:szCs w:val="16"/>
                    </w:rPr>
                    <w:t>Šilumos tiekimo licenciją turinčios įmonės</w:t>
                  </w:r>
                  <w:r w:rsidR="003D0550" w:rsidRPr="00EE753B">
                    <w:rPr>
                      <w:rFonts w:ascii="Arial" w:hAnsi="Arial" w:cs="Arial"/>
                      <w:sz w:val="16"/>
                      <w:szCs w:val="16"/>
                    </w:rPr>
                    <w:t>, veiklą vykdančios Vidurio ir Vakarų Lietuvoje</w:t>
                  </w:r>
                </w:p>
              </w:tc>
              <w:tc>
                <w:tcPr>
                  <w:tcW w:w="693" w:type="pct"/>
                  <w:shd w:val="clear" w:color="auto" w:fill="auto"/>
                </w:tcPr>
                <w:p w14:paraId="1D753939" w14:textId="7C5049DA" w:rsidR="003D0550" w:rsidRPr="00EE753B" w:rsidRDefault="00D615F7" w:rsidP="003D0550">
                  <w:pPr>
                    <w:jc w:val="center"/>
                    <w:rPr>
                      <w:rFonts w:ascii="Arial" w:hAnsi="Arial" w:cs="Arial"/>
                      <w:sz w:val="16"/>
                      <w:szCs w:val="16"/>
                    </w:rPr>
                  </w:pPr>
                  <w:r w:rsidRPr="00EE753B">
                    <w:rPr>
                      <w:rFonts w:ascii="Arial" w:hAnsi="Arial" w:cs="Arial"/>
                      <w:sz w:val="16"/>
                      <w:szCs w:val="16"/>
                    </w:rPr>
                    <w:t>34</w:t>
                  </w:r>
                </w:p>
              </w:tc>
            </w:tr>
          </w:tbl>
          <w:p w14:paraId="7CBD11A6" w14:textId="31A5E780" w:rsidR="00AC55C9" w:rsidRPr="00EE753B" w:rsidRDefault="00AC55C9" w:rsidP="00AC55C9">
            <w:pPr>
              <w:spacing w:after="100"/>
              <w:jc w:val="both"/>
              <w:rPr>
                <w:i/>
                <w:iCs/>
                <w:sz w:val="18"/>
                <w:szCs w:val="18"/>
              </w:rPr>
            </w:pPr>
            <w:r w:rsidRPr="00EE753B">
              <w:rPr>
                <w:i/>
                <w:iCs/>
                <w:sz w:val="18"/>
                <w:szCs w:val="18"/>
              </w:rPr>
              <w:t>Šaltinis: sudaryta autorių</w:t>
            </w:r>
          </w:p>
          <w:p w14:paraId="44AEEFAB" w14:textId="062D489E" w:rsidR="00AB1B5C" w:rsidRPr="00EE753B" w:rsidRDefault="00AB1B5C" w:rsidP="00AC55C9">
            <w:pPr>
              <w:spacing w:after="100"/>
              <w:jc w:val="both"/>
              <w:rPr>
                <w:i/>
                <w:iCs/>
                <w:sz w:val="18"/>
                <w:szCs w:val="18"/>
              </w:rPr>
            </w:pPr>
          </w:p>
          <w:p w14:paraId="5ECD9A5D" w14:textId="68A66D23" w:rsidR="00AB1B5C" w:rsidRPr="00EE753B" w:rsidRDefault="004A29E1" w:rsidP="00AB1B5C">
            <w:pPr>
              <w:spacing w:after="100"/>
              <w:jc w:val="both"/>
              <w:rPr>
                <w:sz w:val="22"/>
                <w:szCs w:val="22"/>
              </w:rPr>
            </w:pPr>
            <w:r w:rsidRPr="00EE753B">
              <w:rPr>
                <w:sz w:val="22"/>
                <w:szCs w:val="22"/>
              </w:rPr>
              <w:t xml:space="preserve">Pažangos priemonės veiklų tikslinių grupių dydis </w:t>
            </w:r>
            <w:r w:rsidR="00D66189" w:rsidRPr="00EE753B">
              <w:rPr>
                <w:sz w:val="22"/>
                <w:szCs w:val="22"/>
              </w:rPr>
              <w:t xml:space="preserve">grindžiamas </w:t>
            </w:r>
            <w:r w:rsidR="00AB1B5C" w:rsidRPr="00EE753B">
              <w:rPr>
                <w:sz w:val="22"/>
                <w:szCs w:val="22"/>
              </w:rPr>
              <w:t>Lietuvos ilgalaike renovacijos strategija (toliau – LIRS) ir</w:t>
            </w:r>
            <w:r w:rsidR="00D66189" w:rsidRPr="00EE753B">
              <w:rPr>
                <w:sz w:val="22"/>
                <w:szCs w:val="22"/>
              </w:rPr>
              <w:t xml:space="preserve"> LŠTA duomenimis</w:t>
            </w:r>
            <w:r w:rsidR="00AB1B5C" w:rsidRPr="00EE753B">
              <w:rPr>
                <w:sz w:val="22"/>
                <w:szCs w:val="22"/>
              </w:rPr>
              <w:t xml:space="preserve">. LIRS yra valstybės integruoto nacionalinio energetikos ir klimato srities veiksmų plano, nurodyto </w:t>
            </w:r>
            <w:hyperlink r:id="rId9" w:history="1">
              <w:r w:rsidR="00AB1B5C" w:rsidRPr="00EE753B">
                <w:rPr>
                  <w:rStyle w:val="Hyperlink"/>
                  <w:color w:val="auto"/>
                  <w:sz w:val="22"/>
                  <w:szCs w:val="22"/>
                  <w:u w:val="none"/>
                </w:rPr>
                <w:t>Europos Parlamento ir Tarybos reglamento (ES) 2018/1999</w:t>
              </w:r>
            </w:hyperlink>
            <w:r w:rsidR="00AB1B5C" w:rsidRPr="00EE753B">
              <w:rPr>
                <w:sz w:val="22"/>
                <w:szCs w:val="22"/>
              </w:rPr>
              <w:t xml:space="preserve"> 3 straipsnyje, dalis. LIRS atlikta nacionalinio pastatų ūkio analizė, renovacijos tikslai, apimtys, pagrindinės kryptys bei identifikuotos priemonės. LIRS pritarta Lietuvos Respublikos Vyriausybės 2021 m. kovo 31 d.  pasitarimo sprendimu (protokolo Nr. 18), prieš tai LIRS derinta su Lietuvos Respublikos energetikos </w:t>
            </w:r>
            <w:r w:rsidR="000172C4" w:rsidRPr="00EE753B">
              <w:rPr>
                <w:sz w:val="22"/>
                <w:szCs w:val="22"/>
              </w:rPr>
              <w:t xml:space="preserve">ministerija, Lietuvos Respublikos </w:t>
            </w:r>
            <w:r w:rsidR="00AB1B5C" w:rsidRPr="00EE753B">
              <w:rPr>
                <w:sz w:val="22"/>
                <w:szCs w:val="22"/>
              </w:rPr>
              <w:t>finansų ministerij</w:t>
            </w:r>
            <w:r w:rsidR="000172C4" w:rsidRPr="00EE753B">
              <w:rPr>
                <w:sz w:val="22"/>
                <w:szCs w:val="22"/>
              </w:rPr>
              <w:t>a</w:t>
            </w:r>
            <w:r w:rsidR="00AB1B5C" w:rsidRPr="00EE753B">
              <w:rPr>
                <w:sz w:val="22"/>
                <w:szCs w:val="22"/>
              </w:rPr>
              <w:t xml:space="preserve">, Europos investicijų banko atstovybe Lietuvoje, Kauno technologijos universitetu, Vilniaus Gedimino technikos universitetu, Lietuvos atsinaujinančių išteklių energetikos konfederacija, Lietuvos energetikos institutu, Lietuvos respublikiniais būsto valdymo ir priežiūros rūmais, Lietuvos saulės energijos asociacija, Lietuvos savivaldybių asociacija, Lietuvos </w:t>
            </w:r>
            <w:r w:rsidR="00AB1B5C" w:rsidRPr="00EE753B">
              <w:rPr>
                <w:sz w:val="22"/>
                <w:szCs w:val="22"/>
              </w:rPr>
              <w:lastRenderedPageBreak/>
              <w:t>statybininkų asociacija, Lietuvos šilumos tiekėjų asociacija, Lietuvos vartotojų organizacijų aljansu ir kitais socialiniais, ekonominiais partneriais ir kitais suinteresuotais atstovais.</w:t>
            </w:r>
          </w:p>
          <w:p w14:paraId="00D0B347" w14:textId="2B5C8951" w:rsidR="00D26494" w:rsidRPr="00EE753B" w:rsidRDefault="00D26494" w:rsidP="00D26494">
            <w:pPr>
              <w:rPr>
                <w:sz w:val="22"/>
                <w:szCs w:val="22"/>
              </w:rPr>
            </w:pPr>
            <w:r w:rsidRPr="00EE753B">
              <w:rPr>
                <w:sz w:val="22"/>
                <w:szCs w:val="22"/>
              </w:rPr>
              <w:t xml:space="preserve">Pagrindinė tikslinė grupė yra </w:t>
            </w:r>
            <w:r w:rsidR="00D21C91" w:rsidRPr="00EE753B">
              <w:rPr>
                <w:sz w:val="22"/>
                <w:szCs w:val="22"/>
              </w:rPr>
              <w:t>šilumos tiekimo licenciją turinčios įmonės.</w:t>
            </w:r>
            <w:r w:rsidR="00D21C91" w:rsidRPr="00EE753B" w:rsidDel="00D21C91">
              <w:rPr>
                <w:sz w:val="22"/>
                <w:szCs w:val="22"/>
              </w:rPr>
              <w:t xml:space="preserve"> </w:t>
            </w:r>
          </w:p>
          <w:p w14:paraId="38D53427" w14:textId="663E88F8" w:rsidR="004B4456" w:rsidRPr="00EE753B" w:rsidRDefault="004B4456" w:rsidP="004B4456">
            <w:pPr>
              <w:jc w:val="both"/>
              <w:rPr>
                <w:sz w:val="22"/>
                <w:szCs w:val="22"/>
              </w:rPr>
            </w:pPr>
          </w:p>
          <w:p w14:paraId="731FD887" w14:textId="77777777" w:rsidR="004B4456" w:rsidRPr="00EE753B" w:rsidRDefault="004B4456" w:rsidP="004B4456">
            <w:pPr>
              <w:pStyle w:val="Caption"/>
              <w:ind w:right="-1365"/>
            </w:pPr>
            <w:r w:rsidRPr="00EE753B">
              <w:t xml:space="preserve">Lentelė </w:t>
            </w:r>
            <w:fldSimple w:instr=" SEQ Lentelė \* ARABIC ">
              <w:r w:rsidRPr="00EE753B">
                <w:rPr>
                  <w:noProof/>
                </w:rPr>
                <w:t>3</w:t>
              </w:r>
            </w:fldSimple>
            <w:r w:rsidRPr="00EE753B">
              <w:t>. Valstybei priklausantys negyvenamieji viešieji pastatai 2021 m. sausio 1 d. būklei pagal klases</w:t>
            </w:r>
          </w:p>
          <w:tbl>
            <w:tblPr>
              <w:tblStyle w:val="TableGrid"/>
              <w:tblW w:w="5000" w:type="pct"/>
              <w:tblCellMar>
                <w:left w:w="28" w:type="dxa"/>
                <w:right w:w="28" w:type="dxa"/>
              </w:tblCellMar>
              <w:tblLook w:val="04A0" w:firstRow="1" w:lastRow="0" w:firstColumn="1" w:lastColumn="0" w:noHBand="0" w:noVBand="1"/>
            </w:tblPr>
            <w:tblGrid>
              <w:gridCol w:w="2587"/>
              <w:gridCol w:w="1211"/>
              <w:gridCol w:w="2742"/>
              <w:gridCol w:w="2862"/>
            </w:tblGrid>
            <w:tr w:rsidR="004B4456" w:rsidRPr="00EE753B" w14:paraId="602A4289" w14:textId="77777777" w:rsidTr="00A9120C">
              <w:trPr>
                <w:tblHeader/>
              </w:trPr>
              <w:tc>
                <w:tcPr>
                  <w:tcW w:w="1376" w:type="pct"/>
                  <w:shd w:val="clear" w:color="auto" w:fill="D7E6C8"/>
                  <w:hideMark/>
                </w:tcPr>
                <w:p w14:paraId="35E18AC4" w14:textId="0DD8EFC1" w:rsidR="004B4456" w:rsidRPr="00EE753B" w:rsidRDefault="004B4456" w:rsidP="006D1AF8">
                  <w:pPr>
                    <w:jc w:val="center"/>
                    <w:rPr>
                      <w:rFonts w:ascii="Arial" w:hAnsi="Arial" w:cs="Arial"/>
                      <w:b/>
                      <w:sz w:val="18"/>
                      <w:lang w:eastAsia="lt-LT"/>
                    </w:rPr>
                  </w:pPr>
                  <w:r w:rsidRPr="00EE753B">
                    <w:rPr>
                      <w:rFonts w:ascii="Arial" w:hAnsi="Arial" w:cs="Arial"/>
                      <w:b/>
                      <w:sz w:val="18"/>
                      <w:lang w:eastAsia="lt-LT"/>
                    </w:rPr>
                    <w:t>Energinės klasės</w:t>
                  </w:r>
                </w:p>
              </w:tc>
              <w:tc>
                <w:tcPr>
                  <w:tcW w:w="644" w:type="pct"/>
                  <w:shd w:val="clear" w:color="auto" w:fill="D7E6C8"/>
                  <w:hideMark/>
                </w:tcPr>
                <w:p w14:paraId="289563CF" w14:textId="77777777" w:rsidR="004B4456" w:rsidRPr="00EE753B" w:rsidRDefault="004B4456" w:rsidP="00A9120C">
                  <w:pPr>
                    <w:jc w:val="center"/>
                    <w:rPr>
                      <w:rFonts w:ascii="Arial" w:hAnsi="Arial" w:cs="Arial"/>
                      <w:b/>
                      <w:sz w:val="18"/>
                      <w:lang w:eastAsia="lt-LT"/>
                    </w:rPr>
                  </w:pPr>
                  <w:r w:rsidRPr="00EE753B">
                    <w:rPr>
                      <w:rFonts w:ascii="Arial" w:hAnsi="Arial" w:cs="Arial"/>
                      <w:b/>
                      <w:sz w:val="18"/>
                      <w:lang w:eastAsia="lt-LT"/>
                    </w:rPr>
                    <w:t>Pastatų skaičius, vnt.</w:t>
                  </w:r>
                </w:p>
              </w:tc>
              <w:tc>
                <w:tcPr>
                  <w:tcW w:w="1458" w:type="pct"/>
                  <w:shd w:val="clear" w:color="auto" w:fill="D7E6C8"/>
                  <w:hideMark/>
                </w:tcPr>
                <w:p w14:paraId="0622D78A" w14:textId="77777777" w:rsidR="004B4456" w:rsidRPr="00EE753B" w:rsidRDefault="004B4456" w:rsidP="00A9120C">
                  <w:pPr>
                    <w:jc w:val="center"/>
                    <w:rPr>
                      <w:rFonts w:ascii="Arial" w:hAnsi="Arial" w:cs="Arial"/>
                      <w:b/>
                      <w:sz w:val="18"/>
                      <w:lang w:eastAsia="lt-LT"/>
                    </w:rPr>
                  </w:pPr>
                  <w:r w:rsidRPr="00EE753B">
                    <w:rPr>
                      <w:rFonts w:ascii="Arial" w:hAnsi="Arial" w:cs="Arial"/>
                      <w:b/>
                      <w:sz w:val="18"/>
                      <w:lang w:eastAsia="lt-LT"/>
                    </w:rPr>
                    <w:t>Bendras plotas, m</w:t>
                  </w:r>
                  <w:r w:rsidRPr="00EE753B">
                    <w:rPr>
                      <w:rFonts w:ascii="Arial" w:hAnsi="Arial" w:cs="Arial"/>
                      <w:b/>
                      <w:sz w:val="18"/>
                      <w:vertAlign w:val="superscript"/>
                      <w:lang w:eastAsia="lt-LT"/>
                    </w:rPr>
                    <w:t>2</w:t>
                  </w:r>
                </w:p>
              </w:tc>
              <w:tc>
                <w:tcPr>
                  <w:tcW w:w="1522" w:type="pct"/>
                  <w:shd w:val="clear" w:color="auto" w:fill="D7E6C8"/>
                  <w:hideMark/>
                </w:tcPr>
                <w:p w14:paraId="01B38CB9" w14:textId="77777777" w:rsidR="004B4456" w:rsidRPr="00EE753B" w:rsidRDefault="004B4456" w:rsidP="00A9120C">
                  <w:pPr>
                    <w:jc w:val="center"/>
                    <w:rPr>
                      <w:rFonts w:ascii="Arial" w:hAnsi="Arial" w:cs="Arial"/>
                      <w:b/>
                      <w:sz w:val="18"/>
                      <w:lang w:eastAsia="lt-LT"/>
                    </w:rPr>
                  </w:pPr>
                  <w:r w:rsidRPr="00EE753B">
                    <w:rPr>
                      <w:rFonts w:ascii="Arial" w:hAnsi="Arial" w:cs="Arial"/>
                      <w:b/>
                      <w:sz w:val="18"/>
                      <w:lang w:eastAsia="lt-LT"/>
                    </w:rPr>
                    <w:t xml:space="preserve">Viešųjų pastatų pirminės energijos vartojimas </w:t>
                  </w:r>
                  <w:proofErr w:type="spellStart"/>
                  <w:r w:rsidRPr="00EE753B">
                    <w:rPr>
                      <w:rFonts w:ascii="Arial" w:hAnsi="Arial" w:cs="Arial"/>
                      <w:b/>
                      <w:sz w:val="18"/>
                      <w:lang w:eastAsia="lt-LT"/>
                    </w:rPr>
                    <w:t>GWh</w:t>
                  </w:r>
                  <w:proofErr w:type="spellEnd"/>
                  <w:r w:rsidRPr="00EE753B">
                    <w:rPr>
                      <w:rFonts w:ascii="Arial" w:hAnsi="Arial" w:cs="Arial"/>
                      <w:b/>
                      <w:sz w:val="18"/>
                      <w:lang w:eastAsia="lt-LT"/>
                    </w:rPr>
                    <w:t>/metus (Kiti negyvenamieji pastatai)</w:t>
                  </w:r>
                </w:p>
              </w:tc>
            </w:tr>
            <w:tr w:rsidR="004B4456" w:rsidRPr="00EE753B" w14:paraId="0B9682F1" w14:textId="77777777" w:rsidTr="00A9120C">
              <w:tc>
                <w:tcPr>
                  <w:tcW w:w="1376" w:type="pct"/>
                  <w:shd w:val="clear" w:color="auto" w:fill="auto"/>
                  <w:noWrap/>
                  <w:hideMark/>
                </w:tcPr>
                <w:p w14:paraId="50477DDA"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A+</w:t>
                  </w:r>
                </w:p>
              </w:tc>
              <w:tc>
                <w:tcPr>
                  <w:tcW w:w="644" w:type="pct"/>
                  <w:shd w:val="clear" w:color="auto" w:fill="auto"/>
                  <w:noWrap/>
                  <w:hideMark/>
                </w:tcPr>
                <w:p w14:paraId="61B3FD3E"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5</w:t>
                  </w:r>
                </w:p>
              </w:tc>
              <w:tc>
                <w:tcPr>
                  <w:tcW w:w="1458" w:type="pct"/>
                  <w:shd w:val="clear" w:color="auto" w:fill="auto"/>
                  <w:noWrap/>
                  <w:hideMark/>
                </w:tcPr>
                <w:p w14:paraId="510726B0" w14:textId="53B5CEDA"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12</w:t>
                  </w:r>
                  <w:r w:rsidR="000172C4" w:rsidRPr="00EE753B">
                    <w:rPr>
                      <w:rFonts w:ascii="Arial" w:hAnsi="Arial" w:cs="Arial"/>
                      <w:sz w:val="18"/>
                      <w:lang w:eastAsia="lt-LT"/>
                    </w:rPr>
                    <w:t xml:space="preserve"> </w:t>
                  </w:r>
                  <w:r w:rsidRPr="00EE753B">
                    <w:rPr>
                      <w:rFonts w:ascii="Arial" w:hAnsi="Arial" w:cs="Arial"/>
                      <w:sz w:val="18"/>
                      <w:lang w:eastAsia="lt-LT"/>
                    </w:rPr>
                    <w:t>910,85</w:t>
                  </w:r>
                </w:p>
              </w:tc>
              <w:tc>
                <w:tcPr>
                  <w:tcW w:w="1522" w:type="pct"/>
                  <w:shd w:val="clear" w:color="auto" w:fill="auto"/>
                  <w:noWrap/>
                  <w:hideMark/>
                </w:tcPr>
                <w:p w14:paraId="1A640EBF"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 </w:t>
                  </w:r>
                </w:p>
              </w:tc>
            </w:tr>
            <w:tr w:rsidR="004B4456" w:rsidRPr="00EE753B" w14:paraId="5AD6490B" w14:textId="77777777" w:rsidTr="00A9120C">
              <w:tc>
                <w:tcPr>
                  <w:tcW w:w="1376" w:type="pct"/>
                  <w:shd w:val="clear" w:color="auto" w:fill="auto"/>
                  <w:noWrap/>
                  <w:hideMark/>
                </w:tcPr>
                <w:p w14:paraId="282A0AF4"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A</w:t>
                  </w:r>
                </w:p>
              </w:tc>
              <w:tc>
                <w:tcPr>
                  <w:tcW w:w="644" w:type="pct"/>
                  <w:shd w:val="clear" w:color="auto" w:fill="auto"/>
                  <w:noWrap/>
                  <w:hideMark/>
                </w:tcPr>
                <w:p w14:paraId="6FF2FD57"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9</w:t>
                  </w:r>
                </w:p>
              </w:tc>
              <w:tc>
                <w:tcPr>
                  <w:tcW w:w="1458" w:type="pct"/>
                  <w:shd w:val="clear" w:color="auto" w:fill="auto"/>
                  <w:noWrap/>
                  <w:hideMark/>
                </w:tcPr>
                <w:p w14:paraId="57EDF67A" w14:textId="00CD53B2"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25</w:t>
                  </w:r>
                  <w:r w:rsidR="000172C4" w:rsidRPr="00EE753B">
                    <w:rPr>
                      <w:rFonts w:ascii="Arial" w:hAnsi="Arial" w:cs="Arial"/>
                      <w:sz w:val="18"/>
                      <w:lang w:eastAsia="lt-LT"/>
                    </w:rPr>
                    <w:t xml:space="preserve"> </w:t>
                  </w:r>
                  <w:r w:rsidRPr="00EE753B">
                    <w:rPr>
                      <w:rFonts w:ascii="Arial" w:hAnsi="Arial" w:cs="Arial"/>
                      <w:sz w:val="18"/>
                      <w:lang w:eastAsia="lt-LT"/>
                    </w:rPr>
                    <w:t>130,76</w:t>
                  </w:r>
                </w:p>
              </w:tc>
              <w:tc>
                <w:tcPr>
                  <w:tcW w:w="1522" w:type="pct"/>
                  <w:shd w:val="clear" w:color="auto" w:fill="auto"/>
                  <w:noWrap/>
                  <w:hideMark/>
                </w:tcPr>
                <w:p w14:paraId="5F159A88"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8,00</w:t>
                  </w:r>
                </w:p>
              </w:tc>
            </w:tr>
            <w:tr w:rsidR="004B4456" w:rsidRPr="00EE753B" w14:paraId="6AE312C4" w14:textId="77777777" w:rsidTr="00A9120C">
              <w:tc>
                <w:tcPr>
                  <w:tcW w:w="1376" w:type="pct"/>
                  <w:shd w:val="clear" w:color="auto" w:fill="auto"/>
                  <w:noWrap/>
                  <w:hideMark/>
                </w:tcPr>
                <w:p w14:paraId="69BD0B94"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B</w:t>
                  </w:r>
                </w:p>
              </w:tc>
              <w:tc>
                <w:tcPr>
                  <w:tcW w:w="644" w:type="pct"/>
                  <w:shd w:val="clear" w:color="auto" w:fill="auto"/>
                  <w:noWrap/>
                  <w:hideMark/>
                </w:tcPr>
                <w:p w14:paraId="14720BC7"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354</w:t>
                  </w:r>
                </w:p>
              </w:tc>
              <w:tc>
                <w:tcPr>
                  <w:tcW w:w="1458" w:type="pct"/>
                  <w:shd w:val="clear" w:color="auto" w:fill="auto"/>
                  <w:noWrap/>
                  <w:hideMark/>
                </w:tcPr>
                <w:p w14:paraId="763A910E" w14:textId="750922A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1</w:t>
                  </w:r>
                  <w:r w:rsidR="000172C4" w:rsidRPr="00EE753B">
                    <w:rPr>
                      <w:rFonts w:ascii="Arial" w:hAnsi="Arial" w:cs="Arial"/>
                      <w:sz w:val="18"/>
                      <w:lang w:eastAsia="lt-LT"/>
                    </w:rPr>
                    <w:t xml:space="preserve"> </w:t>
                  </w:r>
                  <w:r w:rsidRPr="00EE753B">
                    <w:rPr>
                      <w:rFonts w:ascii="Arial" w:hAnsi="Arial" w:cs="Arial"/>
                      <w:sz w:val="18"/>
                      <w:lang w:eastAsia="lt-LT"/>
                    </w:rPr>
                    <w:t>068</w:t>
                  </w:r>
                  <w:r w:rsidR="000172C4" w:rsidRPr="00EE753B">
                    <w:rPr>
                      <w:rFonts w:ascii="Arial" w:hAnsi="Arial" w:cs="Arial"/>
                      <w:sz w:val="18"/>
                      <w:lang w:eastAsia="lt-LT"/>
                    </w:rPr>
                    <w:t xml:space="preserve"> </w:t>
                  </w:r>
                  <w:r w:rsidRPr="00EE753B">
                    <w:rPr>
                      <w:rFonts w:ascii="Arial" w:hAnsi="Arial" w:cs="Arial"/>
                      <w:sz w:val="18"/>
                      <w:lang w:eastAsia="lt-LT"/>
                    </w:rPr>
                    <w:t>691,58</w:t>
                  </w:r>
                </w:p>
              </w:tc>
              <w:tc>
                <w:tcPr>
                  <w:tcW w:w="1522" w:type="pct"/>
                  <w:shd w:val="clear" w:color="auto" w:fill="auto"/>
                  <w:noWrap/>
                  <w:hideMark/>
                </w:tcPr>
                <w:p w14:paraId="3FDBB607"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274,00</w:t>
                  </w:r>
                </w:p>
              </w:tc>
            </w:tr>
            <w:tr w:rsidR="004B4456" w:rsidRPr="00EE753B" w14:paraId="38A5CA40" w14:textId="77777777" w:rsidTr="00A9120C">
              <w:tc>
                <w:tcPr>
                  <w:tcW w:w="1376" w:type="pct"/>
                  <w:shd w:val="clear" w:color="auto" w:fill="auto"/>
                  <w:noWrap/>
                  <w:hideMark/>
                </w:tcPr>
                <w:p w14:paraId="2453DC72"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C</w:t>
                  </w:r>
                </w:p>
              </w:tc>
              <w:tc>
                <w:tcPr>
                  <w:tcW w:w="644" w:type="pct"/>
                  <w:shd w:val="clear" w:color="auto" w:fill="auto"/>
                  <w:noWrap/>
                  <w:hideMark/>
                </w:tcPr>
                <w:p w14:paraId="403CC2FA"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360</w:t>
                  </w:r>
                </w:p>
              </w:tc>
              <w:tc>
                <w:tcPr>
                  <w:tcW w:w="1458" w:type="pct"/>
                  <w:shd w:val="clear" w:color="auto" w:fill="auto"/>
                  <w:noWrap/>
                  <w:hideMark/>
                </w:tcPr>
                <w:p w14:paraId="7610C82F" w14:textId="7A83625E"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951</w:t>
                  </w:r>
                  <w:r w:rsidR="000172C4" w:rsidRPr="00EE753B">
                    <w:rPr>
                      <w:rFonts w:ascii="Arial" w:hAnsi="Arial" w:cs="Arial"/>
                      <w:sz w:val="18"/>
                      <w:lang w:eastAsia="lt-LT"/>
                    </w:rPr>
                    <w:t xml:space="preserve"> </w:t>
                  </w:r>
                  <w:r w:rsidRPr="00EE753B">
                    <w:rPr>
                      <w:rFonts w:ascii="Arial" w:hAnsi="Arial" w:cs="Arial"/>
                      <w:sz w:val="18"/>
                      <w:lang w:eastAsia="lt-LT"/>
                    </w:rPr>
                    <w:t>378,81</w:t>
                  </w:r>
                </w:p>
              </w:tc>
              <w:tc>
                <w:tcPr>
                  <w:tcW w:w="1522" w:type="pct"/>
                  <w:shd w:val="clear" w:color="auto" w:fill="auto"/>
                  <w:noWrap/>
                  <w:hideMark/>
                </w:tcPr>
                <w:p w14:paraId="7CDCAB55" w14:textId="77777777"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425,00</w:t>
                  </w:r>
                </w:p>
              </w:tc>
            </w:tr>
            <w:tr w:rsidR="004B4456" w:rsidRPr="00EE753B" w14:paraId="3F5CC415" w14:textId="77777777" w:rsidTr="00A9120C">
              <w:tc>
                <w:tcPr>
                  <w:tcW w:w="1376" w:type="pct"/>
                  <w:shd w:val="clear" w:color="auto" w:fill="auto"/>
                  <w:noWrap/>
                  <w:hideMark/>
                </w:tcPr>
                <w:p w14:paraId="4B4CC228" w14:textId="2D2E7562" w:rsidR="004B4456" w:rsidRPr="00EE753B" w:rsidRDefault="004B4456" w:rsidP="00A9120C">
                  <w:pPr>
                    <w:jc w:val="center"/>
                    <w:rPr>
                      <w:rFonts w:ascii="Arial" w:hAnsi="Arial" w:cs="Arial"/>
                      <w:sz w:val="18"/>
                      <w:lang w:eastAsia="lt-LT"/>
                    </w:rPr>
                  </w:pPr>
                  <w:bookmarkStart w:id="0" w:name="RANGE!A27"/>
                  <w:r w:rsidRPr="00EE753B">
                    <w:rPr>
                      <w:rFonts w:ascii="Arial" w:hAnsi="Arial" w:cs="Arial"/>
                      <w:sz w:val="18"/>
                      <w:lang w:eastAsia="lt-LT"/>
                    </w:rPr>
                    <w:t>D, E, F, G, be klasės</w:t>
                  </w:r>
                  <w:bookmarkEnd w:id="0"/>
                </w:p>
              </w:tc>
              <w:tc>
                <w:tcPr>
                  <w:tcW w:w="644" w:type="pct"/>
                  <w:shd w:val="clear" w:color="auto" w:fill="auto"/>
                  <w:noWrap/>
                  <w:hideMark/>
                </w:tcPr>
                <w:p w14:paraId="5AC14841" w14:textId="4B36B6F6"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2</w:t>
                  </w:r>
                  <w:r w:rsidR="000172C4" w:rsidRPr="00EE753B">
                    <w:rPr>
                      <w:rFonts w:ascii="Arial" w:hAnsi="Arial" w:cs="Arial"/>
                      <w:sz w:val="18"/>
                      <w:lang w:eastAsia="lt-LT"/>
                    </w:rPr>
                    <w:t xml:space="preserve"> </w:t>
                  </w:r>
                  <w:r w:rsidRPr="00EE753B">
                    <w:rPr>
                      <w:rFonts w:ascii="Arial" w:hAnsi="Arial" w:cs="Arial"/>
                      <w:sz w:val="18"/>
                      <w:lang w:eastAsia="lt-LT"/>
                    </w:rPr>
                    <w:t>183</w:t>
                  </w:r>
                </w:p>
              </w:tc>
              <w:tc>
                <w:tcPr>
                  <w:tcW w:w="1458" w:type="pct"/>
                  <w:shd w:val="clear" w:color="auto" w:fill="auto"/>
                  <w:noWrap/>
                  <w:hideMark/>
                </w:tcPr>
                <w:p w14:paraId="43FDC9A5" w14:textId="446464B9"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3</w:t>
                  </w:r>
                  <w:r w:rsidR="000172C4" w:rsidRPr="00EE753B">
                    <w:rPr>
                      <w:rFonts w:ascii="Arial" w:hAnsi="Arial" w:cs="Arial"/>
                      <w:sz w:val="18"/>
                      <w:lang w:eastAsia="lt-LT"/>
                    </w:rPr>
                    <w:t xml:space="preserve"> </w:t>
                  </w:r>
                  <w:r w:rsidRPr="00EE753B">
                    <w:rPr>
                      <w:rFonts w:ascii="Arial" w:hAnsi="Arial" w:cs="Arial"/>
                      <w:sz w:val="18"/>
                      <w:lang w:eastAsia="lt-LT"/>
                    </w:rPr>
                    <w:t>828</w:t>
                  </w:r>
                  <w:r w:rsidR="000172C4" w:rsidRPr="00EE753B">
                    <w:rPr>
                      <w:rFonts w:ascii="Arial" w:hAnsi="Arial" w:cs="Arial"/>
                      <w:sz w:val="18"/>
                      <w:lang w:eastAsia="lt-LT"/>
                    </w:rPr>
                    <w:t xml:space="preserve"> </w:t>
                  </w:r>
                  <w:r w:rsidRPr="00EE753B">
                    <w:rPr>
                      <w:rFonts w:ascii="Arial" w:hAnsi="Arial" w:cs="Arial"/>
                      <w:sz w:val="18"/>
                      <w:lang w:eastAsia="lt-LT"/>
                    </w:rPr>
                    <w:t>146,65</w:t>
                  </w:r>
                </w:p>
              </w:tc>
              <w:tc>
                <w:tcPr>
                  <w:tcW w:w="1522" w:type="pct"/>
                  <w:shd w:val="clear" w:color="auto" w:fill="auto"/>
                  <w:noWrap/>
                  <w:hideMark/>
                </w:tcPr>
                <w:p w14:paraId="7A2D8539" w14:textId="5A78E5C5" w:rsidR="004B4456" w:rsidRPr="00EE753B" w:rsidRDefault="004B4456" w:rsidP="00A9120C">
                  <w:pPr>
                    <w:jc w:val="center"/>
                    <w:rPr>
                      <w:rFonts w:ascii="Arial" w:hAnsi="Arial" w:cs="Arial"/>
                      <w:sz w:val="18"/>
                      <w:lang w:eastAsia="lt-LT"/>
                    </w:rPr>
                  </w:pPr>
                  <w:r w:rsidRPr="00EE753B">
                    <w:rPr>
                      <w:rFonts w:ascii="Arial" w:hAnsi="Arial" w:cs="Arial"/>
                      <w:sz w:val="18"/>
                      <w:lang w:eastAsia="lt-LT"/>
                    </w:rPr>
                    <w:t>2</w:t>
                  </w:r>
                  <w:r w:rsidR="000172C4" w:rsidRPr="00EE753B">
                    <w:rPr>
                      <w:rFonts w:ascii="Arial" w:hAnsi="Arial" w:cs="Arial"/>
                      <w:sz w:val="18"/>
                      <w:lang w:eastAsia="lt-LT"/>
                    </w:rPr>
                    <w:t xml:space="preserve"> </w:t>
                  </w:r>
                  <w:r w:rsidRPr="00EE753B">
                    <w:rPr>
                      <w:rFonts w:ascii="Arial" w:hAnsi="Arial" w:cs="Arial"/>
                      <w:sz w:val="18"/>
                      <w:lang w:eastAsia="lt-LT"/>
                    </w:rPr>
                    <w:t>177,00</w:t>
                  </w:r>
                </w:p>
              </w:tc>
            </w:tr>
            <w:tr w:rsidR="004B4456" w:rsidRPr="00EE753B" w14:paraId="70CA62D4" w14:textId="77777777" w:rsidTr="00A9120C">
              <w:tc>
                <w:tcPr>
                  <w:tcW w:w="1376" w:type="pct"/>
                  <w:shd w:val="clear" w:color="auto" w:fill="auto"/>
                  <w:hideMark/>
                </w:tcPr>
                <w:p w14:paraId="64DB3484" w14:textId="77777777" w:rsidR="004B4456" w:rsidRPr="00EE753B" w:rsidRDefault="004B4456" w:rsidP="00A9120C">
                  <w:pPr>
                    <w:jc w:val="center"/>
                    <w:rPr>
                      <w:rFonts w:ascii="Arial" w:hAnsi="Arial" w:cs="Arial"/>
                      <w:b/>
                      <w:bCs/>
                      <w:sz w:val="18"/>
                      <w:u w:val="single"/>
                      <w:lang w:eastAsia="lt-LT"/>
                    </w:rPr>
                  </w:pPr>
                  <w:r w:rsidRPr="00EE753B">
                    <w:rPr>
                      <w:rFonts w:ascii="Arial" w:hAnsi="Arial" w:cs="Arial"/>
                      <w:b/>
                      <w:bCs/>
                      <w:sz w:val="18"/>
                      <w:u w:val="single"/>
                      <w:lang w:eastAsia="lt-LT"/>
                    </w:rPr>
                    <w:t>SUMA:</w:t>
                  </w:r>
                </w:p>
              </w:tc>
              <w:tc>
                <w:tcPr>
                  <w:tcW w:w="644" w:type="pct"/>
                  <w:shd w:val="clear" w:color="auto" w:fill="auto"/>
                  <w:noWrap/>
                  <w:hideMark/>
                </w:tcPr>
                <w:p w14:paraId="487A9274" w14:textId="6B13AB3A" w:rsidR="004B4456" w:rsidRPr="00EE753B" w:rsidRDefault="004B4456" w:rsidP="00A9120C">
                  <w:pPr>
                    <w:jc w:val="center"/>
                    <w:rPr>
                      <w:rFonts w:ascii="Arial" w:hAnsi="Arial" w:cs="Arial"/>
                      <w:b/>
                      <w:bCs/>
                      <w:sz w:val="18"/>
                      <w:u w:val="single"/>
                      <w:lang w:eastAsia="lt-LT"/>
                    </w:rPr>
                  </w:pPr>
                  <w:r w:rsidRPr="00EE753B">
                    <w:rPr>
                      <w:rFonts w:ascii="Arial" w:hAnsi="Arial" w:cs="Arial"/>
                      <w:b/>
                      <w:bCs/>
                      <w:sz w:val="18"/>
                      <w:u w:val="single"/>
                      <w:lang w:eastAsia="lt-LT"/>
                    </w:rPr>
                    <w:t>2</w:t>
                  </w:r>
                  <w:r w:rsidR="000172C4" w:rsidRPr="00EE753B">
                    <w:rPr>
                      <w:rFonts w:ascii="Arial" w:hAnsi="Arial" w:cs="Arial"/>
                      <w:b/>
                      <w:bCs/>
                      <w:sz w:val="18"/>
                      <w:u w:val="single"/>
                      <w:lang w:eastAsia="lt-LT"/>
                    </w:rPr>
                    <w:t xml:space="preserve"> </w:t>
                  </w:r>
                  <w:r w:rsidRPr="00EE753B">
                    <w:rPr>
                      <w:rFonts w:ascii="Arial" w:hAnsi="Arial" w:cs="Arial"/>
                      <w:b/>
                      <w:bCs/>
                      <w:sz w:val="18"/>
                      <w:u w:val="single"/>
                      <w:lang w:eastAsia="lt-LT"/>
                    </w:rPr>
                    <w:t>911</w:t>
                  </w:r>
                </w:p>
              </w:tc>
              <w:tc>
                <w:tcPr>
                  <w:tcW w:w="1458" w:type="pct"/>
                  <w:shd w:val="clear" w:color="auto" w:fill="auto"/>
                  <w:noWrap/>
                  <w:hideMark/>
                </w:tcPr>
                <w:p w14:paraId="21515890" w14:textId="55DDCB63" w:rsidR="004B4456" w:rsidRPr="00EE753B" w:rsidRDefault="004B4456" w:rsidP="00A9120C">
                  <w:pPr>
                    <w:jc w:val="center"/>
                    <w:rPr>
                      <w:rFonts w:ascii="Arial" w:hAnsi="Arial" w:cs="Arial"/>
                      <w:b/>
                      <w:bCs/>
                      <w:sz w:val="18"/>
                      <w:u w:val="single"/>
                      <w:lang w:eastAsia="lt-LT"/>
                    </w:rPr>
                  </w:pPr>
                  <w:r w:rsidRPr="00EE753B">
                    <w:rPr>
                      <w:rFonts w:ascii="Arial" w:hAnsi="Arial" w:cs="Arial"/>
                      <w:b/>
                      <w:bCs/>
                      <w:sz w:val="18"/>
                      <w:u w:val="single"/>
                      <w:lang w:eastAsia="lt-LT"/>
                    </w:rPr>
                    <w:t>5</w:t>
                  </w:r>
                  <w:r w:rsidR="000172C4" w:rsidRPr="00EE753B">
                    <w:rPr>
                      <w:rFonts w:ascii="Arial" w:hAnsi="Arial" w:cs="Arial"/>
                      <w:b/>
                      <w:bCs/>
                      <w:sz w:val="18"/>
                      <w:u w:val="single"/>
                      <w:lang w:eastAsia="lt-LT"/>
                    </w:rPr>
                    <w:t xml:space="preserve"> </w:t>
                  </w:r>
                  <w:r w:rsidRPr="00EE753B">
                    <w:rPr>
                      <w:rFonts w:ascii="Arial" w:hAnsi="Arial" w:cs="Arial"/>
                      <w:b/>
                      <w:bCs/>
                      <w:sz w:val="18"/>
                      <w:u w:val="single"/>
                      <w:lang w:eastAsia="lt-LT"/>
                    </w:rPr>
                    <w:t>886</w:t>
                  </w:r>
                  <w:r w:rsidR="000172C4" w:rsidRPr="00EE753B">
                    <w:rPr>
                      <w:rFonts w:ascii="Arial" w:hAnsi="Arial" w:cs="Arial"/>
                      <w:b/>
                      <w:bCs/>
                      <w:sz w:val="18"/>
                      <w:u w:val="single"/>
                      <w:lang w:eastAsia="lt-LT"/>
                    </w:rPr>
                    <w:t xml:space="preserve"> </w:t>
                  </w:r>
                  <w:r w:rsidRPr="00EE753B">
                    <w:rPr>
                      <w:rFonts w:ascii="Arial" w:hAnsi="Arial" w:cs="Arial"/>
                      <w:b/>
                      <w:bCs/>
                      <w:sz w:val="18"/>
                      <w:u w:val="single"/>
                      <w:lang w:eastAsia="lt-LT"/>
                    </w:rPr>
                    <w:t>259</w:t>
                  </w:r>
                </w:p>
              </w:tc>
              <w:tc>
                <w:tcPr>
                  <w:tcW w:w="1522" w:type="pct"/>
                  <w:shd w:val="clear" w:color="auto" w:fill="auto"/>
                  <w:noWrap/>
                  <w:hideMark/>
                </w:tcPr>
                <w:p w14:paraId="48BF5FC8" w14:textId="38D0764C" w:rsidR="004B4456" w:rsidRPr="00EE753B" w:rsidRDefault="004B4456" w:rsidP="00A9120C">
                  <w:pPr>
                    <w:jc w:val="center"/>
                    <w:rPr>
                      <w:rFonts w:ascii="Arial" w:hAnsi="Arial" w:cs="Arial"/>
                      <w:b/>
                      <w:bCs/>
                      <w:sz w:val="18"/>
                      <w:u w:val="single"/>
                      <w:lang w:eastAsia="lt-LT"/>
                    </w:rPr>
                  </w:pPr>
                  <w:r w:rsidRPr="00EE753B">
                    <w:rPr>
                      <w:rFonts w:ascii="Arial" w:hAnsi="Arial" w:cs="Arial"/>
                      <w:b/>
                      <w:bCs/>
                      <w:sz w:val="18"/>
                      <w:u w:val="single"/>
                      <w:lang w:eastAsia="lt-LT"/>
                    </w:rPr>
                    <w:t>2</w:t>
                  </w:r>
                  <w:r w:rsidR="000172C4" w:rsidRPr="00EE753B">
                    <w:rPr>
                      <w:rFonts w:ascii="Arial" w:hAnsi="Arial" w:cs="Arial"/>
                      <w:b/>
                      <w:bCs/>
                      <w:sz w:val="18"/>
                      <w:u w:val="single"/>
                      <w:lang w:eastAsia="lt-LT"/>
                    </w:rPr>
                    <w:t xml:space="preserve"> </w:t>
                  </w:r>
                  <w:r w:rsidRPr="00EE753B">
                    <w:rPr>
                      <w:rFonts w:ascii="Arial" w:hAnsi="Arial" w:cs="Arial"/>
                      <w:b/>
                      <w:bCs/>
                      <w:sz w:val="18"/>
                      <w:u w:val="single"/>
                      <w:lang w:eastAsia="lt-LT"/>
                    </w:rPr>
                    <w:t>884</w:t>
                  </w:r>
                </w:p>
              </w:tc>
            </w:tr>
          </w:tbl>
          <w:p w14:paraId="081972E8" w14:textId="5D1EA65C" w:rsidR="004B4456" w:rsidRPr="00EE753B" w:rsidRDefault="00A9120C" w:rsidP="00A9120C">
            <w:pPr>
              <w:spacing w:after="100"/>
              <w:jc w:val="both"/>
              <w:rPr>
                <w:i/>
                <w:iCs/>
                <w:sz w:val="18"/>
                <w:szCs w:val="18"/>
              </w:rPr>
            </w:pPr>
            <w:r w:rsidRPr="00EE753B">
              <w:rPr>
                <w:i/>
                <w:iCs/>
                <w:sz w:val="18"/>
                <w:szCs w:val="18"/>
              </w:rPr>
              <w:t>Šaltinis: LIRS</w:t>
            </w:r>
          </w:p>
          <w:p w14:paraId="48D0F414" w14:textId="640376D9" w:rsidR="00B66775" w:rsidRPr="00EE753B" w:rsidRDefault="0028713C" w:rsidP="00B66775">
            <w:pPr>
              <w:spacing w:after="100"/>
              <w:jc w:val="both"/>
              <w:rPr>
                <w:sz w:val="22"/>
                <w:szCs w:val="22"/>
              </w:rPr>
            </w:pPr>
            <w:r w:rsidRPr="00EE753B">
              <w:rPr>
                <w:sz w:val="22"/>
                <w:szCs w:val="22"/>
              </w:rPr>
              <w:t>Veiklų įgyvendinimas</w:t>
            </w:r>
            <w:r w:rsidR="00B66775" w:rsidRPr="00EE753B">
              <w:rPr>
                <w:sz w:val="22"/>
                <w:szCs w:val="22"/>
              </w:rPr>
              <w:t xml:space="preserve"> prisidės prie CŠT sistemų energetinio efektyvumo didinimo, mažins šilumos energijos suvartojimus pastatuose bei nuostolius CŠT tinkluose, </w:t>
            </w:r>
            <w:r w:rsidRPr="00EE753B">
              <w:rPr>
                <w:sz w:val="22"/>
                <w:szCs w:val="22"/>
              </w:rPr>
              <w:t xml:space="preserve">ir </w:t>
            </w:r>
            <w:r w:rsidR="00B66775" w:rsidRPr="00EE753B">
              <w:rPr>
                <w:sz w:val="22"/>
                <w:szCs w:val="22"/>
              </w:rPr>
              <w:t>tai turės teigiamos įtakos galutinių šilumos vartotojų sąskaitų dydžiui ir lems mažesnes šilumos tiekėjų veiklos sąnaudas.</w:t>
            </w:r>
          </w:p>
          <w:p w14:paraId="1247928B" w14:textId="77777777" w:rsidR="00AB1B5C" w:rsidRPr="00EE753B" w:rsidRDefault="00AB1B5C" w:rsidP="00B66775">
            <w:pPr>
              <w:spacing w:after="100"/>
              <w:jc w:val="both"/>
              <w:rPr>
                <w:sz w:val="18"/>
                <w:szCs w:val="18"/>
              </w:rPr>
            </w:pPr>
          </w:p>
          <w:p w14:paraId="553C1404" w14:textId="70A89409" w:rsidR="00281532" w:rsidRPr="00EE753B" w:rsidRDefault="00C64A80" w:rsidP="0084597D">
            <w:pPr>
              <w:spacing w:after="100"/>
              <w:jc w:val="both"/>
              <w:rPr>
                <w:sz w:val="22"/>
                <w:szCs w:val="22"/>
              </w:rPr>
            </w:pPr>
            <w:r w:rsidRPr="00EE753B">
              <w:rPr>
                <w:sz w:val="22"/>
                <w:szCs w:val="22"/>
              </w:rPr>
              <w:t>-----------------------------------------------------------------------------------------------------------------------------</w:t>
            </w:r>
          </w:p>
          <w:p w14:paraId="048406E7" w14:textId="30571994" w:rsidR="00800A05" w:rsidRPr="00EE753B" w:rsidRDefault="00800A05" w:rsidP="00800A05">
            <w:pPr>
              <w:pStyle w:val="ListParagraph"/>
              <w:tabs>
                <w:tab w:val="left" w:pos="255"/>
              </w:tabs>
              <w:ind w:left="0"/>
              <w:jc w:val="both"/>
              <w:rPr>
                <w:b/>
                <w:bCs/>
                <w:color w:val="1F497D" w:themeColor="text2"/>
                <w:sz w:val="22"/>
                <w:szCs w:val="22"/>
              </w:rPr>
            </w:pPr>
            <w:r w:rsidRPr="00EE753B">
              <w:rPr>
                <w:b/>
                <w:bCs/>
                <w:color w:val="1F497D" w:themeColor="text2"/>
                <w:sz w:val="22"/>
                <w:szCs w:val="22"/>
              </w:rPr>
              <w:t>Veikla 1</w:t>
            </w:r>
            <w:r w:rsidR="006860A1" w:rsidRPr="00EE753B">
              <w:rPr>
                <w:b/>
                <w:bCs/>
                <w:color w:val="1F497D" w:themeColor="text2"/>
                <w:sz w:val="22"/>
                <w:szCs w:val="22"/>
              </w:rPr>
              <w:t>.</w:t>
            </w:r>
            <w:r w:rsidRPr="00EE753B">
              <w:rPr>
                <w:b/>
                <w:bCs/>
                <w:color w:val="1F497D" w:themeColor="text2"/>
                <w:sz w:val="22"/>
                <w:szCs w:val="22"/>
              </w:rPr>
              <w:t xml:space="preserve"> </w:t>
            </w:r>
            <w:r w:rsidR="00286BED" w:rsidRPr="00EE753B">
              <w:rPr>
                <w:b/>
                <w:bCs/>
                <w:color w:val="1F497D" w:themeColor="text2"/>
                <w:sz w:val="22"/>
                <w:szCs w:val="22"/>
              </w:rPr>
              <w:t>Centralizuoto šilumos tiekimo tinklo pritaikymas 4</w:t>
            </w:r>
            <w:r w:rsidR="00E60640" w:rsidRPr="00EE753B">
              <w:rPr>
                <w:b/>
                <w:bCs/>
                <w:color w:val="1F497D" w:themeColor="text2"/>
                <w:sz w:val="22"/>
                <w:szCs w:val="22"/>
              </w:rPr>
              <w:t>-os</w:t>
            </w:r>
            <w:r w:rsidR="00286BED" w:rsidRPr="00EE753B">
              <w:rPr>
                <w:b/>
                <w:bCs/>
                <w:color w:val="1F497D" w:themeColor="text2"/>
                <w:sz w:val="22"/>
                <w:szCs w:val="22"/>
              </w:rPr>
              <w:t xml:space="preserve"> kartos šilumos tiekimo sistemai visoje Lietuvoje</w:t>
            </w:r>
          </w:p>
          <w:p w14:paraId="32C9DEF7" w14:textId="187CFFAF" w:rsidR="00800A05" w:rsidRPr="00EE753B" w:rsidRDefault="00800A05" w:rsidP="00800A05">
            <w:pPr>
              <w:spacing w:after="100"/>
              <w:jc w:val="both"/>
              <w:rPr>
                <w:b/>
                <w:bCs/>
                <w:color w:val="1F497D" w:themeColor="text2"/>
                <w:sz w:val="22"/>
                <w:szCs w:val="22"/>
              </w:rPr>
            </w:pPr>
            <w:r w:rsidRPr="00EE753B">
              <w:rPr>
                <w:b/>
                <w:bCs/>
                <w:color w:val="1F497D" w:themeColor="text2"/>
                <w:sz w:val="22"/>
                <w:szCs w:val="22"/>
              </w:rPr>
              <w:t>Veikla 2</w:t>
            </w:r>
            <w:r w:rsidR="006860A1" w:rsidRPr="00EE753B">
              <w:rPr>
                <w:b/>
                <w:bCs/>
                <w:color w:val="1F497D" w:themeColor="text2"/>
                <w:sz w:val="22"/>
                <w:szCs w:val="22"/>
              </w:rPr>
              <w:t>.</w:t>
            </w:r>
            <w:r w:rsidRPr="00EE753B">
              <w:rPr>
                <w:b/>
                <w:bCs/>
                <w:color w:val="1F497D" w:themeColor="text2"/>
                <w:sz w:val="22"/>
                <w:szCs w:val="22"/>
              </w:rPr>
              <w:t xml:space="preserve"> </w:t>
            </w:r>
            <w:r w:rsidR="00117109" w:rsidRPr="00EE753B">
              <w:rPr>
                <w:b/>
                <w:bCs/>
                <w:color w:val="1F497D" w:themeColor="text2"/>
                <w:sz w:val="22"/>
                <w:szCs w:val="22"/>
              </w:rPr>
              <w:t>Centralizuoto šilumos tiekimo tinklo pritaikymas 4</w:t>
            </w:r>
            <w:r w:rsidR="00E60640" w:rsidRPr="00EE753B">
              <w:rPr>
                <w:b/>
                <w:bCs/>
                <w:color w:val="1F497D" w:themeColor="text2"/>
                <w:sz w:val="22"/>
                <w:szCs w:val="22"/>
              </w:rPr>
              <w:t>-os</w:t>
            </w:r>
            <w:r w:rsidR="00117109" w:rsidRPr="00EE753B">
              <w:rPr>
                <w:b/>
                <w:bCs/>
                <w:color w:val="1F497D" w:themeColor="text2"/>
                <w:sz w:val="22"/>
                <w:szCs w:val="22"/>
              </w:rPr>
              <w:t xml:space="preserve"> kartos šilumos tiekimo sistemai Vidurio ir Vakarų Lietuvoje</w:t>
            </w:r>
          </w:p>
          <w:p w14:paraId="5C6D0A6B" w14:textId="0E69A9E7" w:rsidR="00800A05" w:rsidRPr="00EE753B" w:rsidRDefault="00800A05" w:rsidP="00C674A5">
            <w:pPr>
              <w:jc w:val="both"/>
              <w:rPr>
                <w:sz w:val="22"/>
                <w:szCs w:val="22"/>
              </w:rPr>
            </w:pPr>
            <w:r w:rsidRPr="00EE753B">
              <w:rPr>
                <w:sz w:val="22"/>
                <w:szCs w:val="22"/>
              </w:rPr>
              <w:t xml:space="preserve">Veikla 1 ir Veikla 2 skiriasi tik teritorija, kurioje suplanuotos investicijos, tačiau </w:t>
            </w:r>
            <w:r w:rsidR="00452C2F" w:rsidRPr="00EE753B">
              <w:rPr>
                <w:sz w:val="22"/>
                <w:szCs w:val="22"/>
              </w:rPr>
              <w:t>siekiant supaprastinti 2021</w:t>
            </w:r>
            <w:r w:rsidR="004C2F49" w:rsidRPr="00EE753B">
              <w:rPr>
                <w:sz w:val="22"/>
                <w:szCs w:val="22"/>
              </w:rPr>
              <w:t>–</w:t>
            </w:r>
            <w:r w:rsidR="00452C2F" w:rsidRPr="00EE753B">
              <w:rPr>
                <w:sz w:val="22"/>
                <w:szCs w:val="22"/>
              </w:rPr>
              <w:t xml:space="preserve">2027 IP rodiklių pasiekimo stebėseną, yra atskirtos. </w:t>
            </w:r>
          </w:p>
          <w:p w14:paraId="39C170BC" w14:textId="0A640B41" w:rsidR="00A851FA" w:rsidRPr="00EE753B" w:rsidRDefault="00A851FA" w:rsidP="00C674A5">
            <w:pPr>
              <w:jc w:val="both"/>
              <w:rPr>
                <w:sz w:val="22"/>
                <w:szCs w:val="22"/>
              </w:rPr>
            </w:pPr>
            <w:r w:rsidRPr="00EE753B">
              <w:rPr>
                <w:sz w:val="22"/>
                <w:szCs w:val="22"/>
              </w:rPr>
              <w:t>Veiklos esmė – CŠT sistemų temperatūrą sumažinti iki 70°C</w:t>
            </w:r>
            <w:r w:rsidR="00C674A5" w:rsidRPr="00EE753B">
              <w:rPr>
                <w:sz w:val="22"/>
                <w:szCs w:val="22"/>
              </w:rPr>
              <w:t xml:space="preserve"> ir žemiau, </w:t>
            </w:r>
            <w:r w:rsidR="000F01C1" w:rsidRPr="00EE753B">
              <w:rPr>
                <w:sz w:val="22"/>
                <w:szCs w:val="22"/>
              </w:rPr>
              <w:t xml:space="preserve">diegti </w:t>
            </w:r>
            <w:r w:rsidR="001C5680" w:rsidRPr="00EE753B">
              <w:rPr>
                <w:sz w:val="22"/>
                <w:szCs w:val="22"/>
              </w:rPr>
              <w:t>išmaniųjų šilumos tinklų valdymo monitoringo</w:t>
            </w:r>
            <w:r w:rsidR="000336BB" w:rsidRPr="00EE753B">
              <w:rPr>
                <w:sz w:val="22"/>
                <w:szCs w:val="22"/>
              </w:rPr>
              <w:t>, valdymo ir regulia</w:t>
            </w:r>
            <w:r w:rsidR="00CD4942" w:rsidRPr="00EE753B">
              <w:rPr>
                <w:sz w:val="22"/>
                <w:szCs w:val="22"/>
              </w:rPr>
              <w:t>vimo</w:t>
            </w:r>
            <w:r w:rsidR="001C5680" w:rsidRPr="00EE753B">
              <w:rPr>
                <w:sz w:val="22"/>
                <w:szCs w:val="22"/>
              </w:rPr>
              <w:t xml:space="preserve"> sistemas</w:t>
            </w:r>
            <w:r w:rsidR="00CD4942" w:rsidRPr="00EE753B">
              <w:rPr>
                <w:sz w:val="22"/>
                <w:szCs w:val="22"/>
              </w:rPr>
              <w:t xml:space="preserve"> ir atlikti kitus technologinius patobulinimus</w:t>
            </w:r>
            <w:r w:rsidR="001C5680" w:rsidRPr="00EE753B">
              <w:rPr>
                <w:sz w:val="22"/>
                <w:szCs w:val="22"/>
              </w:rPr>
              <w:t xml:space="preserve">, </w:t>
            </w:r>
            <w:r w:rsidR="00C674A5" w:rsidRPr="00EE753B">
              <w:rPr>
                <w:sz w:val="22"/>
                <w:szCs w:val="22"/>
              </w:rPr>
              <w:t>siekiant, kad būtų padidintas CŠT sistemos EV</w:t>
            </w:r>
            <w:r w:rsidR="00DA1777" w:rsidRPr="00EE753B">
              <w:rPr>
                <w:sz w:val="22"/>
                <w:szCs w:val="22"/>
              </w:rPr>
              <w:t>E</w:t>
            </w:r>
            <w:r w:rsidR="00C674A5" w:rsidRPr="00EE753B">
              <w:rPr>
                <w:sz w:val="22"/>
                <w:szCs w:val="22"/>
              </w:rPr>
              <w:t xml:space="preserve">. </w:t>
            </w:r>
          </w:p>
          <w:p w14:paraId="44ED49CB" w14:textId="0288E7A3" w:rsidR="001C012B" w:rsidRPr="00EE753B" w:rsidRDefault="00F62B58" w:rsidP="001C012B">
            <w:pPr>
              <w:jc w:val="both"/>
              <w:rPr>
                <w:sz w:val="22"/>
                <w:szCs w:val="22"/>
              </w:rPr>
            </w:pPr>
            <w:r w:rsidRPr="00EE753B">
              <w:rPr>
                <w:sz w:val="22"/>
                <w:szCs w:val="22"/>
              </w:rPr>
              <w:t xml:space="preserve">Siektinas Veiklos 1 ir Veiklos 2 </w:t>
            </w:r>
            <w:r w:rsidR="007A3406" w:rsidRPr="00EE753B">
              <w:rPr>
                <w:sz w:val="22"/>
                <w:szCs w:val="22"/>
              </w:rPr>
              <w:t xml:space="preserve">produkto </w:t>
            </w:r>
            <w:r w:rsidRPr="00EE753B">
              <w:rPr>
                <w:sz w:val="22"/>
                <w:szCs w:val="22"/>
              </w:rPr>
              <w:t>rodikli</w:t>
            </w:r>
            <w:r w:rsidR="007A3406" w:rsidRPr="00EE753B">
              <w:rPr>
                <w:sz w:val="22"/>
                <w:szCs w:val="22"/>
              </w:rPr>
              <w:t>s</w:t>
            </w:r>
            <w:r w:rsidRPr="00EE753B">
              <w:rPr>
                <w:sz w:val="22"/>
                <w:szCs w:val="22"/>
              </w:rPr>
              <w:t xml:space="preserve"> </w:t>
            </w:r>
            <w:r w:rsidR="004C2F49" w:rsidRPr="00EE753B">
              <w:rPr>
                <w:sz w:val="22"/>
                <w:szCs w:val="22"/>
              </w:rPr>
              <w:t xml:space="preserve">– </w:t>
            </w:r>
            <w:r w:rsidR="00BA3F75" w:rsidRPr="00EE753B">
              <w:rPr>
                <w:b/>
                <w:bCs/>
                <w:i/>
                <w:iCs/>
                <w:sz w:val="22"/>
                <w:szCs w:val="22"/>
              </w:rPr>
              <w:t>Naujai pastatyti ar patobulinti centralizuoto šilumos ir vėsumos tiekimo tinklų vamzdynai</w:t>
            </w:r>
            <w:r w:rsidR="0053087F" w:rsidRPr="00EE753B">
              <w:rPr>
                <w:sz w:val="22"/>
                <w:szCs w:val="22"/>
              </w:rPr>
              <w:t xml:space="preserve">, mato vnt. – km. </w:t>
            </w:r>
            <w:r w:rsidR="007A3406" w:rsidRPr="00EE753B">
              <w:rPr>
                <w:sz w:val="22"/>
                <w:szCs w:val="22"/>
              </w:rPr>
              <w:t xml:space="preserve">Vadovaujantis Europos Parlamento ir Tarybos reglamentu </w:t>
            </w:r>
            <w:r w:rsidR="00C74831" w:rsidRPr="00EE753B">
              <w:rPr>
                <w:sz w:val="22"/>
                <w:szCs w:val="22"/>
              </w:rPr>
              <w:t>(ES) 2021/1058</w:t>
            </w:r>
            <w:r w:rsidR="007A3406" w:rsidRPr="00EE753B">
              <w:rPr>
                <w:sz w:val="22"/>
                <w:szCs w:val="22"/>
              </w:rPr>
              <w:t xml:space="preserve"> dėl Europos regioninės plėtros fondo ir Sanglaudos fondo šis rodiklis yra regioninės politikos bendras produkto rodiklis RCO20 </w:t>
            </w:r>
            <w:r w:rsidR="007A3406" w:rsidRPr="00EE753B">
              <w:rPr>
                <w:i/>
                <w:iCs/>
                <w:sz w:val="22"/>
                <w:szCs w:val="22"/>
              </w:rPr>
              <w:t>(</w:t>
            </w:r>
            <w:r w:rsidR="004C2F49" w:rsidRPr="00EE753B">
              <w:rPr>
                <w:sz w:val="22"/>
                <w:szCs w:val="22"/>
              </w:rPr>
              <w:t>a</w:t>
            </w:r>
            <w:r w:rsidR="007A3406" w:rsidRPr="00EE753B">
              <w:rPr>
                <w:sz w:val="22"/>
                <w:szCs w:val="22"/>
              </w:rPr>
              <w:t>ngl.</w:t>
            </w:r>
            <w:r w:rsidR="007A3406" w:rsidRPr="00EE753B">
              <w:rPr>
                <w:i/>
                <w:iCs/>
                <w:sz w:val="22"/>
                <w:szCs w:val="22"/>
              </w:rPr>
              <w:t xml:space="preserve"> REGIO </w:t>
            </w:r>
            <w:proofErr w:type="spellStart"/>
            <w:r w:rsidR="007A3406" w:rsidRPr="00EE753B">
              <w:rPr>
                <w:i/>
                <w:iCs/>
                <w:sz w:val="22"/>
                <w:szCs w:val="22"/>
              </w:rPr>
              <w:t>Common</w:t>
            </w:r>
            <w:proofErr w:type="spellEnd"/>
            <w:r w:rsidR="007A3406" w:rsidRPr="00EE753B">
              <w:rPr>
                <w:i/>
                <w:iCs/>
                <w:sz w:val="22"/>
                <w:szCs w:val="22"/>
              </w:rPr>
              <w:t xml:space="preserve"> </w:t>
            </w:r>
            <w:proofErr w:type="spellStart"/>
            <w:r w:rsidR="007A3406" w:rsidRPr="00EE753B">
              <w:rPr>
                <w:i/>
                <w:iCs/>
                <w:sz w:val="22"/>
                <w:szCs w:val="22"/>
              </w:rPr>
              <w:t>Output</w:t>
            </w:r>
            <w:proofErr w:type="spellEnd"/>
            <w:r w:rsidR="007A3406" w:rsidRPr="00EE753B">
              <w:rPr>
                <w:i/>
                <w:iCs/>
                <w:sz w:val="22"/>
                <w:szCs w:val="22"/>
              </w:rPr>
              <w:t xml:space="preserve"> </w:t>
            </w:r>
            <w:proofErr w:type="spellStart"/>
            <w:r w:rsidR="007A3406" w:rsidRPr="00EE753B">
              <w:rPr>
                <w:i/>
                <w:iCs/>
                <w:sz w:val="22"/>
                <w:szCs w:val="22"/>
              </w:rPr>
              <w:t>Indicator</w:t>
            </w:r>
            <w:proofErr w:type="spellEnd"/>
            <w:r w:rsidR="007A3406" w:rsidRPr="00EE753B">
              <w:rPr>
                <w:sz w:val="22"/>
                <w:szCs w:val="22"/>
              </w:rPr>
              <w:t>).</w:t>
            </w:r>
            <w:r w:rsidR="00DD38FF" w:rsidRPr="00EE753B">
              <w:rPr>
                <w:sz w:val="22"/>
                <w:szCs w:val="22"/>
              </w:rPr>
              <w:t xml:space="preserve"> Remiantis EK 2021-2027 m. Europos regioninės plėtros ir Sanglaudos fondų rodiklių </w:t>
            </w:r>
            <w:r w:rsidR="00C74831" w:rsidRPr="00EE753B">
              <w:rPr>
                <w:sz w:val="22"/>
                <w:szCs w:val="22"/>
              </w:rPr>
              <w:t>aprašymu</w:t>
            </w:r>
            <w:r w:rsidR="00DD38FF" w:rsidRPr="00EE753B">
              <w:rPr>
                <w:sz w:val="22"/>
                <w:szCs w:val="22"/>
              </w:rPr>
              <w:t>, bendra rodiklio vertė</w:t>
            </w:r>
            <w:r w:rsidR="0045029C" w:rsidRPr="00EE753B">
              <w:rPr>
                <w:sz w:val="22"/>
                <w:szCs w:val="22"/>
              </w:rPr>
              <w:t xml:space="preserve"> yra </w:t>
            </w:r>
            <w:r w:rsidR="005B41F4" w:rsidRPr="00EE753B">
              <w:rPr>
                <w:sz w:val="22"/>
                <w:szCs w:val="22"/>
              </w:rPr>
              <w:t xml:space="preserve">suminis naujai nutiestų arba modernizuotų </w:t>
            </w:r>
            <w:r w:rsidR="00923C37" w:rsidRPr="00EE753B">
              <w:rPr>
                <w:sz w:val="22"/>
                <w:szCs w:val="22"/>
              </w:rPr>
              <w:t xml:space="preserve">EVE </w:t>
            </w:r>
            <w:r w:rsidR="001B5B39" w:rsidRPr="00EE753B">
              <w:rPr>
                <w:sz w:val="22"/>
                <w:szCs w:val="22"/>
              </w:rPr>
              <w:t xml:space="preserve">padidinimo prasme </w:t>
            </w:r>
            <w:r w:rsidR="0019036B" w:rsidRPr="00EE753B">
              <w:rPr>
                <w:sz w:val="22"/>
                <w:szCs w:val="22"/>
              </w:rPr>
              <w:t xml:space="preserve">CŠT </w:t>
            </w:r>
            <w:r w:rsidR="00923C37" w:rsidRPr="00EE753B">
              <w:rPr>
                <w:sz w:val="22"/>
                <w:szCs w:val="22"/>
              </w:rPr>
              <w:t>sistemų arba vėsumos tiekimo linijų ilgis</w:t>
            </w:r>
            <w:r w:rsidR="00D51A93" w:rsidRPr="00EE753B">
              <w:rPr>
                <w:sz w:val="22"/>
                <w:szCs w:val="22"/>
              </w:rPr>
              <w:t xml:space="preserve">. </w:t>
            </w:r>
            <w:r w:rsidR="001B5B39" w:rsidRPr="00EE753B">
              <w:rPr>
                <w:sz w:val="22"/>
                <w:szCs w:val="22"/>
              </w:rPr>
              <w:t xml:space="preserve">Padidintas EVE </w:t>
            </w:r>
            <w:r w:rsidR="00101F80" w:rsidRPr="00EE753B">
              <w:rPr>
                <w:sz w:val="22"/>
                <w:szCs w:val="22"/>
              </w:rPr>
              <w:t xml:space="preserve">reiškia šilumos ir vėsumos tiekimo linijų EVE </w:t>
            </w:r>
            <w:r w:rsidR="00F47810" w:rsidRPr="00EE753B">
              <w:rPr>
                <w:sz w:val="22"/>
                <w:szCs w:val="22"/>
              </w:rPr>
              <w:t xml:space="preserve">pagal techninę atliktų darbų specifikaciją. EVE vertinimas atitinka </w:t>
            </w:r>
            <w:r w:rsidR="001C012B" w:rsidRPr="00EE753B">
              <w:rPr>
                <w:sz w:val="22"/>
                <w:szCs w:val="22"/>
              </w:rPr>
              <w:t>Dire</w:t>
            </w:r>
            <w:r w:rsidR="00F47810" w:rsidRPr="00EE753B">
              <w:rPr>
                <w:sz w:val="22"/>
                <w:szCs w:val="22"/>
              </w:rPr>
              <w:t>ktyvos</w:t>
            </w:r>
            <w:r w:rsidR="001C012B" w:rsidRPr="00EE753B">
              <w:rPr>
                <w:sz w:val="22"/>
                <w:szCs w:val="22"/>
              </w:rPr>
              <w:t xml:space="preserve"> 2012/27/EU </w:t>
            </w:r>
            <w:r w:rsidR="00F47810" w:rsidRPr="00EE753B">
              <w:rPr>
                <w:sz w:val="22"/>
                <w:szCs w:val="22"/>
              </w:rPr>
              <w:t xml:space="preserve">nuostatas. </w:t>
            </w:r>
          </w:p>
          <w:p w14:paraId="7EB09A81" w14:textId="3ACFC356" w:rsidR="007A3406" w:rsidRPr="00EE753B" w:rsidRDefault="007A3406" w:rsidP="007A3406">
            <w:pPr>
              <w:jc w:val="both"/>
              <w:rPr>
                <w:sz w:val="22"/>
                <w:szCs w:val="22"/>
              </w:rPr>
            </w:pPr>
            <w:r w:rsidRPr="00EE753B">
              <w:rPr>
                <w:sz w:val="22"/>
                <w:szCs w:val="22"/>
              </w:rPr>
              <w:t>Tarpinė ir galutinė rodiklių reikšmės pateiktos lentelėje.</w:t>
            </w:r>
          </w:p>
          <w:p w14:paraId="386CAD6B" w14:textId="1F909A4C" w:rsidR="00F62B58" w:rsidRPr="00EE753B" w:rsidRDefault="007A3406" w:rsidP="007A3406">
            <w:pPr>
              <w:jc w:val="both"/>
              <w:rPr>
                <w:sz w:val="22"/>
                <w:szCs w:val="22"/>
              </w:rPr>
            </w:pPr>
            <w:r w:rsidRPr="00EE753B">
              <w:rPr>
                <w:sz w:val="22"/>
                <w:szCs w:val="22"/>
                <w:lang w:eastAsia="lt-LT"/>
              </w:rPr>
              <w:t xml:space="preserve">Pažangos priemonės įgyvendinimo pradžioje rodiklio reikšmė lygi 0. Tarpinė rodiklio reikšmė nustatyta 2024 m. ir yra lygi </w:t>
            </w:r>
            <w:r w:rsidR="007256B0" w:rsidRPr="00EE753B">
              <w:rPr>
                <w:sz w:val="22"/>
                <w:szCs w:val="22"/>
                <w:lang w:eastAsia="lt-LT"/>
              </w:rPr>
              <w:t>0</w:t>
            </w:r>
            <w:r w:rsidRPr="00EE753B">
              <w:rPr>
                <w:sz w:val="22"/>
                <w:szCs w:val="22"/>
                <w:lang w:eastAsia="lt-LT"/>
              </w:rPr>
              <w:t xml:space="preserve"> km. Galutinė siekiama rodiklio reikšmė 2029 m. yra </w:t>
            </w:r>
            <w:r w:rsidR="00CF491A" w:rsidRPr="00EE753B">
              <w:rPr>
                <w:sz w:val="22"/>
                <w:szCs w:val="22"/>
                <w:lang w:eastAsia="lt-LT"/>
              </w:rPr>
              <w:t>3</w:t>
            </w:r>
            <w:r w:rsidR="007256B0" w:rsidRPr="00EE753B">
              <w:rPr>
                <w:sz w:val="22"/>
                <w:szCs w:val="22"/>
                <w:lang w:eastAsia="lt-LT"/>
              </w:rPr>
              <w:t>4</w:t>
            </w:r>
            <w:r w:rsidRPr="00EE753B">
              <w:rPr>
                <w:sz w:val="22"/>
                <w:szCs w:val="22"/>
                <w:lang w:eastAsia="lt-LT"/>
              </w:rPr>
              <w:t xml:space="preserve"> km</w:t>
            </w:r>
            <w:r w:rsidRPr="00EE753B">
              <w:rPr>
                <w:sz w:val="22"/>
                <w:szCs w:val="22"/>
              </w:rPr>
              <w:t xml:space="preserve">. </w:t>
            </w:r>
          </w:p>
          <w:p w14:paraId="64A38134" w14:textId="3C70276C" w:rsidR="004F23FA" w:rsidRPr="00EE753B" w:rsidRDefault="004F23FA" w:rsidP="00F62B58">
            <w:pPr>
              <w:jc w:val="both"/>
              <w:rPr>
                <w:sz w:val="22"/>
                <w:szCs w:val="22"/>
              </w:rPr>
            </w:pPr>
          </w:p>
          <w:p w14:paraId="35A53D11" w14:textId="3D5959B3" w:rsidR="004F23FA" w:rsidRPr="00EE753B" w:rsidRDefault="004F23FA" w:rsidP="00F62B58">
            <w:pPr>
              <w:jc w:val="both"/>
              <w:rPr>
                <w:i/>
                <w:iCs/>
                <w:color w:val="1F497D" w:themeColor="text2"/>
                <w:sz w:val="18"/>
                <w:szCs w:val="18"/>
                <w:lang w:eastAsia="lt-LT"/>
              </w:rPr>
            </w:pPr>
            <w:r w:rsidRPr="00EE753B">
              <w:rPr>
                <w:i/>
                <w:iCs/>
                <w:color w:val="1F497D" w:themeColor="text2"/>
                <w:sz w:val="18"/>
                <w:szCs w:val="18"/>
                <w:lang w:eastAsia="lt-LT"/>
              </w:rPr>
              <w:t xml:space="preserve">Lentelė </w:t>
            </w:r>
            <w:r w:rsidRPr="00EE753B">
              <w:rPr>
                <w:i/>
                <w:iCs/>
                <w:color w:val="1F497D" w:themeColor="text2"/>
                <w:sz w:val="18"/>
                <w:szCs w:val="18"/>
                <w:lang w:eastAsia="lt-LT"/>
              </w:rPr>
              <w:fldChar w:fldCharType="begin"/>
            </w:r>
            <w:r w:rsidRPr="00EE753B">
              <w:rPr>
                <w:i/>
                <w:iCs/>
                <w:color w:val="1F497D" w:themeColor="text2"/>
                <w:sz w:val="18"/>
                <w:szCs w:val="18"/>
                <w:lang w:eastAsia="lt-LT"/>
              </w:rPr>
              <w:instrText xml:space="preserve"> SEQ Lentelė \* ARABIC </w:instrText>
            </w:r>
            <w:r w:rsidRPr="00EE753B">
              <w:rPr>
                <w:i/>
                <w:iCs/>
                <w:color w:val="1F497D" w:themeColor="text2"/>
                <w:sz w:val="18"/>
                <w:szCs w:val="18"/>
                <w:lang w:eastAsia="lt-LT"/>
              </w:rPr>
              <w:fldChar w:fldCharType="separate"/>
            </w:r>
            <w:r w:rsidRPr="00EE753B">
              <w:rPr>
                <w:i/>
                <w:iCs/>
                <w:noProof/>
                <w:color w:val="1F497D" w:themeColor="text2"/>
                <w:sz w:val="18"/>
                <w:szCs w:val="18"/>
                <w:lang w:eastAsia="lt-LT"/>
              </w:rPr>
              <w:t>4</w:t>
            </w:r>
            <w:r w:rsidRPr="00EE753B">
              <w:rPr>
                <w:i/>
                <w:iCs/>
                <w:color w:val="1F497D" w:themeColor="text2"/>
                <w:sz w:val="18"/>
                <w:szCs w:val="18"/>
                <w:lang w:eastAsia="lt-LT"/>
              </w:rPr>
              <w:fldChar w:fldCharType="end"/>
            </w:r>
            <w:r w:rsidRPr="00EE753B">
              <w:rPr>
                <w:i/>
                <w:iCs/>
                <w:color w:val="1F497D" w:themeColor="text2"/>
                <w:sz w:val="18"/>
                <w:szCs w:val="18"/>
                <w:lang w:eastAsia="lt-LT"/>
              </w:rPr>
              <w:t>. Veiklos 1 ir Veiklos 2 produkto rodiklio reikšmės ir suplanuotos lėšos</w:t>
            </w:r>
          </w:p>
          <w:p w14:paraId="27D30DEE" w14:textId="77777777" w:rsidR="009A2189" w:rsidRPr="00EE753B" w:rsidRDefault="009A2189" w:rsidP="00F62B58">
            <w:pPr>
              <w:jc w:val="both"/>
              <w:rPr>
                <w:i/>
                <w:iCs/>
                <w:color w:val="1F497D" w:themeColor="text2"/>
                <w:sz w:val="18"/>
                <w:szCs w:val="18"/>
                <w:lang w:eastAsia="lt-LT"/>
              </w:rPr>
            </w:pPr>
          </w:p>
          <w:tbl>
            <w:tblPr>
              <w:tblStyle w:val="TableGrid"/>
              <w:tblW w:w="5000" w:type="pct"/>
              <w:tblCellMar>
                <w:left w:w="28" w:type="dxa"/>
                <w:right w:w="28" w:type="dxa"/>
              </w:tblCellMar>
              <w:tblLook w:val="04A0" w:firstRow="1" w:lastRow="0" w:firstColumn="1" w:lastColumn="0" w:noHBand="0" w:noVBand="1"/>
            </w:tblPr>
            <w:tblGrid>
              <w:gridCol w:w="2354"/>
              <w:gridCol w:w="1971"/>
              <w:gridCol w:w="1004"/>
              <w:gridCol w:w="1175"/>
              <w:gridCol w:w="1352"/>
              <w:gridCol w:w="1546"/>
            </w:tblGrid>
            <w:tr w:rsidR="009A2189" w:rsidRPr="00EE753B" w14:paraId="63F7E9BE" w14:textId="77777777" w:rsidTr="00FB3184">
              <w:trPr>
                <w:tblHeader/>
              </w:trPr>
              <w:tc>
                <w:tcPr>
                  <w:tcW w:w="1252" w:type="pct"/>
                  <w:shd w:val="clear" w:color="auto" w:fill="D7E6C8"/>
                  <w:vAlign w:val="center"/>
                  <w:hideMark/>
                </w:tcPr>
                <w:p w14:paraId="4FBAD918" w14:textId="7CE2D84B" w:rsidR="009A2189" w:rsidRPr="00EE753B" w:rsidRDefault="009A2189" w:rsidP="009A2189">
                  <w:pPr>
                    <w:jc w:val="center"/>
                    <w:rPr>
                      <w:rFonts w:ascii="Arial" w:hAnsi="Arial" w:cs="Arial"/>
                      <w:b/>
                      <w:sz w:val="18"/>
                      <w:lang w:eastAsia="lt-LT"/>
                    </w:rPr>
                  </w:pPr>
                  <w:r w:rsidRPr="00EE753B">
                    <w:rPr>
                      <w:rFonts w:ascii="Arial" w:hAnsi="Arial" w:cs="Arial"/>
                      <w:b/>
                      <w:sz w:val="18"/>
                      <w:lang w:eastAsia="lt-LT"/>
                    </w:rPr>
                    <w:t>Veiklos Nr. ir pavadinimas</w:t>
                  </w:r>
                </w:p>
              </w:tc>
              <w:tc>
                <w:tcPr>
                  <w:tcW w:w="1048" w:type="pct"/>
                  <w:shd w:val="clear" w:color="auto" w:fill="D7E6C8"/>
                  <w:vAlign w:val="center"/>
                  <w:hideMark/>
                </w:tcPr>
                <w:p w14:paraId="5483A406" w14:textId="592B08B1" w:rsidR="009A2189" w:rsidRPr="00EE753B" w:rsidRDefault="009A2189" w:rsidP="009A2189">
                  <w:pPr>
                    <w:jc w:val="center"/>
                    <w:rPr>
                      <w:rFonts w:ascii="Arial" w:hAnsi="Arial" w:cs="Arial"/>
                      <w:b/>
                      <w:sz w:val="18"/>
                      <w:lang w:eastAsia="lt-LT"/>
                    </w:rPr>
                  </w:pPr>
                  <w:r w:rsidRPr="00EE753B">
                    <w:rPr>
                      <w:rFonts w:ascii="Arial" w:hAnsi="Arial" w:cs="Arial"/>
                      <w:b/>
                      <w:sz w:val="18"/>
                      <w:lang w:eastAsia="lt-LT"/>
                    </w:rPr>
                    <w:t>Siekiamas produkto rodiklis 2021</w:t>
                  </w:r>
                  <w:r w:rsidR="004C2F49" w:rsidRPr="00EE753B">
                    <w:rPr>
                      <w:rFonts w:ascii="Arial" w:hAnsi="Arial" w:cs="Arial"/>
                      <w:b/>
                      <w:sz w:val="18"/>
                      <w:lang w:eastAsia="lt-LT"/>
                    </w:rPr>
                    <w:t>–</w:t>
                  </w:r>
                  <w:r w:rsidRPr="00EE753B">
                    <w:rPr>
                      <w:rFonts w:ascii="Arial" w:hAnsi="Arial" w:cs="Arial"/>
                      <w:b/>
                      <w:sz w:val="18"/>
                      <w:lang w:eastAsia="lt-LT"/>
                    </w:rPr>
                    <w:t>2027 IP</w:t>
                  </w:r>
                </w:p>
              </w:tc>
              <w:tc>
                <w:tcPr>
                  <w:tcW w:w="534" w:type="pct"/>
                  <w:shd w:val="clear" w:color="auto" w:fill="D7E6C8"/>
                  <w:vAlign w:val="center"/>
                  <w:hideMark/>
                </w:tcPr>
                <w:p w14:paraId="2F9B2B44" w14:textId="77777777" w:rsidR="009A2189" w:rsidRPr="00EE753B" w:rsidRDefault="009A2189" w:rsidP="009A2189">
                  <w:pPr>
                    <w:jc w:val="center"/>
                    <w:rPr>
                      <w:rFonts w:ascii="Arial" w:hAnsi="Arial" w:cs="Arial"/>
                      <w:b/>
                      <w:sz w:val="18"/>
                      <w:lang w:eastAsia="lt-LT"/>
                    </w:rPr>
                  </w:pPr>
                  <w:r w:rsidRPr="00EE753B">
                    <w:rPr>
                      <w:rFonts w:ascii="Arial" w:hAnsi="Arial" w:cs="Arial"/>
                      <w:b/>
                      <w:sz w:val="18"/>
                      <w:lang w:eastAsia="lt-LT"/>
                    </w:rPr>
                    <w:t>Tarpinė reikšmė</w:t>
                  </w:r>
                </w:p>
              </w:tc>
              <w:tc>
                <w:tcPr>
                  <w:tcW w:w="625" w:type="pct"/>
                  <w:shd w:val="clear" w:color="auto" w:fill="D7E6C8"/>
                  <w:vAlign w:val="center"/>
                  <w:hideMark/>
                </w:tcPr>
                <w:p w14:paraId="6ED78C9E" w14:textId="77777777" w:rsidR="009A2189" w:rsidRPr="00EE753B" w:rsidRDefault="009A2189" w:rsidP="009A2189">
                  <w:pPr>
                    <w:jc w:val="center"/>
                    <w:rPr>
                      <w:rFonts w:ascii="Arial" w:hAnsi="Arial" w:cs="Arial"/>
                      <w:b/>
                      <w:sz w:val="18"/>
                      <w:lang w:eastAsia="lt-LT"/>
                    </w:rPr>
                  </w:pPr>
                  <w:r w:rsidRPr="00EE753B">
                    <w:rPr>
                      <w:rFonts w:ascii="Arial" w:hAnsi="Arial" w:cs="Arial"/>
                      <w:b/>
                      <w:sz w:val="18"/>
                      <w:lang w:eastAsia="lt-LT"/>
                    </w:rPr>
                    <w:t>Galutinė reikšmė</w:t>
                  </w:r>
                </w:p>
              </w:tc>
              <w:tc>
                <w:tcPr>
                  <w:tcW w:w="719" w:type="pct"/>
                  <w:shd w:val="clear" w:color="auto" w:fill="D7E6C8"/>
                  <w:vAlign w:val="center"/>
                  <w:hideMark/>
                </w:tcPr>
                <w:p w14:paraId="5E3A7D16" w14:textId="62F95C25" w:rsidR="009A2189" w:rsidRPr="00EE753B" w:rsidRDefault="009A2189" w:rsidP="009A2189">
                  <w:pPr>
                    <w:jc w:val="center"/>
                    <w:rPr>
                      <w:rFonts w:ascii="Arial" w:hAnsi="Arial" w:cs="Arial"/>
                      <w:b/>
                      <w:sz w:val="18"/>
                      <w:lang w:eastAsia="lt-LT"/>
                    </w:rPr>
                  </w:pPr>
                  <w:r w:rsidRPr="00EE753B">
                    <w:rPr>
                      <w:rFonts w:ascii="Arial" w:hAnsi="Arial" w:cs="Arial"/>
                      <w:b/>
                      <w:sz w:val="18"/>
                      <w:lang w:eastAsia="lt-LT"/>
                    </w:rPr>
                    <w:t>2021</w:t>
                  </w:r>
                  <w:r w:rsidR="004C2F49" w:rsidRPr="00EE753B">
                    <w:rPr>
                      <w:rFonts w:ascii="Arial" w:hAnsi="Arial" w:cs="Arial"/>
                      <w:b/>
                      <w:sz w:val="18"/>
                      <w:lang w:eastAsia="lt-LT"/>
                    </w:rPr>
                    <w:t>–</w:t>
                  </w:r>
                  <w:r w:rsidRPr="00EE753B">
                    <w:rPr>
                      <w:rFonts w:ascii="Arial" w:hAnsi="Arial" w:cs="Arial"/>
                      <w:b/>
                      <w:sz w:val="18"/>
                      <w:lang w:eastAsia="lt-LT"/>
                    </w:rPr>
                    <w:t>2027 IP</w:t>
                  </w:r>
                </w:p>
              </w:tc>
              <w:tc>
                <w:tcPr>
                  <w:tcW w:w="822" w:type="pct"/>
                  <w:shd w:val="clear" w:color="auto" w:fill="D7E6C8"/>
                  <w:vAlign w:val="center"/>
                  <w:hideMark/>
                </w:tcPr>
                <w:p w14:paraId="04DDA038" w14:textId="77777777" w:rsidR="009A2189" w:rsidRPr="00EE753B" w:rsidRDefault="009A2189" w:rsidP="009A2189">
                  <w:pPr>
                    <w:jc w:val="center"/>
                    <w:rPr>
                      <w:rFonts w:ascii="Arial" w:hAnsi="Arial" w:cs="Arial"/>
                      <w:b/>
                      <w:sz w:val="18"/>
                      <w:lang w:eastAsia="lt-LT"/>
                    </w:rPr>
                  </w:pPr>
                  <w:r w:rsidRPr="00EE753B">
                    <w:rPr>
                      <w:rFonts w:ascii="Arial" w:hAnsi="Arial" w:cs="Arial"/>
                      <w:b/>
                      <w:sz w:val="18"/>
                      <w:lang w:eastAsia="lt-LT"/>
                    </w:rPr>
                    <w:t>Privačios lėšos</w:t>
                  </w:r>
                </w:p>
              </w:tc>
            </w:tr>
            <w:tr w:rsidR="009A2189" w:rsidRPr="00EE753B" w14:paraId="59077D5B" w14:textId="77777777" w:rsidTr="00FB3184">
              <w:tc>
                <w:tcPr>
                  <w:tcW w:w="1252" w:type="pct"/>
                  <w:shd w:val="clear" w:color="auto" w:fill="auto"/>
                  <w:vAlign w:val="center"/>
                  <w:hideMark/>
                </w:tcPr>
                <w:p w14:paraId="38CF1CCE" w14:textId="19F7AF8B" w:rsidR="009A2189" w:rsidRPr="00EE753B" w:rsidRDefault="001251DC" w:rsidP="009A288B">
                  <w:pPr>
                    <w:pStyle w:val="ListParagraph"/>
                    <w:numPr>
                      <w:ilvl w:val="0"/>
                      <w:numId w:val="34"/>
                    </w:numPr>
                    <w:rPr>
                      <w:rFonts w:ascii="Arial" w:hAnsi="Arial" w:cs="Arial"/>
                      <w:sz w:val="18"/>
                      <w:szCs w:val="23"/>
                    </w:rPr>
                  </w:pPr>
                  <w:r w:rsidRPr="00EE753B">
                    <w:rPr>
                      <w:rFonts w:ascii="Arial" w:hAnsi="Arial" w:cs="Arial"/>
                      <w:sz w:val="18"/>
                      <w:szCs w:val="23"/>
                    </w:rPr>
                    <w:t>Centralizuoto šilumos tiekimo tinklo pritaikymas 4</w:t>
                  </w:r>
                  <w:r w:rsidR="00CD75FE" w:rsidRPr="00EE753B">
                    <w:rPr>
                      <w:rFonts w:ascii="Arial" w:hAnsi="Arial" w:cs="Arial"/>
                      <w:sz w:val="18"/>
                      <w:szCs w:val="23"/>
                    </w:rPr>
                    <w:t>-os</w:t>
                  </w:r>
                  <w:r w:rsidRPr="00EE753B">
                    <w:rPr>
                      <w:rFonts w:ascii="Arial" w:hAnsi="Arial" w:cs="Arial"/>
                      <w:sz w:val="18"/>
                      <w:szCs w:val="23"/>
                    </w:rPr>
                    <w:t xml:space="preserve"> kartos šilumos tiekimo sistemai visoje Lietuvoje</w:t>
                  </w:r>
                </w:p>
              </w:tc>
              <w:tc>
                <w:tcPr>
                  <w:tcW w:w="1048" w:type="pct"/>
                  <w:shd w:val="clear" w:color="auto" w:fill="auto"/>
                  <w:vAlign w:val="center"/>
                  <w:hideMark/>
                </w:tcPr>
                <w:p w14:paraId="59D03E7D" w14:textId="57A6DA6B" w:rsidR="009A2189" w:rsidRPr="00EE753B" w:rsidRDefault="009A2189" w:rsidP="009A2189">
                  <w:pPr>
                    <w:jc w:val="center"/>
                    <w:rPr>
                      <w:rFonts w:ascii="Arial" w:hAnsi="Arial" w:cs="Arial"/>
                      <w:sz w:val="18"/>
                      <w:lang w:eastAsia="lt-LT"/>
                    </w:rPr>
                  </w:pPr>
                  <w:r w:rsidRPr="00EE753B">
                    <w:rPr>
                      <w:rFonts w:ascii="Arial" w:hAnsi="Arial" w:cs="Arial"/>
                      <w:sz w:val="18"/>
                      <w:lang w:eastAsia="lt-LT"/>
                    </w:rPr>
                    <w:t xml:space="preserve">Naujai pastatyti ar </w:t>
                  </w:r>
                  <w:r w:rsidR="00ED4411" w:rsidRPr="00EE753B">
                    <w:rPr>
                      <w:rFonts w:ascii="Arial" w:hAnsi="Arial" w:cs="Arial"/>
                      <w:sz w:val="18"/>
                      <w:lang w:eastAsia="lt-LT"/>
                    </w:rPr>
                    <w:t xml:space="preserve">modernizuoti </w:t>
                  </w:r>
                  <w:r w:rsidRPr="00EE753B">
                    <w:rPr>
                      <w:rFonts w:ascii="Arial" w:hAnsi="Arial" w:cs="Arial"/>
                      <w:sz w:val="18"/>
                      <w:lang w:eastAsia="lt-LT"/>
                    </w:rPr>
                    <w:t>centralizuoto šilumos ir vėsumos tiekimo tinklų vamzdynai</w:t>
                  </w:r>
                  <w:r w:rsidR="00ED4411" w:rsidRPr="00EE753B">
                    <w:rPr>
                      <w:rFonts w:ascii="Arial" w:hAnsi="Arial" w:cs="Arial"/>
                      <w:sz w:val="18"/>
                      <w:lang w:eastAsia="lt-LT"/>
                    </w:rPr>
                    <w:t>, km.</w:t>
                  </w:r>
                </w:p>
              </w:tc>
              <w:tc>
                <w:tcPr>
                  <w:tcW w:w="534" w:type="pct"/>
                  <w:shd w:val="clear" w:color="auto" w:fill="auto"/>
                  <w:vAlign w:val="center"/>
                  <w:hideMark/>
                </w:tcPr>
                <w:p w14:paraId="51AF6542" w14:textId="097C0A10" w:rsidR="009A2189" w:rsidRPr="00EE753B" w:rsidRDefault="00136AE4" w:rsidP="009A2189">
                  <w:pPr>
                    <w:jc w:val="center"/>
                    <w:rPr>
                      <w:rFonts w:ascii="Arial" w:hAnsi="Arial" w:cs="Arial"/>
                      <w:sz w:val="18"/>
                      <w:lang w:eastAsia="lt-LT"/>
                    </w:rPr>
                  </w:pPr>
                  <w:r w:rsidRPr="00EE753B">
                    <w:rPr>
                      <w:rFonts w:ascii="Arial" w:hAnsi="Arial" w:cs="Arial"/>
                      <w:sz w:val="18"/>
                      <w:lang w:eastAsia="lt-LT"/>
                    </w:rPr>
                    <w:t>0</w:t>
                  </w:r>
                </w:p>
              </w:tc>
              <w:tc>
                <w:tcPr>
                  <w:tcW w:w="625" w:type="pct"/>
                  <w:shd w:val="clear" w:color="auto" w:fill="auto"/>
                  <w:vAlign w:val="center"/>
                  <w:hideMark/>
                </w:tcPr>
                <w:p w14:paraId="50CC7961" w14:textId="769AC0FB" w:rsidR="009A2189" w:rsidRPr="00EE753B" w:rsidRDefault="00CF491A" w:rsidP="009A2189">
                  <w:pPr>
                    <w:jc w:val="center"/>
                    <w:rPr>
                      <w:rFonts w:ascii="Arial" w:hAnsi="Arial" w:cs="Arial"/>
                      <w:sz w:val="18"/>
                      <w:lang w:eastAsia="lt-LT"/>
                    </w:rPr>
                  </w:pPr>
                  <w:r w:rsidRPr="00EE753B">
                    <w:rPr>
                      <w:rFonts w:ascii="Arial" w:hAnsi="Arial" w:cs="Arial"/>
                      <w:sz w:val="18"/>
                      <w:lang w:eastAsia="lt-LT"/>
                    </w:rPr>
                    <w:t>1</w:t>
                  </w:r>
                  <w:r w:rsidR="00136AE4" w:rsidRPr="00EE753B">
                    <w:rPr>
                      <w:rFonts w:ascii="Arial" w:hAnsi="Arial" w:cs="Arial"/>
                      <w:sz w:val="18"/>
                      <w:lang w:eastAsia="lt-LT"/>
                    </w:rPr>
                    <w:t>7</w:t>
                  </w:r>
                </w:p>
              </w:tc>
              <w:tc>
                <w:tcPr>
                  <w:tcW w:w="719" w:type="pct"/>
                  <w:shd w:val="clear" w:color="auto" w:fill="auto"/>
                  <w:vAlign w:val="center"/>
                  <w:hideMark/>
                </w:tcPr>
                <w:p w14:paraId="4F59675D" w14:textId="238FAE3F" w:rsidR="009A2189" w:rsidRPr="00EE753B" w:rsidRDefault="009A2189" w:rsidP="009A2189">
                  <w:pPr>
                    <w:jc w:val="center"/>
                    <w:rPr>
                      <w:rFonts w:ascii="Arial" w:hAnsi="Arial" w:cs="Arial"/>
                      <w:sz w:val="18"/>
                      <w:lang w:eastAsia="lt-LT"/>
                    </w:rPr>
                  </w:pPr>
                  <w:r w:rsidRPr="00EE753B">
                    <w:rPr>
                      <w:rFonts w:ascii="Arial" w:hAnsi="Arial" w:cs="Arial"/>
                      <w:sz w:val="18"/>
                      <w:lang w:eastAsia="lt-LT"/>
                    </w:rPr>
                    <w:t>6</w:t>
                  </w:r>
                  <w:r w:rsidR="004C2F49" w:rsidRPr="00EE753B">
                    <w:rPr>
                      <w:rFonts w:ascii="Arial" w:hAnsi="Arial" w:cs="Arial"/>
                      <w:sz w:val="18"/>
                      <w:lang w:eastAsia="lt-LT"/>
                    </w:rPr>
                    <w:t xml:space="preserve"> </w:t>
                  </w:r>
                  <w:r w:rsidRPr="00EE753B">
                    <w:rPr>
                      <w:rFonts w:ascii="Arial" w:hAnsi="Arial" w:cs="Arial"/>
                      <w:sz w:val="18"/>
                      <w:lang w:eastAsia="lt-LT"/>
                    </w:rPr>
                    <w:t>750</w:t>
                  </w:r>
                  <w:r w:rsidR="004C2F49" w:rsidRPr="00EE753B">
                    <w:rPr>
                      <w:rFonts w:ascii="Arial" w:hAnsi="Arial" w:cs="Arial"/>
                      <w:sz w:val="18"/>
                      <w:lang w:eastAsia="lt-LT"/>
                    </w:rPr>
                    <w:t xml:space="preserve"> </w:t>
                  </w:r>
                  <w:r w:rsidRPr="00EE753B">
                    <w:rPr>
                      <w:rFonts w:ascii="Arial" w:hAnsi="Arial" w:cs="Arial"/>
                      <w:sz w:val="18"/>
                      <w:lang w:eastAsia="lt-LT"/>
                    </w:rPr>
                    <w:t>000</w:t>
                  </w:r>
                </w:p>
              </w:tc>
              <w:tc>
                <w:tcPr>
                  <w:tcW w:w="822" w:type="pct"/>
                  <w:shd w:val="clear" w:color="auto" w:fill="auto"/>
                  <w:vAlign w:val="center"/>
                  <w:hideMark/>
                </w:tcPr>
                <w:p w14:paraId="33DF2E8E" w14:textId="682873E2" w:rsidR="009A2189" w:rsidRPr="00EE753B" w:rsidRDefault="00611D8C" w:rsidP="009A2189">
                  <w:pPr>
                    <w:jc w:val="center"/>
                    <w:rPr>
                      <w:rFonts w:ascii="Arial" w:hAnsi="Arial" w:cs="Arial"/>
                      <w:sz w:val="18"/>
                      <w:lang w:eastAsia="lt-LT"/>
                    </w:rPr>
                  </w:pPr>
                  <w:r w:rsidRPr="00EE753B">
                    <w:rPr>
                      <w:rFonts w:ascii="Arial" w:hAnsi="Arial" w:cs="Arial"/>
                      <w:sz w:val="18"/>
                      <w:szCs w:val="18"/>
                    </w:rPr>
                    <w:t xml:space="preserve">1 577 </w:t>
                  </w:r>
                  <w:r w:rsidR="00FB3184" w:rsidRPr="00EE753B">
                    <w:rPr>
                      <w:rFonts w:ascii="Arial" w:hAnsi="Arial" w:cs="Arial"/>
                      <w:sz w:val="18"/>
                      <w:szCs w:val="18"/>
                    </w:rPr>
                    <w:t>000</w:t>
                  </w:r>
                </w:p>
              </w:tc>
            </w:tr>
            <w:tr w:rsidR="009A2189" w:rsidRPr="00EE753B" w14:paraId="5279A4B3" w14:textId="77777777" w:rsidTr="00FB3184">
              <w:tc>
                <w:tcPr>
                  <w:tcW w:w="1252" w:type="pct"/>
                  <w:shd w:val="clear" w:color="auto" w:fill="auto"/>
                  <w:vAlign w:val="center"/>
                  <w:hideMark/>
                </w:tcPr>
                <w:p w14:paraId="6AA34084" w14:textId="4E162EAD" w:rsidR="009A2189" w:rsidRPr="00EE753B" w:rsidRDefault="001251DC" w:rsidP="009A288B">
                  <w:pPr>
                    <w:pStyle w:val="ListParagraph"/>
                    <w:numPr>
                      <w:ilvl w:val="0"/>
                      <w:numId w:val="34"/>
                    </w:numPr>
                    <w:rPr>
                      <w:rFonts w:ascii="Arial" w:hAnsi="Arial" w:cs="Arial"/>
                      <w:sz w:val="18"/>
                      <w:szCs w:val="23"/>
                    </w:rPr>
                  </w:pPr>
                  <w:r w:rsidRPr="00EE753B">
                    <w:rPr>
                      <w:rFonts w:ascii="Arial" w:hAnsi="Arial" w:cs="Arial"/>
                      <w:sz w:val="18"/>
                      <w:szCs w:val="23"/>
                    </w:rPr>
                    <w:t>Centralizuoto šilumos tiekimo tinklo pritaikymas 4</w:t>
                  </w:r>
                  <w:r w:rsidR="00CD75FE" w:rsidRPr="00EE753B">
                    <w:rPr>
                      <w:rFonts w:ascii="Arial" w:hAnsi="Arial" w:cs="Arial"/>
                      <w:sz w:val="18"/>
                      <w:szCs w:val="23"/>
                    </w:rPr>
                    <w:t>-os</w:t>
                  </w:r>
                  <w:r w:rsidRPr="00EE753B">
                    <w:rPr>
                      <w:rFonts w:ascii="Arial" w:hAnsi="Arial" w:cs="Arial"/>
                      <w:sz w:val="18"/>
                      <w:szCs w:val="23"/>
                    </w:rPr>
                    <w:t xml:space="preserve"> kartos šilumos tiekimo sistemai Vidurio ir Vakarų Lietuvoje</w:t>
                  </w:r>
                </w:p>
              </w:tc>
              <w:tc>
                <w:tcPr>
                  <w:tcW w:w="1048" w:type="pct"/>
                  <w:shd w:val="clear" w:color="auto" w:fill="auto"/>
                  <w:vAlign w:val="center"/>
                  <w:hideMark/>
                </w:tcPr>
                <w:p w14:paraId="52808A91" w14:textId="37161A68" w:rsidR="009A2189" w:rsidRPr="00EE753B" w:rsidRDefault="009A2189" w:rsidP="009A2189">
                  <w:pPr>
                    <w:jc w:val="center"/>
                    <w:rPr>
                      <w:rFonts w:ascii="Arial" w:hAnsi="Arial" w:cs="Arial"/>
                      <w:sz w:val="18"/>
                      <w:lang w:eastAsia="lt-LT"/>
                    </w:rPr>
                  </w:pPr>
                  <w:r w:rsidRPr="00EE753B">
                    <w:rPr>
                      <w:rFonts w:ascii="Arial" w:hAnsi="Arial" w:cs="Arial"/>
                      <w:sz w:val="18"/>
                      <w:lang w:eastAsia="lt-LT"/>
                    </w:rPr>
                    <w:t xml:space="preserve">Naujai pastatyti ar </w:t>
                  </w:r>
                  <w:r w:rsidR="00ED4411" w:rsidRPr="00EE753B">
                    <w:rPr>
                      <w:rFonts w:ascii="Arial" w:hAnsi="Arial" w:cs="Arial"/>
                      <w:sz w:val="18"/>
                      <w:lang w:eastAsia="lt-LT"/>
                    </w:rPr>
                    <w:t xml:space="preserve">modernizuoti </w:t>
                  </w:r>
                  <w:r w:rsidRPr="00EE753B">
                    <w:rPr>
                      <w:rFonts w:ascii="Arial" w:hAnsi="Arial" w:cs="Arial"/>
                      <w:sz w:val="18"/>
                      <w:lang w:eastAsia="lt-LT"/>
                    </w:rPr>
                    <w:t>centralizuoto šilumos ir vėsumos tiekimo tinklų vamzdynai</w:t>
                  </w:r>
                  <w:r w:rsidR="00ED4411" w:rsidRPr="00EE753B">
                    <w:rPr>
                      <w:rFonts w:ascii="Arial" w:hAnsi="Arial" w:cs="Arial"/>
                      <w:sz w:val="18"/>
                      <w:lang w:eastAsia="lt-LT"/>
                    </w:rPr>
                    <w:t>, km.</w:t>
                  </w:r>
                </w:p>
              </w:tc>
              <w:tc>
                <w:tcPr>
                  <w:tcW w:w="534" w:type="pct"/>
                  <w:shd w:val="clear" w:color="auto" w:fill="auto"/>
                  <w:vAlign w:val="center"/>
                  <w:hideMark/>
                </w:tcPr>
                <w:p w14:paraId="3E8A98F5" w14:textId="55F82CF3" w:rsidR="009A2189" w:rsidRPr="00EE753B" w:rsidRDefault="00136AE4" w:rsidP="009A2189">
                  <w:pPr>
                    <w:jc w:val="center"/>
                    <w:rPr>
                      <w:rFonts w:ascii="Arial" w:hAnsi="Arial" w:cs="Arial"/>
                      <w:sz w:val="18"/>
                      <w:lang w:eastAsia="lt-LT"/>
                    </w:rPr>
                  </w:pPr>
                  <w:r w:rsidRPr="00EE753B">
                    <w:rPr>
                      <w:rFonts w:ascii="Arial" w:hAnsi="Arial" w:cs="Arial"/>
                      <w:sz w:val="18"/>
                      <w:lang w:eastAsia="lt-LT"/>
                    </w:rPr>
                    <w:t>0</w:t>
                  </w:r>
                </w:p>
              </w:tc>
              <w:tc>
                <w:tcPr>
                  <w:tcW w:w="625" w:type="pct"/>
                  <w:shd w:val="clear" w:color="auto" w:fill="auto"/>
                  <w:vAlign w:val="center"/>
                  <w:hideMark/>
                </w:tcPr>
                <w:p w14:paraId="661AC552" w14:textId="2CE13C72" w:rsidR="009A2189" w:rsidRPr="00EE753B" w:rsidRDefault="00CF491A" w:rsidP="009A2189">
                  <w:pPr>
                    <w:jc w:val="center"/>
                    <w:rPr>
                      <w:rFonts w:ascii="Arial" w:hAnsi="Arial" w:cs="Arial"/>
                      <w:sz w:val="18"/>
                      <w:lang w:eastAsia="lt-LT"/>
                    </w:rPr>
                  </w:pPr>
                  <w:r w:rsidRPr="00EE753B">
                    <w:rPr>
                      <w:rFonts w:ascii="Arial" w:hAnsi="Arial" w:cs="Arial"/>
                      <w:sz w:val="18"/>
                      <w:lang w:eastAsia="lt-LT"/>
                    </w:rPr>
                    <w:t>1</w:t>
                  </w:r>
                  <w:r w:rsidR="00136AE4" w:rsidRPr="00EE753B">
                    <w:rPr>
                      <w:rFonts w:ascii="Arial" w:hAnsi="Arial" w:cs="Arial"/>
                      <w:sz w:val="18"/>
                      <w:lang w:eastAsia="lt-LT"/>
                    </w:rPr>
                    <w:t>7</w:t>
                  </w:r>
                </w:p>
              </w:tc>
              <w:tc>
                <w:tcPr>
                  <w:tcW w:w="719" w:type="pct"/>
                  <w:shd w:val="clear" w:color="auto" w:fill="auto"/>
                  <w:vAlign w:val="center"/>
                  <w:hideMark/>
                </w:tcPr>
                <w:p w14:paraId="2C10BE38" w14:textId="3CC2F947" w:rsidR="009A2189" w:rsidRPr="00EE753B" w:rsidRDefault="009A2189" w:rsidP="009A2189">
                  <w:pPr>
                    <w:jc w:val="center"/>
                    <w:rPr>
                      <w:rFonts w:ascii="Arial" w:hAnsi="Arial" w:cs="Arial"/>
                      <w:sz w:val="18"/>
                      <w:lang w:eastAsia="lt-LT"/>
                    </w:rPr>
                  </w:pPr>
                  <w:r w:rsidRPr="00EE753B">
                    <w:rPr>
                      <w:rFonts w:ascii="Arial" w:hAnsi="Arial" w:cs="Arial"/>
                      <w:sz w:val="18"/>
                      <w:lang w:eastAsia="lt-LT"/>
                    </w:rPr>
                    <w:t>6</w:t>
                  </w:r>
                  <w:r w:rsidR="004C2F49" w:rsidRPr="00EE753B">
                    <w:rPr>
                      <w:rFonts w:ascii="Arial" w:hAnsi="Arial" w:cs="Arial"/>
                      <w:sz w:val="18"/>
                      <w:lang w:eastAsia="lt-LT"/>
                    </w:rPr>
                    <w:t xml:space="preserve"> </w:t>
                  </w:r>
                  <w:r w:rsidRPr="00EE753B">
                    <w:rPr>
                      <w:rFonts w:ascii="Arial" w:hAnsi="Arial" w:cs="Arial"/>
                      <w:sz w:val="18"/>
                      <w:lang w:eastAsia="lt-LT"/>
                    </w:rPr>
                    <w:t>750</w:t>
                  </w:r>
                  <w:r w:rsidR="004C2F49" w:rsidRPr="00EE753B">
                    <w:rPr>
                      <w:rFonts w:ascii="Arial" w:hAnsi="Arial" w:cs="Arial"/>
                      <w:sz w:val="18"/>
                      <w:lang w:eastAsia="lt-LT"/>
                    </w:rPr>
                    <w:t xml:space="preserve"> </w:t>
                  </w:r>
                  <w:r w:rsidRPr="00EE753B">
                    <w:rPr>
                      <w:rFonts w:ascii="Arial" w:hAnsi="Arial" w:cs="Arial"/>
                      <w:sz w:val="18"/>
                      <w:lang w:eastAsia="lt-LT"/>
                    </w:rPr>
                    <w:t>000</w:t>
                  </w:r>
                </w:p>
              </w:tc>
              <w:tc>
                <w:tcPr>
                  <w:tcW w:w="822" w:type="pct"/>
                  <w:shd w:val="clear" w:color="auto" w:fill="auto"/>
                  <w:vAlign w:val="center"/>
                  <w:hideMark/>
                </w:tcPr>
                <w:p w14:paraId="195E459C" w14:textId="61E4B132" w:rsidR="009A2189" w:rsidRPr="00EE753B" w:rsidRDefault="00611D8C" w:rsidP="009A2189">
                  <w:pPr>
                    <w:jc w:val="center"/>
                    <w:rPr>
                      <w:rFonts w:ascii="Arial" w:hAnsi="Arial" w:cs="Arial"/>
                      <w:sz w:val="18"/>
                      <w:lang w:eastAsia="lt-LT"/>
                    </w:rPr>
                  </w:pPr>
                  <w:r w:rsidRPr="00EE753B">
                    <w:rPr>
                      <w:rFonts w:ascii="Arial" w:hAnsi="Arial" w:cs="Arial"/>
                      <w:sz w:val="18"/>
                      <w:szCs w:val="18"/>
                    </w:rPr>
                    <w:t xml:space="preserve">1 577 </w:t>
                  </w:r>
                  <w:r w:rsidR="00FB3184" w:rsidRPr="00EE753B">
                    <w:rPr>
                      <w:rFonts w:ascii="Arial" w:hAnsi="Arial" w:cs="Arial"/>
                      <w:sz w:val="18"/>
                      <w:szCs w:val="18"/>
                    </w:rPr>
                    <w:t>000</w:t>
                  </w:r>
                </w:p>
              </w:tc>
            </w:tr>
            <w:tr w:rsidR="009A2189" w:rsidRPr="00EE753B" w14:paraId="7B612429" w14:textId="77777777" w:rsidTr="00FB3184">
              <w:tc>
                <w:tcPr>
                  <w:tcW w:w="1252" w:type="pct"/>
                  <w:shd w:val="clear" w:color="auto" w:fill="auto"/>
                  <w:vAlign w:val="center"/>
                </w:tcPr>
                <w:p w14:paraId="4870FCCC" w14:textId="77777777" w:rsidR="009A2189" w:rsidRPr="00EE753B" w:rsidRDefault="009A2189" w:rsidP="009A2189">
                  <w:pPr>
                    <w:jc w:val="center"/>
                    <w:rPr>
                      <w:rFonts w:ascii="Arial" w:hAnsi="Arial" w:cs="Arial"/>
                      <w:sz w:val="18"/>
                      <w:szCs w:val="23"/>
                      <w:lang w:eastAsia="lt-LT"/>
                    </w:rPr>
                  </w:pPr>
                </w:p>
              </w:tc>
              <w:tc>
                <w:tcPr>
                  <w:tcW w:w="1048" w:type="pct"/>
                  <w:shd w:val="clear" w:color="auto" w:fill="auto"/>
                  <w:vAlign w:val="center"/>
                </w:tcPr>
                <w:p w14:paraId="319EF2B4" w14:textId="0835A5C5" w:rsidR="009A2189" w:rsidRPr="00EE753B" w:rsidRDefault="00640093" w:rsidP="009A2189">
                  <w:pPr>
                    <w:jc w:val="center"/>
                    <w:rPr>
                      <w:rFonts w:ascii="Arial" w:hAnsi="Arial" w:cs="Arial"/>
                      <w:b/>
                      <w:bCs/>
                      <w:sz w:val="18"/>
                      <w:lang w:eastAsia="lt-LT"/>
                    </w:rPr>
                  </w:pPr>
                  <w:r w:rsidRPr="00EE753B">
                    <w:rPr>
                      <w:rFonts w:ascii="Arial" w:hAnsi="Arial" w:cs="Arial"/>
                      <w:b/>
                      <w:bCs/>
                      <w:sz w:val="18"/>
                      <w:lang w:eastAsia="lt-LT"/>
                    </w:rPr>
                    <w:t>SUMA:</w:t>
                  </w:r>
                </w:p>
              </w:tc>
              <w:tc>
                <w:tcPr>
                  <w:tcW w:w="534" w:type="pct"/>
                  <w:shd w:val="clear" w:color="auto" w:fill="auto"/>
                  <w:vAlign w:val="center"/>
                </w:tcPr>
                <w:p w14:paraId="39D1C001" w14:textId="3A87E39C" w:rsidR="009A2189" w:rsidRPr="00EE753B" w:rsidRDefault="00136AE4" w:rsidP="009A2189">
                  <w:pPr>
                    <w:jc w:val="center"/>
                    <w:rPr>
                      <w:rFonts w:ascii="Arial" w:hAnsi="Arial" w:cs="Arial"/>
                      <w:b/>
                      <w:bCs/>
                      <w:sz w:val="18"/>
                      <w:lang w:eastAsia="lt-LT"/>
                    </w:rPr>
                  </w:pPr>
                  <w:r w:rsidRPr="00EE753B">
                    <w:rPr>
                      <w:rFonts w:ascii="Arial" w:hAnsi="Arial" w:cs="Arial"/>
                      <w:b/>
                      <w:bCs/>
                      <w:sz w:val="18"/>
                      <w:lang w:eastAsia="lt-LT"/>
                    </w:rPr>
                    <w:t>0</w:t>
                  </w:r>
                </w:p>
              </w:tc>
              <w:tc>
                <w:tcPr>
                  <w:tcW w:w="625" w:type="pct"/>
                  <w:shd w:val="clear" w:color="auto" w:fill="auto"/>
                  <w:vAlign w:val="center"/>
                </w:tcPr>
                <w:p w14:paraId="3EBFAD52" w14:textId="623D5478" w:rsidR="009A2189" w:rsidRPr="00EE753B" w:rsidRDefault="00475243" w:rsidP="009A2189">
                  <w:pPr>
                    <w:jc w:val="center"/>
                    <w:rPr>
                      <w:rFonts w:ascii="Arial" w:hAnsi="Arial" w:cs="Arial"/>
                      <w:b/>
                      <w:bCs/>
                      <w:sz w:val="18"/>
                      <w:lang w:eastAsia="lt-LT"/>
                    </w:rPr>
                  </w:pPr>
                  <w:r w:rsidRPr="00EE753B">
                    <w:rPr>
                      <w:rFonts w:ascii="Arial" w:hAnsi="Arial" w:cs="Arial"/>
                      <w:b/>
                      <w:bCs/>
                      <w:sz w:val="18"/>
                      <w:lang w:eastAsia="lt-LT"/>
                    </w:rPr>
                    <w:t>3</w:t>
                  </w:r>
                  <w:r w:rsidR="00884EA0" w:rsidRPr="00EE753B">
                    <w:rPr>
                      <w:rFonts w:ascii="Arial" w:hAnsi="Arial" w:cs="Arial"/>
                      <w:b/>
                      <w:bCs/>
                      <w:sz w:val="18"/>
                      <w:lang w:eastAsia="lt-LT"/>
                    </w:rPr>
                    <w:t>4</w:t>
                  </w:r>
                </w:p>
              </w:tc>
              <w:tc>
                <w:tcPr>
                  <w:tcW w:w="719" w:type="pct"/>
                  <w:shd w:val="clear" w:color="auto" w:fill="auto"/>
                  <w:vAlign w:val="center"/>
                </w:tcPr>
                <w:p w14:paraId="5A68FD27" w14:textId="08E01832" w:rsidR="009A2189" w:rsidRPr="00EE753B" w:rsidRDefault="00640093" w:rsidP="009A2189">
                  <w:pPr>
                    <w:jc w:val="center"/>
                    <w:rPr>
                      <w:rFonts w:ascii="Arial" w:hAnsi="Arial" w:cs="Arial"/>
                      <w:b/>
                      <w:bCs/>
                      <w:sz w:val="18"/>
                      <w:lang w:eastAsia="lt-LT"/>
                    </w:rPr>
                  </w:pPr>
                  <w:r w:rsidRPr="00EE753B">
                    <w:rPr>
                      <w:rFonts w:ascii="Arial" w:hAnsi="Arial" w:cs="Arial"/>
                      <w:b/>
                      <w:bCs/>
                      <w:sz w:val="18"/>
                      <w:lang w:eastAsia="lt-LT"/>
                    </w:rPr>
                    <w:t>13</w:t>
                  </w:r>
                  <w:r w:rsidR="004C2F49" w:rsidRPr="00EE753B">
                    <w:rPr>
                      <w:rFonts w:ascii="Arial" w:hAnsi="Arial" w:cs="Arial"/>
                      <w:b/>
                      <w:bCs/>
                      <w:sz w:val="18"/>
                      <w:lang w:eastAsia="lt-LT"/>
                    </w:rPr>
                    <w:t xml:space="preserve"> </w:t>
                  </w:r>
                  <w:r w:rsidRPr="00EE753B">
                    <w:rPr>
                      <w:rFonts w:ascii="Arial" w:hAnsi="Arial" w:cs="Arial"/>
                      <w:b/>
                      <w:bCs/>
                      <w:sz w:val="18"/>
                      <w:lang w:eastAsia="lt-LT"/>
                    </w:rPr>
                    <w:t>500</w:t>
                  </w:r>
                  <w:r w:rsidR="004C2F49" w:rsidRPr="00EE753B">
                    <w:rPr>
                      <w:rFonts w:ascii="Arial" w:hAnsi="Arial" w:cs="Arial"/>
                      <w:b/>
                      <w:bCs/>
                      <w:sz w:val="18"/>
                      <w:lang w:eastAsia="lt-LT"/>
                    </w:rPr>
                    <w:t xml:space="preserve"> </w:t>
                  </w:r>
                  <w:r w:rsidRPr="00EE753B">
                    <w:rPr>
                      <w:rFonts w:ascii="Arial" w:hAnsi="Arial" w:cs="Arial"/>
                      <w:b/>
                      <w:bCs/>
                      <w:sz w:val="18"/>
                      <w:lang w:eastAsia="lt-LT"/>
                    </w:rPr>
                    <w:t>000</w:t>
                  </w:r>
                </w:p>
              </w:tc>
              <w:tc>
                <w:tcPr>
                  <w:tcW w:w="822" w:type="pct"/>
                  <w:shd w:val="clear" w:color="auto" w:fill="auto"/>
                  <w:vAlign w:val="center"/>
                </w:tcPr>
                <w:p w14:paraId="08C49D42" w14:textId="167B6C8C" w:rsidR="009A2189" w:rsidRPr="00EE753B" w:rsidRDefault="007065E7" w:rsidP="009A2189">
                  <w:pPr>
                    <w:jc w:val="center"/>
                    <w:rPr>
                      <w:rFonts w:ascii="Arial" w:hAnsi="Arial" w:cs="Arial"/>
                      <w:b/>
                      <w:bCs/>
                      <w:sz w:val="18"/>
                      <w:lang w:eastAsia="lt-LT"/>
                    </w:rPr>
                  </w:pPr>
                  <w:r w:rsidRPr="00EE753B">
                    <w:rPr>
                      <w:rFonts w:ascii="Arial" w:hAnsi="Arial" w:cs="Arial"/>
                      <w:b/>
                      <w:bCs/>
                      <w:sz w:val="18"/>
                      <w:lang w:eastAsia="lt-LT"/>
                    </w:rPr>
                    <w:t xml:space="preserve">3 154 </w:t>
                  </w:r>
                  <w:r w:rsidR="00FB3184" w:rsidRPr="00EE753B">
                    <w:rPr>
                      <w:rFonts w:ascii="Arial" w:hAnsi="Arial" w:cs="Arial"/>
                      <w:b/>
                      <w:bCs/>
                      <w:sz w:val="18"/>
                      <w:lang w:eastAsia="lt-LT"/>
                    </w:rPr>
                    <w:t>000</w:t>
                  </w:r>
                </w:p>
              </w:tc>
            </w:tr>
          </w:tbl>
          <w:p w14:paraId="0B7AD9FB" w14:textId="749152D5" w:rsidR="00C83D64" w:rsidRPr="00EE753B" w:rsidRDefault="00C83D64" w:rsidP="00C83D64">
            <w:pPr>
              <w:spacing w:after="100"/>
              <w:jc w:val="both"/>
              <w:rPr>
                <w:i/>
                <w:iCs/>
                <w:sz w:val="18"/>
                <w:szCs w:val="18"/>
              </w:rPr>
            </w:pPr>
            <w:r w:rsidRPr="00EE753B">
              <w:rPr>
                <w:i/>
                <w:iCs/>
                <w:sz w:val="18"/>
                <w:szCs w:val="18"/>
              </w:rPr>
              <w:t>Šaltinis: sudaryta autori</w:t>
            </w:r>
            <w:r w:rsidR="00496FD0" w:rsidRPr="00EE753B">
              <w:rPr>
                <w:i/>
                <w:iCs/>
                <w:sz w:val="18"/>
                <w:szCs w:val="18"/>
              </w:rPr>
              <w:t>ų</w:t>
            </w:r>
          </w:p>
          <w:p w14:paraId="0B192B36" w14:textId="43220A2D" w:rsidR="00F62B58" w:rsidRPr="00EE753B" w:rsidRDefault="00B94972" w:rsidP="002A203D">
            <w:pPr>
              <w:jc w:val="both"/>
              <w:rPr>
                <w:sz w:val="22"/>
                <w:szCs w:val="22"/>
              </w:rPr>
            </w:pPr>
            <w:r w:rsidRPr="00EE753B">
              <w:rPr>
                <w:sz w:val="22"/>
                <w:szCs w:val="22"/>
              </w:rPr>
              <w:lastRenderedPageBreak/>
              <w:t xml:space="preserve">Veikla 1 ir Veikla 2 </w:t>
            </w:r>
            <w:r w:rsidR="00D5674B" w:rsidRPr="00EE753B">
              <w:rPr>
                <w:sz w:val="22"/>
                <w:szCs w:val="22"/>
              </w:rPr>
              <w:t xml:space="preserve">bus </w:t>
            </w:r>
            <w:r w:rsidR="00510D07" w:rsidRPr="00EE753B">
              <w:rPr>
                <w:sz w:val="22"/>
                <w:szCs w:val="22"/>
              </w:rPr>
              <w:t xml:space="preserve">įgyvendinama teikiant </w:t>
            </w:r>
            <w:r w:rsidR="007B75E6" w:rsidRPr="00EE753B">
              <w:rPr>
                <w:sz w:val="22"/>
                <w:szCs w:val="22"/>
              </w:rPr>
              <w:t>subsidiją</w:t>
            </w:r>
            <w:r w:rsidR="00064D3C" w:rsidRPr="00EE753B">
              <w:rPr>
                <w:sz w:val="22"/>
                <w:szCs w:val="22"/>
              </w:rPr>
              <w:t xml:space="preserve"> kartu su </w:t>
            </w:r>
            <w:r w:rsidR="007B75E6" w:rsidRPr="00EE753B">
              <w:rPr>
                <w:sz w:val="22"/>
                <w:szCs w:val="22"/>
              </w:rPr>
              <w:t>paskol</w:t>
            </w:r>
            <w:r w:rsidR="00064D3C" w:rsidRPr="00EE753B">
              <w:rPr>
                <w:sz w:val="22"/>
                <w:szCs w:val="22"/>
              </w:rPr>
              <w:t>a</w:t>
            </w:r>
            <w:r w:rsidR="007B75E6" w:rsidRPr="00EE753B">
              <w:rPr>
                <w:sz w:val="22"/>
                <w:szCs w:val="22"/>
              </w:rPr>
              <w:t xml:space="preserve"> veiklų vykdytojams</w:t>
            </w:r>
            <w:r w:rsidR="00F62B58" w:rsidRPr="00EE753B">
              <w:rPr>
                <w:sz w:val="22"/>
                <w:szCs w:val="22"/>
              </w:rPr>
              <w:t>. Paskola ilgalaikė, t</w:t>
            </w:r>
            <w:r w:rsidR="0000085B" w:rsidRPr="00EE753B">
              <w:rPr>
                <w:sz w:val="22"/>
                <w:szCs w:val="22"/>
              </w:rPr>
              <w:t>odėl</w:t>
            </w:r>
            <w:r w:rsidR="00F62B58" w:rsidRPr="00EE753B">
              <w:rPr>
                <w:sz w:val="22"/>
                <w:szCs w:val="22"/>
              </w:rPr>
              <w:t xml:space="preserve"> grįžtančių lėšų efekt</w:t>
            </w:r>
            <w:r w:rsidR="0000085B" w:rsidRPr="00EE753B">
              <w:rPr>
                <w:sz w:val="22"/>
                <w:szCs w:val="22"/>
              </w:rPr>
              <w:t>o tikimasi</w:t>
            </w:r>
            <w:r w:rsidR="00F62B58" w:rsidRPr="00EE753B">
              <w:rPr>
                <w:sz w:val="22"/>
                <w:szCs w:val="22"/>
              </w:rPr>
              <w:t xml:space="preserve"> po 2029 metų. </w:t>
            </w:r>
            <w:r w:rsidR="002A203D" w:rsidRPr="00EE753B">
              <w:rPr>
                <w:sz w:val="22"/>
                <w:szCs w:val="22"/>
              </w:rPr>
              <w:t xml:space="preserve">Veiklą 1 ir Veiklą 2 gali vykdyti </w:t>
            </w:r>
            <w:r w:rsidR="00F62B58" w:rsidRPr="00EE753B">
              <w:rPr>
                <w:sz w:val="22"/>
                <w:szCs w:val="22"/>
              </w:rPr>
              <w:t>pa</w:t>
            </w:r>
            <w:r w:rsidR="002A203D" w:rsidRPr="00EE753B">
              <w:rPr>
                <w:sz w:val="22"/>
                <w:szCs w:val="22"/>
              </w:rPr>
              <w:t>tys</w:t>
            </w:r>
            <w:r w:rsidR="00F62B58" w:rsidRPr="00EE753B">
              <w:rPr>
                <w:sz w:val="22"/>
                <w:szCs w:val="22"/>
              </w:rPr>
              <w:t xml:space="preserve"> šilumos tiekėj</w:t>
            </w:r>
            <w:r w:rsidR="002A203D" w:rsidRPr="00EE753B">
              <w:rPr>
                <w:sz w:val="22"/>
                <w:szCs w:val="22"/>
              </w:rPr>
              <w:t>ai</w:t>
            </w:r>
            <w:r w:rsidR="00F62B58" w:rsidRPr="00EE753B">
              <w:rPr>
                <w:sz w:val="22"/>
                <w:szCs w:val="22"/>
              </w:rPr>
              <w:t>, taip pat jie</w:t>
            </w:r>
            <w:r w:rsidR="002A203D" w:rsidRPr="00EE753B">
              <w:rPr>
                <w:sz w:val="22"/>
                <w:szCs w:val="22"/>
              </w:rPr>
              <w:t xml:space="preserve"> gali pasitelkti</w:t>
            </w:r>
            <w:r w:rsidR="00F62B58" w:rsidRPr="00EE753B">
              <w:rPr>
                <w:sz w:val="22"/>
                <w:szCs w:val="22"/>
              </w:rPr>
              <w:t xml:space="preserve"> rangovus. </w:t>
            </w:r>
          </w:p>
          <w:p w14:paraId="3D822870" w14:textId="1F2FE823" w:rsidR="008D2A7A" w:rsidRPr="00EE753B" w:rsidRDefault="00F62B58" w:rsidP="00F62B58">
            <w:pPr>
              <w:jc w:val="both"/>
              <w:rPr>
                <w:sz w:val="22"/>
                <w:szCs w:val="22"/>
              </w:rPr>
            </w:pPr>
            <w:r w:rsidRPr="00EE753B">
              <w:rPr>
                <w:sz w:val="22"/>
                <w:szCs w:val="22"/>
              </w:rPr>
              <w:t>Tai išimtinai nauja veikla, kuri gali būti vykdoma tik pastatų, daugiabučių namų, prijungtų prie CŠT sistemų, atžvilgiu ir kurios laikomos efektyviomis ir aplinką tausojančiomis sistemomis.</w:t>
            </w:r>
          </w:p>
          <w:p w14:paraId="16ACE71A" w14:textId="77777777" w:rsidR="001F4C0B" w:rsidRPr="00EE753B" w:rsidRDefault="001F4C0B" w:rsidP="001F4C0B">
            <w:pPr>
              <w:jc w:val="both"/>
              <w:rPr>
                <w:b/>
                <w:bCs/>
              </w:rPr>
            </w:pPr>
          </w:p>
          <w:p w14:paraId="1E70F9A1" w14:textId="01202883" w:rsidR="001F4C0B" w:rsidRPr="00EE753B" w:rsidRDefault="001F4C0B" w:rsidP="001F4C0B">
            <w:pPr>
              <w:jc w:val="both"/>
              <w:rPr>
                <w:sz w:val="22"/>
                <w:szCs w:val="22"/>
              </w:rPr>
            </w:pPr>
            <w:r w:rsidRPr="00EE753B">
              <w:rPr>
                <w:b/>
                <w:bCs/>
                <w:sz w:val="22"/>
                <w:szCs w:val="22"/>
              </w:rPr>
              <w:t>Veiklos 1 ir Veiklos 2 rezultato rodiklis „</w:t>
            </w:r>
            <w:r w:rsidRPr="00EE753B">
              <w:rPr>
                <w:b/>
                <w:bCs/>
                <w:iCs/>
                <w:sz w:val="22"/>
                <w:szCs w:val="22"/>
              </w:rPr>
              <w:t xml:space="preserve">Numatomas šiltnamio efektą sukeliančių dujų kiekis“, mato vnt. </w:t>
            </w:r>
            <w:r w:rsidR="004C2F49" w:rsidRPr="00EE753B">
              <w:rPr>
                <w:b/>
                <w:bCs/>
                <w:iCs/>
                <w:sz w:val="22"/>
                <w:szCs w:val="22"/>
              </w:rPr>
              <w:t xml:space="preserve">– </w:t>
            </w:r>
            <w:r w:rsidR="00552A23" w:rsidRPr="00EE753B">
              <w:rPr>
                <w:b/>
                <w:bCs/>
                <w:iCs/>
                <w:sz w:val="22"/>
                <w:szCs w:val="22"/>
              </w:rPr>
              <w:t>t</w:t>
            </w:r>
            <w:r w:rsidRPr="00EE753B">
              <w:rPr>
                <w:b/>
                <w:bCs/>
                <w:iCs/>
                <w:sz w:val="22"/>
                <w:szCs w:val="22"/>
              </w:rPr>
              <w:t>onos CO2 ekvivalentu per metus“ (toliau – RR1).</w:t>
            </w:r>
            <w:r w:rsidRPr="00EE753B">
              <w:rPr>
                <w:iCs/>
                <w:sz w:val="22"/>
                <w:szCs w:val="22"/>
              </w:rPr>
              <w:t xml:space="preserve"> </w:t>
            </w:r>
            <w:r w:rsidRPr="00EE753B">
              <w:rPr>
                <w:sz w:val="22"/>
                <w:szCs w:val="22"/>
              </w:rPr>
              <w:t xml:space="preserve">Vadovaujantis Europos Parlamento ir Tarybos reglamentu </w:t>
            </w:r>
            <w:r w:rsidR="00C74831" w:rsidRPr="00EE753B">
              <w:rPr>
                <w:sz w:val="22"/>
                <w:szCs w:val="22"/>
              </w:rPr>
              <w:t>(ES) 2021/1058</w:t>
            </w:r>
            <w:r w:rsidRPr="00EE753B">
              <w:rPr>
                <w:sz w:val="22"/>
                <w:szCs w:val="22"/>
              </w:rPr>
              <w:t xml:space="preserve"> dėl Europos regioninės plėtros fondo ir Sanglaudos fondo RR1 yra regioninės politikos bendras rezultato rodiklis RCR29 (</w:t>
            </w:r>
            <w:r w:rsidR="004C2F49" w:rsidRPr="00EE753B">
              <w:rPr>
                <w:iCs/>
                <w:sz w:val="22"/>
                <w:szCs w:val="22"/>
              </w:rPr>
              <w:t>a</w:t>
            </w:r>
            <w:r w:rsidRPr="00EE753B">
              <w:rPr>
                <w:iCs/>
                <w:sz w:val="22"/>
                <w:szCs w:val="22"/>
              </w:rPr>
              <w:t>ngl.</w:t>
            </w:r>
            <w:r w:rsidRPr="00EE753B">
              <w:rPr>
                <w:i/>
                <w:sz w:val="22"/>
                <w:szCs w:val="22"/>
              </w:rPr>
              <w:t xml:space="preserve"> REGIO </w:t>
            </w:r>
            <w:proofErr w:type="spellStart"/>
            <w:r w:rsidRPr="00EE753B">
              <w:rPr>
                <w:i/>
                <w:sz w:val="22"/>
                <w:szCs w:val="22"/>
              </w:rPr>
              <w:t>Common</w:t>
            </w:r>
            <w:proofErr w:type="spellEnd"/>
            <w:r w:rsidRPr="00EE753B">
              <w:rPr>
                <w:i/>
                <w:sz w:val="22"/>
                <w:szCs w:val="22"/>
              </w:rPr>
              <w:t xml:space="preserve"> </w:t>
            </w:r>
            <w:proofErr w:type="spellStart"/>
            <w:r w:rsidRPr="00EE753B">
              <w:rPr>
                <w:i/>
                <w:sz w:val="22"/>
                <w:szCs w:val="22"/>
              </w:rPr>
              <w:t>Result</w:t>
            </w:r>
            <w:proofErr w:type="spellEnd"/>
            <w:r w:rsidRPr="00EE753B">
              <w:rPr>
                <w:i/>
                <w:sz w:val="22"/>
                <w:szCs w:val="22"/>
              </w:rPr>
              <w:t xml:space="preserve"> </w:t>
            </w:r>
            <w:proofErr w:type="spellStart"/>
            <w:r w:rsidRPr="00EE753B">
              <w:rPr>
                <w:i/>
                <w:sz w:val="22"/>
                <w:szCs w:val="22"/>
              </w:rPr>
              <w:t>Indicator</w:t>
            </w:r>
            <w:proofErr w:type="spellEnd"/>
            <w:r w:rsidRPr="00EE753B">
              <w:rPr>
                <w:i/>
                <w:sz w:val="22"/>
                <w:szCs w:val="22"/>
              </w:rPr>
              <w:t>)</w:t>
            </w:r>
            <w:r w:rsidRPr="00EE753B">
              <w:rPr>
                <w:sz w:val="22"/>
                <w:szCs w:val="22"/>
              </w:rPr>
              <w:t xml:space="preserve">. </w:t>
            </w:r>
            <w:r w:rsidR="007D7FA1" w:rsidRPr="00EE753B">
              <w:rPr>
                <w:sz w:val="22"/>
                <w:szCs w:val="22"/>
              </w:rPr>
              <w:t>Remiantis EK 2021</w:t>
            </w:r>
            <w:r w:rsidR="004C2F49" w:rsidRPr="00EE753B">
              <w:rPr>
                <w:sz w:val="22"/>
                <w:szCs w:val="22"/>
              </w:rPr>
              <w:t>–</w:t>
            </w:r>
            <w:r w:rsidR="007D7FA1" w:rsidRPr="00EE753B">
              <w:rPr>
                <w:sz w:val="22"/>
                <w:szCs w:val="22"/>
              </w:rPr>
              <w:t xml:space="preserve">2027 m. Europos regioninės plėtros ir Sanglaudos fondų rodiklių </w:t>
            </w:r>
            <w:r w:rsidR="00C74831" w:rsidRPr="00EE753B">
              <w:rPr>
                <w:sz w:val="22"/>
                <w:szCs w:val="22"/>
              </w:rPr>
              <w:t>aprašymu</w:t>
            </w:r>
            <w:r w:rsidR="007D7FA1" w:rsidRPr="00EE753B">
              <w:rPr>
                <w:sz w:val="22"/>
                <w:szCs w:val="22"/>
              </w:rPr>
              <w:t>,</w:t>
            </w:r>
            <w:r w:rsidR="00C80D59" w:rsidRPr="00EE753B">
              <w:rPr>
                <w:sz w:val="22"/>
                <w:szCs w:val="22"/>
              </w:rPr>
              <w:t xml:space="preserve"> </w:t>
            </w:r>
            <w:r w:rsidRPr="00EE753B">
              <w:rPr>
                <w:sz w:val="22"/>
                <w:szCs w:val="22"/>
              </w:rPr>
              <w:t xml:space="preserve">RR1 vertė yra suminis numatomas paremtų subjektų ar procesų šiltnamio efektą sukeliančių dujų emisijų kiekis. Rodiklio pradinė reikšmė yra numatomas metinis šiltnamio efektą sukeliančių dujų emisijų kiekis prieš intervenciją, o pasiekta reikšmė yra apskaičiuotas numatomas šiltnamio efektą sukeliančių dujų emisijų kiekis pagal pasiektą energinį naudingumą atlikus intervenciją. </w:t>
            </w:r>
            <w:r w:rsidR="00676E0C" w:rsidRPr="00676E0C">
              <w:rPr>
                <w:sz w:val="22"/>
                <w:szCs w:val="22"/>
              </w:rPr>
              <w:t xml:space="preserve">Tarpinė RR1 reikšmė nėra nustatyta. Galutinė RR1 reikšmė 2029 m., kurios siekiama įgyvendinant visas Pažangos priemonės veiklas kartu paėmus, yra 365 500 tonų CO2 ekvivalentu per metus. Galutinė veiklos 1 ir veiklos 2 (kiekvienai iš jų atskirai) RR1 reikšmė 595 tonos CO2 ekvivalentu per metus).  </w:t>
            </w:r>
          </w:p>
          <w:p w14:paraId="5C854098" w14:textId="77777777" w:rsidR="00721B85" w:rsidRPr="00EE753B" w:rsidRDefault="00721B85" w:rsidP="001F4C0B">
            <w:pPr>
              <w:spacing w:after="100"/>
              <w:jc w:val="both"/>
              <w:rPr>
                <w:sz w:val="22"/>
                <w:szCs w:val="22"/>
              </w:rPr>
            </w:pPr>
          </w:p>
          <w:p w14:paraId="698279E3" w14:textId="59F3AA1E" w:rsidR="00721B85" w:rsidRPr="00EE753B" w:rsidRDefault="00556EA5" w:rsidP="00721B85">
            <w:pPr>
              <w:tabs>
                <w:tab w:val="left" w:pos="255"/>
              </w:tabs>
              <w:jc w:val="both"/>
              <w:rPr>
                <w:sz w:val="22"/>
                <w:szCs w:val="22"/>
              </w:rPr>
            </w:pPr>
            <w:r w:rsidRPr="00EE753B">
              <w:rPr>
                <w:sz w:val="22"/>
                <w:szCs w:val="22"/>
              </w:rPr>
              <w:t xml:space="preserve">Taip pat Veiklos 1 ir Veiklos 2 įgyvendinimas </w:t>
            </w:r>
            <w:r w:rsidR="00721B85" w:rsidRPr="00EE753B">
              <w:rPr>
                <w:sz w:val="22"/>
                <w:szCs w:val="22"/>
              </w:rPr>
              <w:t>užtikrina rezultato rodiklio „</w:t>
            </w:r>
            <w:r w:rsidR="00721B85" w:rsidRPr="00EE753B">
              <w:rPr>
                <w:b/>
                <w:bCs/>
                <w:sz w:val="22"/>
                <w:szCs w:val="22"/>
              </w:rPr>
              <w:t>Metinis pirminės energijos suvartojimas (iš kurio: būstai, viešieji pastatai, įmonės, kita)“, mato vnt. MWh per metus (toliau – RR2) pasiekimą.</w:t>
            </w:r>
            <w:r w:rsidR="00721B85" w:rsidRPr="00EE753B">
              <w:rPr>
                <w:sz w:val="22"/>
                <w:szCs w:val="22"/>
              </w:rPr>
              <w:t xml:space="preserve"> Vadovaujantis Europos Parlamento ir Tarybos reglamentu </w:t>
            </w:r>
            <w:r w:rsidR="00C74831" w:rsidRPr="00EE753B">
              <w:rPr>
                <w:sz w:val="22"/>
                <w:szCs w:val="22"/>
              </w:rPr>
              <w:t>(ES) 2021/1058</w:t>
            </w:r>
            <w:r w:rsidR="00721B85" w:rsidRPr="00EE753B">
              <w:rPr>
                <w:sz w:val="22"/>
                <w:szCs w:val="22"/>
              </w:rPr>
              <w:t xml:space="preserve"> dėl Europos regioninės plėtros fondo ir Sanglaudos fondo šis rodiklis yra regioninės politikos bendras rezultato rodiklis RCR26 (</w:t>
            </w:r>
            <w:r w:rsidR="004C2F49" w:rsidRPr="00EE753B">
              <w:rPr>
                <w:iCs/>
                <w:sz w:val="22"/>
                <w:szCs w:val="22"/>
              </w:rPr>
              <w:t>a</w:t>
            </w:r>
            <w:r w:rsidR="00721B85" w:rsidRPr="00EE753B">
              <w:rPr>
                <w:iCs/>
                <w:sz w:val="22"/>
                <w:szCs w:val="22"/>
              </w:rPr>
              <w:t>ngl</w:t>
            </w:r>
            <w:r w:rsidR="00721B85" w:rsidRPr="00EE753B">
              <w:rPr>
                <w:i/>
                <w:sz w:val="22"/>
                <w:szCs w:val="22"/>
              </w:rPr>
              <w:t xml:space="preserve">. REGIO </w:t>
            </w:r>
            <w:proofErr w:type="spellStart"/>
            <w:r w:rsidR="00721B85" w:rsidRPr="00EE753B">
              <w:rPr>
                <w:i/>
                <w:sz w:val="22"/>
                <w:szCs w:val="22"/>
              </w:rPr>
              <w:t>Common</w:t>
            </w:r>
            <w:proofErr w:type="spellEnd"/>
            <w:r w:rsidR="00721B85" w:rsidRPr="00EE753B">
              <w:rPr>
                <w:i/>
                <w:sz w:val="22"/>
                <w:szCs w:val="22"/>
              </w:rPr>
              <w:t xml:space="preserve"> </w:t>
            </w:r>
            <w:proofErr w:type="spellStart"/>
            <w:r w:rsidR="00721B85" w:rsidRPr="00EE753B">
              <w:rPr>
                <w:i/>
                <w:sz w:val="22"/>
                <w:szCs w:val="22"/>
              </w:rPr>
              <w:t>Result</w:t>
            </w:r>
            <w:proofErr w:type="spellEnd"/>
            <w:r w:rsidR="00721B85" w:rsidRPr="00EE753B">
              <w:rPr>
                <w:i/>
                <w:sz w:val="22"/>
                <w:szCs w:val="22"/>
              </w:rPr>
              <w:t xml:space="preserve"> </w:t>
            </w:r>
            <w:proofErr w:type="spellStart"/>
            <w:r w:rsidR="00721B85" w:rsidRPr="00EE753B">
              <w:rPr>
                <w:i/>
                <w:sz w:val="22"/>
                <w:szCs w:val="22"/>
              </w:rPr>
              <w:t>Indicator</w:t>
            </w:r>
            <w:proofErr w:type="spellEnd"/>
            <w:r w:rsidR="00721B85" w:rsidRPr="00EE753B">
              <w:rPr>
                <w:i/>
                <w:sz w:val="22"/>
                <w:szCs w:val="22"/>
              </w:rPr>
              <w:t>)</w:t>
            </w:r>
            <w:r w:rsidR="00721B85" w:rsidRPr="00EE753B">
              <w:rPr>
                <w:sz w:val="22"/>
                <w:szCs w:val="22"/>
              </w:rPr>
              <w:t>. Remiantis EK 2021</w:t>
            </w:r>
            <w:r w:rsidR="004C2F49" w:rsidRPr="00EE753B">
              <w:rPr>
                <w:sz w:val="22"/>
                <w:szCs w:val="22"/>
              </w:rPr>
              <w:t>–</w:t>
            </w:r>
            <w:r w:rsidR="00721B85" w:rsidRPr="00EE753B">
              <w:rPr>
                <w:sz w:val="22"/>
                <w:szCs w:val="22"/>
              </w:rPr>
              <w:t xml:space="preserve">2027 m. Europos regioninės plėtros ir Sanglaudos fondų rodiklių </w:t>
            </w:r>
            <w:r w:rsidR="00C7765A" w:rsidRPr="00EE753B">
              <w:rPr>
                <w:sz w:val="22"/>
                <w:szCs w:val="22"/>
              </w:rPr>
              <w:t>aprašymu</w:t>
            </w:r>
            <w:r w:rsidR="00721B85" w:rsidRPr="00EE753B">
              <w:rPr>
                <w:sz w:val="22"/>
                <w:szCs w:val="22"/>
              </w:rPr>
              <w:t xml:space="preserve">, RR2 reikšmė yra suminis paremtų subjektų metinis pirminės energijos suvartojimas. RR2 pradinė reikšmė yra metinis pirminės energijos kiekis prieš intervenciją, o pasiekta reikšmė yra metinis pirminės energijos suvartojimas atlikus intervenciją. Pažangos priemonės įgyvendinimo pradžioje rodiklio reikšmė lygi </w:t>
            </w:r>
            <w:r w:rsidR="00136AE4" w:rsidRPr="00EE753B">
              <w:rPr>
                <w:sz w:val="22"/>
                <w:szCs w:val="22"/>
              </w:rPr>
              <w:t>3 6</w:t>
            </w:r>
            <w:r w:rsidR="00AE01D7">
              <w:rPr>
                <w:sz w:val="22"/>
                <w:szCs w:val="22"/>
              </w:rPr>
              <w:t>93</w:t>
            </w:r>
            <w:r w:rsidR="00136AE4" w:rsidRPr="00EE753B">
              <w:rPr>
                <w:sz w:val="22"/>
                <w:szCs w:val="22"/>
              </w:rPr>
              <w:t xml:space="preserve"> </w:t>
            </w:r>
            <w:r w:rsidR="00AE01D7">
              <w:rPr>
                <w:sz w:val="22"/>
                <w:szCs w:val="22"/>
              </w:rPr>
              <w:t>5</w:t>
            </w:r>
            <w:r w:rsidR="00136AE4" w:rsidRPr="00EE753B">
              <w:rPr>
                <w:sz w:val="22"/>
                <w:szCs w:val="22"/>
              </w:rPr>
              <w:t>00</w:t>
            </w:r>
            <w:r w:rsidR="00721B85" w:rsidRPr="00EE753B">
              <w:rPr>
                <w:sz w:val="22"/>
                <w:szCs w:val="22"/>
              </w:rPr>
              <w:t xml:space="preserve"> MWh (2019 m.). Tarpinė rodiklio reikšmė nenustatyta. </w:t>
            </w:r>
            <w:r w:rsidR="00E9316F" w:rsidRPr="00EE753B">
              <w:rPr>
                <w:sz w:val="22"/>
                <w:szCs w:val="22"/>
              </w:rPr>
              <w:t>Galutinė rodiklio reikšmė</w:t>
            </w:r>
            <w:r w:rsidR="00E9316F">
              <w:rPr>
                <w:sz w:val="22"/>
                <w:szCs w:val="22"/>
              </w:rPr>
              <w:t xml:space="preserve"> </w:t>
            </w:r>
            <w:r w:rsidR="00E9316F" w:rsidRPr="00EE753B">
              <w:rPr>
                <w:sz w:val="22"/>
                <w:szCs w:val="22"/>
              </w:rPr>
              <w:t>2029 m</w:t>
            </w:r>
            <w:r w:rsidR="00E9316F">
              <w:rPr>
                <w:sz w:val="22"/>
                <w:szCs w:val="22"/>
              </w:rPr>
              <w:t xml:space="preserve">, kurios siekiama įgyvendinant visas Pažangos priemonės veiklas kartu paėmus, </w:t>
            </w:r>
            <w:r w:rsidR="00E9316F" w:rsidRPr="00EE753B">
              <w:rPr>
                <w:sz w:val="22"/>
                <w:szCs w:val="22"/>
              </w:rPr>
              <w:t>yra 3 6</w:t>
            </w:r>
            <w:r w:rsidR="00E9316F">
              <w:rPr>
                <w:sz w:val="22"/>
                <w:szCs w:val="22"/>
              </w:rPr>
              <w:t>55</w:t>
            </w:r>
            <w:r w:rsidR="008977F4">
              <w:rPr>
                <w:sz w:val="22"/>
                <w:szCs w:val="22"/>
              </w:rPr>
              <w:t> </w:t>
            </w:r>
            <w:r w:rsidR="00E9316F">
              <w:rPr>
                <w:sz w:val="22"/>
                <w:szCs w:val="22"/>
              </w:rPr>
              <w:t>002</w:t>
            </w:r>
            <w:r w:rsidR="008977F4">
              <w:rPr>
                <w:sz w:val="22"/>
                <w:szCs w:val="22"/>
              </w:rPr>
              <w:t xml:space="preserve"> </w:t>
            </w:r>
            <w:r w:rsidR="00E9316F" w:rsidRPr="00EE753B">
              <w:rPr>
                <w:sz w:val="22"/>
                <w:szCs w:val="22"/>
              </w:rPr>
              <w:t xml:space="preserve">MWh. </w:t>
            </w:r>
            <w:r w:rsidR="00E9316F">
              <w:rPr>
                <w:sz w:val="22"/>
                <w:szCs w:val="22"/>
              </w:rPr>
              <w:t>Galutinė veiklos 1 ir veiklos 2</w:t>
            </w:r>
            <w:r w:rsidR="00E9316F" w:rsidRPr="000F21FF">
              <w:rPr>
                <w:sz w:val="22"/>
                <w:szCs w:val="22"/>
              </w:rPr>
              <w:t xml:space="preserve"> </w:t>
            </w:r>
            <w:r w:rsidR="00E9316F">
              <w:rPr>
                <w:sz w:val="22"/>
                <w:szCs w:val="22"/>
              </w:rPr>
              <w:t>(kiekvienos iš jų atskirai)</w:t>
            </w:r>
            <w:r w:rsidR="00E9316F" w:rsidRPr="000F21FF">
              <w:rPr>
                <w:sz w:val="22"/>
                <w:szCs w:val="22"/>
              </w:rPr>
              <w:t xml:space="preserve"> RR</w:t>
            </w:r>
            <w:r w:rsidR="00E9316F">
              <w:rPr>
                <w:sz w:val="22"/>
                <w:szCs w:val="22"/>
              </w:rPr>
              <w:t>2</w:t>
            </w:r>
            <w:r w:rsidR="00E9316F" w:rsidRPr="000F21FF">
              <w:rPr>
                <w:sz w:val="22"/>
                <w:szCs w:val="22"/>
              </w:rPr>
              <w:t xml:space="preserve"> reikšmė </w:t>
            </w:r>
            <w:r w:rsidR="00E9316F">
              <w:rPr>
                <w:sz w:val="22"/>
                <w:szCs w:val="22"/>
              </w:rPr>
              <w:t>5 950 MWh per metus.</w:t>
            </w:r>
          </w:p>
          <w:p w14:paraId="6F2548E3" w14:textId="4D8AE13D" w:rsidR="001F4C0B" w:rsidRPr="00EE753B" w:rsidRDefault="001F4C0B" w:rsidP="001F4C0B">
            <w:pPr>
              <w:spacing w:after="100"/>
              <w:jc w:val="both"/>
              <w:rPr>
                <w:sz w:val="22"/>
                <w:szCs w:val="22"/>
              </w:rPr>
            </w:pPr>
          </w:p>
          <w:p w14:paraId="2E8DBAC9" w14:textId="13CE13C2" w:rsidR="00D5674B" w:rsidRPr="00EE753B" w:rsidRDefault="00B76F9A" w:rsidP="00B76F9A">
            <w:pPr>
              <w:pStyle w:val="ListParagraph"/>
              <w:tabs>
                <w:tab w:val="left" w:pos="255"/>
              </w:tabs>
              <w:ind w:left="0"/>
              <w:jc w:val="both"/>
              <w:rPr>
                <w:b/>
                <w:bCs/>
                <w:color w:val="1F497D" w:themeColor="text2"/>
                <w:sz w:val="22"/>
                <w:szCs w:val="22"/>
              </w:rPr>
            </w:pPr>
            <w:r w:rsidRPr="00EE753B">
              <w:rPr>
                <w:b/>
                <w:bCs/>
                <w:color w:val="1F497D" w:themeColor="text2"/>
                <w:sz w:val="22"/>
                <w:szCs w:val="22"/>
              </w:rPr>
              <w:t xml:space="preserve">Veikla 3. </w:t>
            </w:r>
            <w:r w:rsidR="00D5674B" w:rsidRPr="00EE753B">
              <w:rPr>
                <w:b/>
                <w:bCs/>
                <w:color w:val="1F497D" w:themeColor="text2"/>
                <w:sz w:val="22"/>
                <w:szCs w:val="22"/>
              </w:rPr>
              <w:t>Šilumos (vėsumos) apskaitos prietaisų su nuotolinio duomenų nuskaitymo funkcija įrengimas visoje Lietuvoje</w:t>
            </w:r>
            <w:r w:rsidR="00EC18BC" w:rsidRPr="00EE753B">
              <w:rPr>
                <w:b/>
                <w:bCs/>
                <w:color w:val="1F497D" w:themeColor="text2"/>
                <w:sz w:val="22"/>
                <w:szCs w:val="22"/>
              </w:rPr>
              <w:t>;</w:t>
            </w:r>
          </w:p>
          <w:p w14:paraId="0E43894A" w14:textId="7D21B618" w:rsidR="00D5674B" w:rsidRPr="00EE753B" w:rsidRDefault="00B76F9A" w:rsidP="00B76F9A">
            <w:pPr>
              <w:pStyle w:val="ListParagraph"/>
              <w:tabs>
                <w:tab w:val="left" w:pos="255"/>
              </w:tabs>
              <w:ind w:left="0"/>
              <w:jc w:val="both"/>
              <w:rPr>
                <w:b/>
                <w:bCs/>
                <w:color w:val="1F497D" w:themeColor="text2"/>
                <w:sz w:val="22"/>
                <w:szCs w:val="22"/>
              </w:rPr>
            </w:pPr>
            <w:r w:rsidRPr="00EE753B">
              <w:rPr>
                <w:b/>
                <w:bCs/>
                <w:color w:val="1F497D" w:themeColor="text2"/>
                <w:sz w:val="22"/>
                <w:szCs w:val="22"/>
              </w:rPr>
              <w:t xml:space="preserve">Veikla 4. </w:t>
            </w:r>
            <w:r w:rsidR="00D5674B" w:rsidRPr="00EE753B">
              <w:rPr>
                <w:b/>
                <w:bCs/>
                <w:color w:val="1F497D" w:themeColor="text2"/>
                <w:sz w:val="22"/>
                <w:szCs w:val="22"/>
              </w:rPr>
              <w:t>Šilumos (vėsumos) apskaitos prietaisų su nuotolinio duomenų nuskaitymo funkcija įrengimas Vidurio ir Vakarų Lietuvoje</w:t>
            </w:r>
            <w:r w:rsidR="00EC18BC" w:rsidRPr="00EE753B">
              <w:rPr>
                <w:b/>
                <w:bCs/>
                <w:color w:val="1F497D" w:themeColor="text2"/>
                <w:sz w:val="22"/>
                <w:szCs w:val="22"/>
              </w:rPr>
              <w:t>.</w:t>
            </w:r>
          </w:p>
          <w:p w14:paraId="53D94989" w14:textId="0E5DCC79" w:rsidR="003C73B4" w:rsidRDefault="003C73B4" w:rsidP="003C73B4">
            <w:pPr>
              <w:jc w:val="both"/>
              <w:rPr>
                <w:sz w:val="22"/>
                <w:szCs w:val="22"/>
              </w:rPr>
            </w:pPr>
            <w:r w:rsidRPr="00EE753B">
              <w:rPr>
                <w:sz w:val="22"/>
                <w:szCs w:val="22"/>
              </w:rPr>
              <w:t>Siektinas Veikl</w:t>
            </w:r>
            <w:r w:rsidR="004742F9" w:rsidRPr="00EE753B">
              <w:rPr>
                <w:sz w:val="22"/>
                <w:szCs w:val="22"/>
              </w:rPr>
              <w:t>ų 3</w:t>
            </w:r>
            <w:r w:rsidR="004C2F49" w:rsidRPr="00EE753B">
              <w:rPr>
                <w:sz w:val="22"/>
                <w:szCs w:val="22"/>
              </w:rPr>
              <w:t>–</w:t>
            </w:r>
            <w:r w:rsidR="00EC18BC" w:rsidRPr="00EE753B">
              <w:rPr>
                <w:sz w:val="22"/>
                <w:szCs w:val="22"/>
              </w:rPr>
              <w:t>4</w:t>
            </w:r>
            <w:r w:rsidRPr="00EE753B">
              <w:rPr>
                <w:sz w:val="22"/>
                <w:szCs w:val="22"/>
              </w:rPr>
              <w:t xml:space="preserve"> produkto rodiklis </w:t>
            </w:r>
            <w:r w:rsidR="004C2F49" w:rsidRPr="00EE753B">
              <w:rPr>
                <w:sz w:val="22"/>
                <w:szCs w:val="22"/>
              </w:rPr>
              <w:t xml:space="preserve">– </w:t>
            </w:r>
            <w:r w:rsidR="003457FF" w:rsidRPr="00EE753B">
              <w:rPr>
                <w:b/>
                <w:bCs/>
                <w:i/>
                <w:iCs/>
                <w:sz w:val="22"/>
                <w:szCs w:val="22"/>
              </w:rPr>
              <w:t>Įrengti šilumos, vėsumos apskaitos prietaisai su nuotolinio duomenų nuskaitymo funkcija</w:t>
            </w:r>
            <w:r w:rsidRPr="00EE753B">
              <w:rPr>
                <w:sz w:val="22"/>
                <w:szCs w:val="22"/>
              </w:rPr>
              <w:t>, mato vnt. –</w:t>
            </w:r>
            <w:r w:rsidR="00900DF3" w:rsidRPr="00EE753B">
              <w:rPr>
                <w:sz w:val="22"/>
                <w:szCs w:val="22"/>
              </w:rPr>
              <w:t xml:space="preserve"> vnt</w:t>
            </w:r>
            <w:r w:rsidRPr="00EE753B">
              <w:rPr>
                <w:sz w:val="22"/>
                <w:szCs w:val="22"/>
              </w:rPr>
              <w:t xml:space="preserve">. Vadovaujantis Europos Parlamento ir Tarybos reglamentu </w:t>
            </w:r>
            <w:r w:rsidR="00C7765A" w:rsidRPr="00EE753B">
              <w:rPr>
                <w:sz w:val="22"/>
                <w:szCs w:val="22"/>
              </w:rPr>
              <w:t>(ES) 2021/1058</w:t>
            </w:r>
            <w:r w:rsidRPr="00EE753B">
              <w:rPr>
                <w:sz w:val="22"/>
                <w:szCs w:val="22"/>
              </w:rPr>
              <w:t xml:space="preserve"> dėl Europos regioninės plėtros fondo ir Sanglaudos fondo šis rodiklis yra </w:t>
            </w:r>
            <w:r w:rsidR="00376F40" w:rsidRPr="00EE753B">
              <w:rPr>
                <w:sz w:val="22"/>
                <w:szCs w:val="22"/>
              </w:rPr>
              <w:t>specialusis produkto rodiklis</w:t>
            </w:r>
            <w:r w:rsidRPr="00EE753B">
              <w:rPr>
                <w:sz w:val="22"/>
                <w:szCs w:val="22"/>
              </w:rPr>
              <w:t xml:space="preserve"> </w:t>
            </w:r>
            <w:r w:rsidRPr="00EE753B">
              <w:rPr>
                <w:i/>
                <w:iCs/>
                <w:sz w:val="22"/>
                <w:szCs w:val="22"/>
              </w:rPr>
              <w:t>(</w:t>
            </w:r>
            <w:r w:rsidR="00BC6561" w:rsidRPr="00EE753B">
              <w:rPr>
                <w:sz w:val="22"/>
                <w:szCs w:val="22"/>
              </w:rPr>
              <w:t>a</w:t>
            </w:r>
            <w:r w:rsidRPr="00EE753B">
              <w:rPr>
                <w:sz w:val="22"/>
                <w:szCs w:val="22"/>
              </w:rPr>
              <w:t>ngl</w:t>
            </w:r>
            <w:r w:rsidRPr="00EE753B">
              <w:rPr>
                <w:i/>
                <w:iCs/>
                <w:sz w:val="22"/>
                <w:szCs w:val="22"/>
              </w:rPr>
              <w:t xml:space="preserve">. REGIO </w:t>
            </w:r>
            <w:proofErr w:type="spellStart"/>
            <w:r w:rsidRPr="00EE753B">
              <w:rPr>
                <w:i/>
                <w:iCs/>
                <w:sz w:val="22"/>
                <w:szCs w:val="22"/>
              </w:rPr>
              <w:t>Common</w:t>
            </w:r>
            <w:proofErr w:type="spellEnd"/>
            <w:r w:rsidRPr="00EE753B">
              <w:rPr>
                <w:i/>
                <w:iCs/>
                <w:sz w:val="22"/>
                <w:szCs w:val="22"/>
              </w:rPr>
              <w:t xml:space="preserve"> </w:t>
            </w:r>
            <w:proofErr w:type="spellStart"/>
            <w:r w:rsidRPr="00EE753B">
              <w:rPr>
                <w:i/>
                <w:iCs/>
                <w:sz w:val="22"/>
                <w:szCs w:val="22"/>
              </w:rPr>
              <w:t>Output</w:t>
            </w:r>
            <w:proofErr w:type="spellEnd"/>
            <w:r w:rsidRPr="00EE753B">
              <w:rPr>
                <w:i/>
                <w:iCs/>
                <w:sz w:val="22"/>
                <w:szCs w:val="22"/>
              </w:rPr>
              <w:t xml:space="preserve"> </w:t>
            </w:r>
            <w:proofErr w:type="spellStart"/>
            <w:r w:rsidRPr="00EE753B">
              <w:rPr>
                <w:i/>
                <w:iCs/>
                <w:sz w:val="22"/>
                <w:szCs w:val="22"/>
              </w:rPr>
              <w:t>Indicator</w:t>
            </w:r>
            <w:proofErr w:type="spellEnd"/>
            <w:r w:rsidRPr="00EE753B">
              <w:rPr>
                <w:sz w:val="22"/>
                <w:szCs w:val="22"/>
              </w:rPr>
              <w:t xml:space="preserve">). </w:t>
            </w:r>
            <w:r w:rsidRPr="00EE753B">
              <w:rPr>
                <w:sz w:val="22"/>
                <w:szCs w:val="22"/>
                <w:lang w:eastAsia="lt-LT"/>
              </w:rPr>
              <w:t xml:space="preserve">Pažangos priemonės įgyvendinimo pradžioje rodiklio reikšmė lygi 0. Galutinė siekiama rodiklio reikšmė 2029 m. yra </w:t>
            </w:r>
            <w:r w:rsidR="00136AE4" w:rsidRPr="00EE753B">
              <w:rPr>
                <w:sz w:val="22"/>
                <w:szCs w:val="22"/>
                <w:lang w:eastAsia="lt-LT"/>
              </w:rPr>
              <w:t xml:space="preserve">10 </w:t>
            </w:r>
            <w:r w:rsidR="00A27403">
              <w:rPr>
                <w:sz w:val="22"/>
                <w:szCs w:val="22"/>
                <w:lang w:eastAsia="lt-LT"/>
              </w:rPr>
              <w:t>514</w:t>
            </w:r>
            <w:r w:rsidR="00932A3F" w:rsidRPr="00EE753B">
              <w:rPr>
                <w:sz w:val="22"/>
                <w:szCs w:val="22"/>
                <w:lang w:eastAsia="lt-LT"/>
              </w:rPr>
              <w:t xml:space="preserve"> vnt.</w:t>
            </w:r>
            <w:r w:rsidRPr="00EE753B">
              <w:rPr>
                <w:sz w:val="22"/>
                <w:szCs w:val="22"/>
              </w:rPr>
              <w:t xml:space="preserve"> </w:t>
            </w:r>
            <w:r w:rsidR="00BB7678" w:rsidRPr="00EE753B">
              <w:rPr>
                <w:sz w:val="22"/>
                <w:szCs w:val="22"/>
              </w:rPr>
              <w:t>Tarpinė ir galutinė rodiklių reikšmės pagal veiklas detalizuotos lentelėje.</w:t>
            </w:r>
          </w:p>
          <w:p w14:paraId="1022283D" w14:textId="77777777" w:rsidR="001955E2" w:rsidRDefault="001955E2" w:rsidP="003C73B4">
            <w:pPr>
              <w:jc w:val="both"/>
              <w:rPr>
                <w:sz w:val="22"/>
                <w:szCs w:val="22"/>
              </w:rPr>
            </w:pPr>
          </w:p>
          <w:p w14:paraId="2E6D151E" w14:textId="77777777" w:rsidR="001955E2" w:rsidRPr="001955E2" w:rsidRDefault="001955E2" w:rsidP="001955E2">
            <w:pPr>
              <w:jc w:val="both"/>
              <w:rPr>
                <w:sz w:val="22"/>
                <w:szCs w:val="22"/>
              </w:rPr>
            </w:pPr>
            <w:r w:rsidRPr="001955E2">
              <w:rPr>
                <w:sz w:val="22"/>
                <w:szCs w:val="22"/>
              </w:rPr>
              <w:t>Veikla 3 ir veikla 4 taip pat prisideda prie RR1 ir RR2. Įgyvendinant kiekvieną iš jų, iki 2029 m. numatoma sumažinti pirminės energijos suvartojimą iki 1 821 551 MWh per metus, o šiltnamio efektą sukeliančių dujų kiekį iki 182 155 tonų CO2 ekvivalentu per metus.</w:t>
            </w:r>
          </w:p>
          <w:p w14:paraId="29CFEF79" w14:textId="77777777" w:rsidR="001955E2" w:rsidRPr="001955E2" w:rsidRDefault="001955E2" w:rsidP="001955E2">
            <w:pPr>
              <w:jc w:val="both"/>
              <w:rPr>
                <w:sz w:val="22"/>
                <w:szCs w:val="22"/>
              </w:rPr>
            </w:pPr>
          </w:p>
          <w:p w14:paraId="563BDFD0" w14:textId="43B93FC1" w:rsidR="001955E2" w:rsidRPr="00EE753B" w:rsidRDefault="001955E2" w:rsidP="001955E2">
            <w:pPr>
              <w:jc w:val="both"/>
              <w:rPr>
                <w:sz w:val="22"/>
                <w:szCs w:val="22"/>
              </w:rPr>
            </w:pPr>
            <w:r w:rsidRPr="001955E2">
              <w:rPr>
                <w:sz w:val="22"/>
                <w:szCs w:val="22"/>
              </w:rPr>
              <w:t>Įgyvendinus visas Pažangos priemonės veiklas kartu paėmus</w:t>
            </w:r>
            <w:r w:rsidR="00AF769A">
              <w:rPr>
                <w:sz w:val="22"/>
                <w:szCs w:val="22"/>
              </w:rPr>
              <w:t>,</w:t>
            </w:r>
            <w:r w:rsidRPr="001955E2">
              <w:rPr>
                <w:sz w:val="22"/>
                <w:szCs w:val="22"/>
              </w:rPr>
              <w:t xml:space="preserve"> pirminės energijos suvartojimas sumažės 38 498 MWh per metus (nuo 3 693 500 iki 3 655 002), o šiltnamio efektą sukeliančių dujų kiekis sumažės 3850 tonų CO2 ekvivalentu per metus (nuo 369 350 iki 365 500).</w:t>
            </w:r>
          </w:p>
          <w:p w14:paraId="4EF0D973" w14:textId="77777777" w:rsidR="003C73B4" w:rsidRPr="00EE753B" w:rsidRDefault="003C73B4" w:rsidP="00B76F9A">
            <w:pPr>
              <w:pStyle w:val="ListParagraph"/>
              <w:tabs>
                <w:tab w:val="left" w:pos="255"/>
              </w:tabs>
              <w:ind w:left="0"/>
              <w:jc w:val="both"/>
              <w:rPr>
                <w:b/>
                <w:bCs/>
                <w:color w:val="1F497D" w:themeColor="text2"/>
                <w:sz w:val="22"/>
                <w:szCs w:val="22"/>
              </w:rPr>
            </w:pPr>
          </w:p>
          <w:p w14:paraId="16FF39B4" w14:textId="2343E2EF" w:rsidR="00CB76FD" w:rsidRPr="00EE753B" w:rsidRDefault="00CB76FD" w:rsidP="00CB76FD">
            <w:pPr>
              <w:jc w:val="both"/>
              <w:rPr>
                <w:i/>
                <w:iCs/>
                <w:color w:val="1F497D" w:themeColor="text2"/>
                <w:sz w:val="18"/>
                <w:szCs w:val="18"/>
                <w:lang w:eastAsia="lt-LT"/>
              </w:rPr>
            </w:pPr>
            <w:r w:rsidRPr="00EE753B">
              <w:rPr>
                <w:i/>
                <w:iCs/>
                <w:color w:val="1F497D" w:themeColor="text2"/>
                <w:sz w:val="18"/>
                <w:szCs w:val="18"/>
                <w:lang w:eastAsia="lt-LT"/>
              </w:rPr>
              <w:t xml:space="preserve">Lentelė </w:t>
            </w:r>
            <w:r w:rsidRPr="00EE753B">
              <w:rPr>
                <w:i/>
                <w:iCs/>
                <w:color w:val="1F497D" w:themeColor="text2"/>
                <w:sz w:val="18"/>
                <w:szCs w:val="18"/>
                <w:lang w:eastAsia="lt-LT"/>
              </w:rPr>
              <w:fldChar w:fldCharType="begin"/>
            </w:r>
            <w:r w:rsidRPr="00EE753B">
              <w:rPr>
                <w:i/>
                <w:iCs/>
                <w:color w:val="1F497D" w:themeColor="text2"/>
                <w:sz w:val="18"/>
                <w:szCs w:val="18"/>
                <w:lang w:eastAsia="lt-LT"/>
              </w:rPr>
              <w:instrText xml:space="preserve"> SEQ Lentelė \* ARABIC </w:instrText>
            </w:r>
            <w:r w:rsidRPr="00EE753B">
              <w:rPr>
                <w:i/>
                <w:iCs/>
                <w:color w:val="1F497D" w:themeColor="text2"/>
                <w:sz w:val="18"/>
                <w:szCs w:val="18"/>
                <w:lang w:eastAsia="lt-LT"/>
              </w:rPr>
              <w:fldChar w:fldCharType="separate"/>
            </w:r>
            <w:r w:rsidR="0094689E" w:rsidRPr="00EE753B">
              <w:rPr>
                <w:i/>
                <w:iCs/>
                <w:noProof/>
                <w:color w:val="1F497D" w:themeColor="text2"/>
                <w:sz w:val="18"/>
                <w:szCs w:val="18"/>
                <w:lang w:eastAsia="lt-LT"/>
              </w:rPr>
              <w:t>5</w:t>
            </w:r>
            <w:r w:rsidRPr="00EE753B">
              <w:rPr>
                <w:i/>
                <w:iCs/>
                <w:color w:val="1F497D" w:themeColor="text2"/>
                <w:sz w:val="18"/>
                <w:szCs w:val="18"/>
                <w:lang w:eastAsia="lt-LT"/>
              </w:rPr>
              <w:fldChar w:fldCharType="end"/>
            </w:r>
            <w:r w:rsidRPr="00EE753B">
              <w:rPr>
                <w:i/>
                <w:iCs/>
                <w:color w:val="1F497D" w:themeColor="text2"/>
                <w:sz w:val="18"/>
                <w:szCs w:val="18"/>
                <w:lang w:eastAsia="lt-LT"/>
              </w:rPr>
              <w:t>. Veikl</w:t>
            </w:r>
            <w:r w:rsidR="00932A3F" w:rsidRPr="00EE753B">
              <w:rPr>
                <w:i/>
                <w:iCs/>
                <w:color w:val="1F497D" w:themeColor="text2"/>
                <w:sz w:val="18"/>
                <w:szCs w:val="18"/>
                <w:lang w:eastAsia="lt-LT"/>
              </w:rPr>
              <w:t>ų</w:t>
            </w:r>
            <w:r w:rsidRPr="00EE753B">
              <w:rPr>
                <w:i/>
                <w:iCs/>
                <w:color w:val="1F497D" w:themeColor="text2"/>
                <w:sz w:val="18"/>
                <w:szCs w:val="18"/>
                <w:lang w:eastAsia="lt-LT"/>
              </w:rPr>
              <w:t xml:space="preserve"> 3</w:t>
            </w:r>
            <w:r w:rsidR="00932A3F" w:rsidRPr="00EE753B">
              <w:rPr>
                <w:i/>
                <w:iCs/>
                <w:color w:val="1F497D" w:themeColor="text2"/>
                <w:sz w:val="18"/>
                <w:szCs w:val="18"/>
                <w:lang w:eastAsia="lt-LT"/>
              </w:rPr>
              <w:t>-</w:t>
            </w:r>
            <w:r w:rsidR="00862A75" w:rsidRPr="00EE753B">
              <w:rPr>
                <w:i/>
                <w:iCs/>
                <w:color w:val="1F497D" w:themeColor="text2"/>
                <w:sz w:val="18"/>
                <w:szCs w:val="18"/>
                <w:lang w:eastAsia="lt-LT"/>
              </w:rPr>
              <w:t>4</w:t>
            </w:r>
            <w:r w:rsidR="00932A3F" w:rsidRPr="00EE753B">
              <w:rPr>
                <w:i/>
                <w:iCs/>
                <w:color w:val="1F497D" w:themeColor="text2"/>
                <w:sz w:val="18"/>
                <w:szCs w:val="18"/>
                <w:lang w:eastAsia="lt-LT"/>
              </w:rPr>
              <w:t>6</w:t>
            </w:r>
            <w:r w:rsidRPr="00EE753B">
              <w:rPr>
                <w:i/>
                <w:iCs/>
                <w:color w:val="1F497D" w:themeColor="text2"/>
                <w:sz w:val="18"/>
                <w:szCs w:val="18"/>
                <w:lang w:eastAsia="lt-LT"/>
              </w:rPr>
              <w:t xml:space="preserve">  produkto rodiklio reikšmės ir suplanuotos lėšos</w:t>
            </w:r>
          </w:p>
          <w:p w14:paraId="58555ECB" w14:textId="77777777" w:rsidR="00CB76FD" w:rsidRPr="00EE753B" w:rsidRDefault="00CB76FD" w:rsidP="00CB76FD">
            <w:pPr>
              <w:jc w:val="both"/>
              <w:rPr>
                <w:i/>
                <w:iCs/>
                <w:color w:val="1F497D" w:themeColor="text2"/>
                <w:sz w:val="18"/>
                <w:szCs w:val="18"/>
                <w:lang w:eastAsia="lt-LT"/>
              </w:rPr>
            </w:pPr>
          </w:p>
          <w:tbl>
            <w:tblPr>
              <w:tblStyle w:val="TableGrid"/>
              <w:tblW w:w="5000" w:type="pct"/>
              <w:tblCellMar>
                <w:left w:w="28" w:type="dxa"/>
                <w:right w:w="28" w:type="dxa"/>
              </w:tblCellMar>
              <w:tblLook w:val="04A0" w:firstRow="1" w:lastRow="0" w:firstColumn="1" w:lastColumn="0" w:noHBand="0" w:noVBand="1"/>
            </w:tblPr>
            <w:tblGrid>
              <w:gridCol w:w="2354"/>
              <w:gridCol w:w="1971"/>
              <w:gridCol w:w="1004"/>
              <w:gridCol w:w="1175"/>
              <w:gridCol w:w="1352"/>
              <w:gridCol w:w="1546"/>
            </w:tblGrid>
            <w:tr w:rsidR="00CB76FD" w:rsidRPr="00EE753B" w14:paraId="6CEE54F8" w14:textId="77777777" w:rsidTr="005E3959">
              <w:trPr>
                <w:tblHeader/>
              </w:trPr>
              <w:tc>
                <w:tcPr>
                  <w:tcW w:w="1252" w:type="pct"/>
                  <w:shd w:val="clear" w:color="auto" w:fill="D6E3BC" w:themeFill="accent3" w:themeFillTint="66"/>
                  <w:vAlign w:val="center"/>
                  <w:hideMark/>
                </w:tcPr>
                <w:p w14:paraId="5E22789F" w14:textId="77777777"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Veiklos Nr. ir pavadinimas</w:t>
                  </w:r>
                </w:p>
              </w:tc>
              <w:tc>
                <w:tcPr>
                  <w:tcW w:w="1048" w:type="pct"/>
                  <w:shd w:val="clear" w:color="auto" w:fill="D6E3BC" w:themeFill="accent3" w:themeFillTint="66"/>
                  <w:vAlign w:val="center"/>
                  <w:hideMark/>
                </w:tcPr>
                <w:p w14:paraId="6B7A54A9" w14:textId="77777777"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Siekiamas produkto rodiklis 2021-2027 IP</w:t>
                  </w:r>
                </w:p>
              </w:tc>
              <w:tc>
                <w:tcPr>
                  <w:tcW w:w="534" w:type="pct"/>
                  <w:shd w:val="clear" w:color="auto" w:fill="D6E3BC" w:themeFill="accent3" w:themeFillTint="66"/>
                  <w:vAlign w:val="center"/>
                  <w:hideMark/>
                </w:tcPr>
                <w:p w14:paraId="4F0EBC9F" w14:textId="77777777"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Tarpinė reikšmė</w:t>
                  </w:r>
                </w:p>
              </w:tc>
              <w:tc>
                <w:tcPr>
                  <w:tcW w:w="625" w:type="pct"/>
                  <w:shd w:val="clear" w:color="auto" w:fill="D6E3BC" w:themeFill="accent3" w:themeFillTint="66"/>
                  <w:vAlign w:val="center"/>
                  <w:hideMark/>
                </w:tcPr>
                <w:p w14:paraId="036708E4" w14:textId="77777777"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Galutinė reikšmė</w:t>
                  </w:r>
                </w:p>
              </w:tc>
              <w:tc>
                <w:tcPr>
                  <w:tcW w:w="719" w:type="pct"/>
                  <w:shd w:val="clear" w:color="auto" w:fill="D6E3BC" w:themeFill="accent3" w:themeFillTint="66"/>
                  <w:vAlign w:val="center"/>
                  <w:hideMark/>
                </w:tcPr>
                <w:p w14:paraId="22CCC03D" w14:textId="6E75ABFD"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2021</w:t>
                  </w:r>
                  <w:r w:rsidR="00BC6561" w:rsidRPr="00EE753B">
                    <w:rPr>
                      <w:rFonts w:ascii="Arial" w:hAnsi="Arial" w:cs="Arial"/>
                      <w:b/>
                      <w:sz w:val="18"/>
                      <w:szCs w:val="18"/>
                      <w:lang w:eastAsia="lt-LT"/>
                    </w:rPr>
                    <w:t>–</w:t>
                  </w:r>
                  <w:r w:rsidRPr="00EE753B">
                    <w:rPr>
                      <w:rFonts w:ascii="Arial" w:hAnsi="Arial" w:cs="Arial"/>
                      <w:b/>
                      <w:sz w:val="18"/>
                      <w:szCs w:val="18"/>
                      <w:lang w:eastAsia="lt-LT"/>
                    </w:rPr>
                    <w:t>2027 IP</w:t>
                  </w:r>
                </w:p>
              </w:tc>
              <w:tc>
                <w:tcPr>
                  <w:tcW w:w="822" w:type="pct"/>
                  <w:shd w:val="clear" w:color="auto" w:fill="D6E3BC" w:themeFill="accent3" w:themeFillTint="66"/>
                  <w:vAlign w:val="center"/>
                  <w:hideMark/>
                </w:tcPr>
                <w:p w14:paraId="23F79A7C" w14:textId="77777777"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Privačios lėšos</w:t>
                  </w:r>
                </w:p>
              </w:tc>
            </w:tr>
            <w:tr w:rsidR="004E5CFE" w:rsidRPr="00EE753B" w14:paraId="4F8E0929" w14:textId="77777777" w:rsidTr="005E3959">
              <w:tc>
                <w:tcPr>
                  <w:tcW w:w="1252" w:type="pct"/>
                  <w:shd w:val="clear" w:color="auto" w:fill="auto"/>
                  <w:vAlign w:val="center"/>
                  <w:hideMark/>
                </w:tcPr>
                <w:p w14:paraId="0E3EAAB4" w14:textId="40DFF418" w:rsidR="004E5CFE" w:rsidRPr="00EE753B" w:rsidRDefault="004E5CFE" w:rsidP="009A288B">
                  <w:pPr>
                    <w:pStyle w:val="ListParagraph"/>
                    <w:numPr>
                      <w:ilvl w:val="0"/>
                      <w:numId w:val="34"/>
                    </w:numPr>
                    <w:rPr>
                      <w:rFonts w:ascii="Arial" w:hAnsi="Arial" w:cs="Arial"/>
                      <w:bCs/>
                      <w:sz w:val="18"/>
                      <w:szCs w:val="18"/>
                    </w:rPr>
                  </w:pPr>
                  <w:r w:rsidRPr="00EE753B">
                    <w:rPr>
                      <w:rFonts w:ascii="Arial" w:hAnsi="Arial" w:cs="Arial"/>
                      <w:bCs/>
                      <w:sz w:val="18"/>
                      <w:szCs w:val="18"/>
                    </w:rPr>
                    <w:t>Šilumos (vėsumos) apskaitos prietaisų su nuotolinio duomenų nuskaitymo funkcija įrengimas visoje Lietuvoje</w:t>
                  </w:r>
                </w:p>
              </w:tc>
              <w:tc>
                <w:tcPr>
                  <w:tcW w:w="1048" w:type="pct"/>
                  <w:shd w:val="clear" w:color="auto" w:fill="auto"/>
                  <w:vAlign w:val="center"/>
                </w:tcPr>
                <w:p w14:paraId="15277191" w14:textId="19D57B19" w:rsidR="004E5CFE" w:rsidRPr="00EE753B" w:rsidRDefault="004E5CFE" w:rsidP="00744E06">
                  <w:pPr>
                    <w:jc w:val="center"/>
                    <w:rPr>
                      <w:rFonts w:ascii="Arial" w:hAnsi="Arial" w:cs="Arial"/>
                      <w:bCs/>
                      <w:sz w:val="18"/>
                      <w:szCs w:val="18"/>
                      <w:lang w:eastAsia="lt-LT"/>
                    </w:rPr>
                  </w:pPr>
                  <w:r w:rsidRPr="00EE753B">
                    <w:rPr>
                      <w:rFonts w:ascii="Arial" w:hAnsi="Arial" w:cs="Arial"/>
                      <w:bCs/>
                      <w:sz w:val="18"/>
                      <w:szCs w:val="18"/>
                      <w:lang w:eastAsia="lt-LT"/>
                    </w:rPr>
                    <w:t>Įrengti šilumos, vėsumos apskaitos prietaisai su nuotolinio duomenų nuskaitymo funkcija</w:t>
                  </w:r>
                  <w:r w:rsidR="0011475A" w:rsidRPr="00EE753B">
                    <w:rPr>
                      <w:rFonts w:ascii="Arial" w:hAnsi="Arial" w:cs="Arial"/>
                      <w:bCs/>
                      <w:sz w:val="18"/>
                      <w:szCs w:val="18"/>
                      <w:lang w:eastAsia="lt-LT"/>
                    </w:rPr>
                    <w:t>,</w:t>
                  </w:r>
                  <w:r w:rsidR="00720867" w:rsidRPr="00EE753B">
                    <w:rPr>
                      <w:rFonts w:ascii="Arial" w:hAnsi="Arial" w:cs="Arial"/>
                      <w:bCs/>
                      <w:sz w:val="18"/>
                      <w:szCs w:val="18"/>
                      <w:lang w:eastAsia="lt-LT"/>
                    </w:rPr>
                    <w:t xml:space="preserve"> vnt.</w:t>
                  </w:r>
                </w:p>
              </w:tc>
              <w:tc>
                <w:tcPr>
                  <w:tcW w:w="534" w:type="pct"/>
                  <w:shd w:val="clear" w:color="auto" w:fill="auto"/>
                  <w:vAlign w:val="center"/>
                </w:tcPr>
                <w:p w14:paraId="253C87AB" w14:textId="0C34A873" w:rsidR="004E5CFE" w:rsidRPr="00EE753B" w:rsidRDefault="00900DF3" w:rsidP="00744E06">
                  <w:pPr>
                    <w:jc w:val="center"/>
                    <w:rPr>
                      <w:rFonts w:ascii="Arial" w:hAnsi="Arial" w:cs="Arial"/>
                      <w:bCs/>
                      <w:sz w:val="18"/>
                      <w:szCs w:val="18"/>
                      <w:lang w:eastAsia="lt-LT"/>
                    </w:rPr>
                  </w:pPr>
                  <w:r w:rsidRPr="00EE753B">
                    <w:rPr>
                      <w:rFonts w:ascii="Arial" w:hAnsi="Arial" w:cs="Arial"/>
                      <w:bCs/>
                      <w:sz w:val="18"/>
                      <w:szCs w:val="18"/>
                      <w:lang w:eastAsia="lt-LT"/>
                    </w:rPr>
                    <w:t>0</w:t>
                  </w:r>
                </w:p>
              </w:tc>
              <w:tc>
                <w:tcPr>
                  <w:tcW w:w="625" w:type="pct"/>
                  <w:shd w:val="clear" w:color="auto" w:fill="auto"/>
                  <w:vAlign w:val="center"/>
                </w:tcPr>
                <w:p w14:paraId="1E2D633F" w14:textId="6311EC73" w:rsidR="004E5CFE" w:rsidRPr="00EE753B" w:rsidRDefault="009B63C0" w:rsidP="00744E06">
                  <w:pPr>
                    <w:jc w:val="center"/>
                    <w:rPr>
                      <w:rFonts w:ascii="Arial" w:hAnsi="Arial" w:cs="Arial"/>
                      <w:bCs/>
                      <w:sz w:val="18"/>
                      <w:szCs w:val="18"/>
                      <w:lang w:eastAsia="lt-LT"/>
                    </w:rPr>
                  </w:pPr>
                  <w:r w:rsidRPr="00EE753B">
                    <w:rPr>
                      <w:rFonts w:ascii="Arial" w:hAnsi="Arial" w:cs="Arial"/>
                      <w:bCs/>
                      <w:sz w:val="18"/>
                      <w:szCs w:val="18"/>
                      <w:lang w:eastAsia="lt-LT"/>
                    </w:rPr>
                    <w:t xml:space="preserve">5 </w:t>
                  </w:r>
                  <w:r w:rsidR="00136AE4" w:rsidRPr="00EE753B">
                    <w:rPr>
                      <w:rFonts w:ascii="Arial" w:hAnsi="Arial" w:cs="Arial"/>
                      <w:bCs/>
                      <w:sz w:val="18"/>
                      <w:szCs w:val="18"/>
                      <w:lang w:eastAsia="lt-LT"/>
                    </w:rPr>
                    <w:t>2</w:t>
                  </w:r>
                  <w:r w:rsidR="00F936A7" w:rsidRPr="00EE753B">
                    <w:rPr>
                      <w:rFonts w:ascii="Arial" w:hAnsi="Arial" w:cs="Arial"/>
                      <w:bCs/>
                      <w:sz w:val="18"/>
                      <w:szCs w:val="18"/>
                      <w:lang w:val="en-US" w:eastAsia="lt-LT"/>
                    </w:rPr>
                    <w:t>57</w:t>
                  </w:r>
                </w:p>
              </w:tc>
              <w:tc>
                <w:tcPr>
                  <w:tcW w:w="719" w:type="pct"/>
                  <w:shd w:val="clear" w:color="auto" w:fill="auto"/>
                  <w:vAlign w:val="center"/>
                </w:tcPr>
                <w:p w14:paraId="4E451D3C" w14:textId="6CDAB3AC" w:rsidR="004E5CFE" w:rsidRPr="00EE753B" w:rsidRDefault="009B63C0" w:rsidP="00744E06">
                  <w:pPr>
                    <w:jc w:val="center"/>
                    <w:rPr>
                      <w:rFonts w:ascii="Arial" w:hAnsi="Arial" w:cs="Arial"/>
                      <w:bCs/>
                      <w:sz w:val="18"/>
                      <w:szCs w:val="18"/>
                      <w:lang w:eastAsia="lt-LT"/>
                    </w:rPr>
                  </w:pPr>
                  <w:r w:rsidRPr="00EE753B">
                    <w:rPr>
                      <w:rFonts w:ascii="Arial" w:hAnsi="Arial" w:cs="Arial"/>
                      <w:bCs/>
                      <w:sz w:val="18"/>
                      <w:szCs w:val="18"/>
                      <w:lang w:eastAsia="lt-LT"/>
                    </w:rPr>
                    <w:t>6</w:t>
                  </w:r>
                  <w:r w:rsidR="004421AB" w:rsidRPr="00EE753B">
                    <w:rPr>
                      <w:rFonts w:ascii="Arial" w:hAnsi="Arial" w:cs="Arial"/>
                      <w:bCs/>
                      <w:sz w:val="18"/>
                      <w:szCs w:val="18"/>
                      <w:lang w:eastAsia="lt-LT"/>
                    </w:rPr>
                    <w:t> </w:t>
                  </w:r>
                  <w:r w:rsidRPr="00EE753B">
                    <w:rPr>
                      <w:rFonts w:ascii="Arial" w:hAnsi="Arial" w:cs="Arial"/>
                      <w:bCs/>
                      <w:sz w:val="18"/>
                      <w:szCs w:val="18"/>
                      <w:lang w:eastAsia="lt-LT"/>
                    </w:rPr>
                    <w:t>750</w:t>
                  </w:r>
                  <w:r w:rsidR="004421AB" w:rsidRPr="00EE753B">
                    <w:rPr>
                      <w:rFonts w:ascii="Arial" w:hAnsi="Arial" w:cs="Arial"/>
                      <w:bCs/>
                      <w:sz w:val="18"/>
                      <w:szCs w:val="18"/>
                      <w:lang w:eastAsia="lt-LT"/>
                    </w:rPr>
                    <w:t xml:space="preserve"> </w:t>
                  </w:r>
                  <w:r w:rsidRPr="00EE753B">
                    <w:rPr>
                      <w:rFonts w:ascii="Arial" w:hAnsi="Arial" w:cs="Arial"/>
                      <w:bCs/>
                      <w:sz w:val="18"/>
                      <w:szCs w:val="18"/>
                      <w:lang w:eastAsia="lt-LT"/>
                    </w:rPr>
                    <w:t>000</w:t>
                  </w:r>
                </w:p>
              </w:tc>
              <w:tc>
                <w:tcPr>
                  <w:tcW w:w="822" w:type="pct"/>
                  <w:shd w:val="clear" w:color="auto" w:fill="auto"/>
                  <w:vAlign w:val="center"/>
                </w:tcPr>
                <w:p w14:paraId="4C7F6D39" w14:textId="08D9C55C" w:rsidR="004E5CFE" w:rsidRPr="00EE753B" w:rsidRDefault="007065E7" w:rsidP="00744E06">
                  <w:pPr>
                    <w:jc w:val="center"/>
                    <w:rPr>
                      <w:rFonts w:ascii="Arial" w:hAnsi="Arial" w:cs="Arial"/>
                      <w:bCs/>
                      <w:sz w:val="18"/>
                      <w:szCs w:val="18"/>
                      <w:lang w:eastAsia="lt-LT"/>
                    </w:rPr>
                  </w:pPr>
                  <w:r w:rsidRPr="00EE753B">
                    <w:rPr>
                      <w:rFonts w:ascii="Arial" w:hAnsi="Arial" w:cs="Arial"/>
                      <w:sz w:val="18"/>
                      <w:szCs w:val="18"/>
                    </w:rPr>
                    <w:t xml:space="preserve">1 577 </w:t>
                  </w:r>
                  <w:r w:rsidR="005E3959" w:rsidRPr="00EE753B">
                    <w:rPr>
                      <w:rFonts w:ascii="Arial" w:hAnsi="Arial" w:cs="Arial"/>
                      <w:sz w:val="18"/>
                      <w:szCs w:val="18"/>
                    </w:rPr>
                    <w:t>000</w:t>
                  </w:r>
                </w:p>
              </w:tc>
            </w:tr>
            <w:tr w:rsidR="004E5CFE" w:rsidRPr="00EE753B" w14:paraId="5651E0F9" w14:textId="77777777" w:rsidTr="005E3959">
              <w:tc>
                <w:tcPr>
                  <w:tcW w:w="1252" w:type="pct"/>
                  <w:shd w:val="clear" w:color="auto" w:fill="auto"/>
                  <w:vAlign w:val="center"/>
                  <w:hideMark/>
                </w:tcPr>
                <w:p w14:paraId="1702417D" w14:textId="28037408" w:rsidR="004E5CFE" w:rsidRPr="00EE753B" w:rsidRDefault="004E5CFE" w:rsidP="009A288B">
                  <w:pPr>
                    <w:pStyle w:val="ListParagraph"/>
                    <w:numPr>
                      <w:ilvl w:val="0"/>
                      <w:numId w:val="34"/>
                    </w:numPr>
                    <w:rPr>
                      <w:rFonts w:ascii="Arial" w:hAnsi="Arial" w:cs="Arial"/>
                      <w:bCs/>
                      <w:sz w:val="18"/>
                      <w:szCs w:val="18"/>
                    </w:rPr>
                  </w:pPr>
                  <w:r w:rsidRPr="00EE753B">
                    <w:rPr>
                      <w:rFonts w:ascii="Arial" w:hAnsi="Arial" w:cs="Arial"/>
                      <w:bCs/>
                      <w:sz w:val="18"/>
                      <w:szCs w:val="18"/>
                    </w:rPr>
                    <w:t>Šilumos (vėsumos) apskaitos prietaisų su nuotolinio duomenų nuskaitymo funkcija įrengimas Vidurio ir Vakarų Lietuvoje</w:t>
                  </w:r>
                </w:p>
              </w:tc>
              <w:tc>
                <w:tcPr>
                  <w:tcW w:w="1048" w:type="pct"/>
                  <w:shd w:val="clear" w:color="auto" w:fill="auto"/>
                  <w:vAlign w:val="center"/>
                </w:tcPr>
                <w:p w14:paraId="4C9718D9" w14:textId="2B02CFCC" w:rsidR="004E5CFE" w:rsidRPr="00EE753B" w:rsidRDefault="004E5CFE" w:rsidP="00744E06">
                  <w:pPr>
                    <w:jc w:val="center"/>
                    <w:rPr>
                      <w:rFonts w:ascii="Arial" w:hAnsi="Arial" w:cs="Arial"/>
                      <w:bCs/>
                      <w:sz w:val="18"/>
                      <w:szCs w:val="18"/>
                      <w:lang w:eastAsia="lt-LT"/>
                    </w:rPr>
                  </w:pPr>
                  <w:r w:rsidRPr="00EE753B">
                    <w:rPr>
                      <w:rFonts w:ascii="Arial" w:hAnsi="Arial" w:cs="Arial"/>
                      <w:bCs/>
                      <w:sz w:val="18"/>
                      <w:szCs w:val="18"/>
                      <w:lang w:eastAsia="lt-LT"/>
                    </w:rPr>
                    <w:t>Įrengti šilumos, vėsumos apskaitos prietaisai su nuotolinio duomenų nuskaitymo funkcija</w:t>
                  </w:r>
                  <w:r w:rsidR="00720867" w:rsidRPr="00EE753B">
                    <w:rPr>
                      <w:rFonts w:ascii="Arial" w:hAnsi="Arial" w:cs="Arial"/>
                      <w:bCs/>
                      <w:sz w:val="18"/>
                      <w:szCs w:val="18"/>
                      <w:lang w:eastAsia="lt-LT"/>
                    </w:rPr>
                    <w:t>, vnt.</w:t>
                  </w:r>
                </w:p>
              </w:tc>
              <w:tc>
                <w:tcPr>
                  <w:tcW w:w="534" w:type="pct"/>
                  <w:shd w:val="clear" w:color="auto" w:fill="auto"/>
                  <w:vAlign w:val="center"/>
                </w:tcPr>
                <w:p w14:paraId="5BA11EC3" w14:textId="25EA974F" w:rsidR="004E5CFE" w:rsidRPr="00EE753B" w:rsidRDefault="009B63C0" w:rsidP="00744E06">
                  <w:pPr>
                    <w:jc w:val="center"/>
                    <w:rPr>
                      <w:rFonts w:ascii="Arial" w:hAnsi="Arial" w:cs="Arial"/>
                      <w:bCs/>
                      <w:sz w:val="18"/>
                      <w:szCs w:val="18"/>
                      <w:lang w:eastAsia="lt-LT"/>
                    </w:rPr>
                  </w:pPr>
                  <w:r w:rsidRPr="00EE753B">
                    <w:rPr>
                      <w:rFonts w:ascii="Arial" w:hAnsi="Arial" w:cs="Arial"/>
                      <w:bCs/>
                      <w:sz w:val="18"/>
                      <w:szCs w:val="18"/>
                      <w:lang w:eastAsia="lt-LT"/>
                    </w:rPr>
                    <w:t>0</w:t>
                  </w:r>
                </w:p>
              </w:tc>
              <w:tc>
                <w:tcPr>
                  <w:tcW w:w="625" w:type="pct"/>
                  <w:shd w:val="clear" w:color="auto" w:fill="auto"/>
                  <w:vAlign w:val="center"/>
                </w:tcPr>
                <w:p w14:paraId="4F260830" w14:textId="257511B9" w:rsidR="004E5CFE" w:rsidRPr="00EE753B" w:rsidRDefault="009B63C0" w:rsidP="00744E06">
                  <w:pPr>
                    <w:jc w:val="center"/>
                    <w:rPr>
                      <w:rFonts w:ascii="Arial" w:hAnsi="Arial" w:cs="Arial"/>
                      <w:bCs/>
                      <w:sz w:val="18"/>
                      <w:szCs w:val="18"/>
                      <w:lang w:eastAsia="lt-LT"/>
                    </w:rPr>
                  </w:pPr>
                  <w:r w:rsidRPr="00EE753B">
                    <w:rPr>
                      <w:rFonts w:ascii="Arial" w:hAnsi="Arial" w:cs="Arial"/>
                      <w:bCs/>
                      <w:sz w:val="18"/>
                      <w:szCs w:val="18"/>
                      <w:lang w:eastAsia="lt-LT"/>
                    </w:rPr>
                    <w:t xml:space="preserve">5 </w:t>
                  </w:r>
                  <w:r w:rsidR="00136AE4" w:rsidRPr="00EE753B">
                    <w:rPr>
                      <w:rFonts w:ascii="Arial" w:hAnsi="Arial" w:cs="Arial"/>
                      <w:bCs/>
                      <w:sz w:val="18"/>
                      <w:szCs w:val="18"/>
                      <w:lang w:eastAsia="lt-LT"/>
                    </w:rPr>
                    <w:t>2</w:t>
                  </w:r>
                  <w:r w:rsidR="00F936A7" w:rsidRPr="00EE753B">
                    <w:rPr>
                      <w:rFonts w:ascii="Arial" w:hAnsi="Arial" w:cs="Arial"/>
                      <w:bCs/>
                      <w:sz w:val="18"/>
                      <w:szCs w:val="18"/>
                      <w:lang w:eastAsia="lt-LT"/>
                    </w:rPr>
                    <w:t>57</w:t>
                  </w:r>
                </w:p>
              </w:tc>
              <w:tc>
                <w:tcPr>
                  <w:tcW w:w="719" w:type="pct"/>
                  <w:shd w:val="clear" w:color="auto" w:fill="auto"/>
                  <w:vAlign w:val="center"/>
                </w:tcPr>
                <w:p w14:paraId="0115021E" w14:textId="1D2BAF31" w:rsidR="004E5CFE" w:rsidRPr="00EE753B" w:rsidRDefault="009B63C0" w:rsidP="00744E06">
                  <w:pPr>
                    <w:jc w:val="center"/>
                    <w:rPr>
                      <w:rFonts w:ascii="Arial" w:hAnsi="Arial" w:cs="Arial"/>
                      <w:bCs/>
                      <w:sz w:val="18"/>
                      <w:szCs w:val="18"/>
                      <w:lang w:eastAsia="lt-LT"/>
                    </w:rPr>
                  </w:pPr>
                  <w:r w:rsidRPr="00EE753B">
                    <w:rPr>
                      <w:rFonts w:ascii="Arial" w:hAnsi="Arial" w:cs="Arial"/>
                      <w:bCs/>
                      <w:sz w:val="18"/>
                      <w:szCs w:val="18"/>
                      <w:lang w:eastAsia="lt-LT"/>
                    </w:rPr>
                    <w:t>6</w:t>
                  </w:r>
                  <w:r w:rsidR="004421AB" w:rsidRPr="00EE753B">
                    <w:rPr>
                      <w:rFonts w:ascii="Arial" w:hAnsi="Arial" w:cs="Arial"/>
                      <w:bCs/>
                      <w:sz w:val="18"/>
                      <w:szCs w:val="18"/>
                      <w:lang w:eastAsia="lt-LT"/>
                    </w:rPr>
                    <w:t> </w:t>
                  </w:r>
                  <w:r w:rsidRPr="00EE753B">
                    <w:rPr>
                      <w:rFonts w:ascii="Arial" w:hAnsi="Arial" w:cs="Arial"/>
                      <w:bCs/>
                      <w:sz w:val="18"/>
                      <w:szCs w:val="18"/>
                      <w:lang w:eastAsia="lt-LT"/>
                    </w:rPr>
                    <w:t>750</w:t>
                  </w:r>
                  <w:r w:rsidR="004421AB" w:rsidRPr="00EE753B">
                    <w:rPr>
                      <w:rFonts w:ascii="Arial" w:hAnsi="Arial" w:cs="Arial"/>
                      <w:bCs/>
                      <w:sz w:val="18"/>
                      <w:szCs w:val="18"/>
                      <w:lang w:eastAsia="lt-LT"/>
                    </w:rPr>
                    <w:t xml:space="preserve"> </w:t>
                  </w:r>
                  <w:r w:rsidR="004E5CFE" w:rsidRPr="00EE753B">
                    <w:rPr>
                      <w:rFonts w:ascii="Arial" w:hAnsi="Arial" w:cs="Arial"/>
                      <w:bCs/>
                      <w:sz w:val="18"/>
                      <w:szCs w:val="18"/>
                      <w:lang w:eastAsia="lt-LT"/>
                    </w:rPr>
                    <w:t>000</w:t>
                  </w:r>
                </w:p>
              </w:tc>
              <w:tc>
                <w:tcPr>
                  <w:tcW w:w="822" w:type="pct"/>
                  <w:shd w:val="clear" w:color="auto" w:fill="auto"/>
                  <w:vAlign w:val="center"/>
                </w:tcPr>
                <w:p w14:paraId="1DFEE2DC" w14:textId="7EA05CE1" w:rsidR="004E5CFE" w:rsidRPr="00EE753B" w:rsidRDefault="007065E7" w:rsidP="00744E06">
                  <w:pPr>
                    <w:jc w:val="center"/>
                    <w:rPr>
                      <w:rFonts w:ascii="Arial" w:hAnsi="Arial" w:cs="Arial"/>
                      <w:bCs/>
                      <w:sz w:val="18"/>
                      <w:szCs w:val="18"/>
                      <w:lang w:eastAsia="lt-LT"/>
                    </w:rPr>
                  </w:pPr>
                  <w:r w:rsidRPr="00EE753B">
                    <w:rPr>
                      <w:rFonts w:ascii="Arial" w:hAnsi="Arial" w:cs="Arial"/>
                      <w:sz w:val="18"/>
                      <w:szCs w:val="18"/>
                    </w:rPr>
                    <w:t xml:space="preserve">1 577 </w:t>
                  </w:r>
                  <w:r w:rsidR="005E3959" w:rsidRPr="00EE753B">
                    <w:rPr>
                      <w:rFonts w:ascii="Arial" w:hAnsi="Arial" w:cs="Arial"/>
                      <w:sz w:val="18"/>
                      <w:szCs w:val="18"/>
                    </w:rPr>
                    <w:t>000</w:t>
                  </w:r>
                </w:p>
              </w:tc>
            </w:tr>
            <w:tr w:rsidR="00CB76FD" w:rsidRPr="00EE753B" w14:paraId="42D9629A" w14:textId="77777777" w:rsidTr="005E3959">
              <w:tc>
                <w:tcPr>
                  <w:tcW w:w="1252" w:type="pct"/>
                  <w:shd w:val="clear" w:color="auto" w:fill="auto"/>
                  <w:vAlign w:val="center"/>
                </w:tcPr>
                <w:p w14:paraId="1E3087A3" w14:textId="77777777" w:rsidR="00CB76FD" w:rsidRPr="00EE753B" w:rsidRDefault="00CB76FD" w:rsidP="004E5CFE">
                  <w:pPr>
                    <w:jc w:val="center"/>
                    <w:rPr>
                      <w:rFonts w:ascii="Arial" w:hAnsi="Arial" w:cs="Arial"/>
                      <w:bCs/>
                      <w:sz w:val="18"/>
                      <w:szCs w:val="18"/>
                      <w:lang w:eastAsia="lt-LT"/>
                    </w:rPr>
                  </w:pPr>
                </w:p>
              </w:tc>
              <w:tc>
                <w:tcPr>
                  <w:tcW w:w="1048" w:type="pct"/>
                  <w:shd w:val="clear" w:color="auto" w:fill="auto"/>
                  <w:vAlign w:val="center"/>
                </w:tcPr>
                <w:p w14:paraId="46D04BD6" w14:textId="77777777"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SUMA:</w:t>
                  </w:r>
                </w:p>
              </w:tc>
              <w:tc>
                <w:tcPr>
                  <w:tcW w:w="534" w:type="pct"/>
                  <w:shd w:val="clear" w:color="auto" w:fill="auto"/>
                  <w:vAlign w:val="center"/>
                </w:tcPr>
                <w:p w14:paraId="3FFA1F7E" w14:textId="062177DE" w:rsidR="00CB76FD" w:rsidRPr="00EE753B" w:rsidRDefault="00C50A7E" w:rsidP="004E5CFE">
                  <w:pPr>
                    <w:jc w:val="center"/>
                    <w:rPr>
                      <w:rFonts w:ascii="Arial" w:hAnsi="Arial" w:cs="Arial"/>
                      <w:b/>
                      <w:sz w:val="18"/>
                      <w:szCs w:val="18"/>
                      <w:lang w:eastAsia="lt-LT"/>
                    </w:rPr>
                  </w:pPr>
                  <w:r w:rsidRPr="00EE753B">
                    <w:rPr>
                      <w:rFonts w:ascii="Arial" w:hAnsi="Arial" w:cs="Arial"/>
                      <w:b/>
                      <w:sz w:val="18"/>
                      <w:szCs w:val="18"/>
                      <w:lang w:eastAsia="lt-LT"/>
                    </w:rPr>
                    <w:t>0</w:t>
                  </w:r>
                </w:p>
              </w:tc>
              <w:tc>
                <w:tcPr>
                  <w:tcW w:w="625" w:type="pct"/>
                  <w:shd w:val="clear" w:color="auto" w:fill="auto"/>
                  <w:vAlign w:val="center"/>
                </w:tcPr>
                <w:p w14:paraId="7996FAF0" w14:textId="7B2072FF" w:rsidR="00CB76FD" w:rsidRPr="00EE753B" w:rsidRDefault="00136AE4" w:rsidP="004E5CFE">
                  <w:pPr>
                    <w:jc w:val="center"/>
                    <w:rPr>
                      <w:rFonts w:ascii="Arial" w:hAnsi="Arial" w:cs="Arial"/>
                      <w:b/>
                      <w:sz w:val="18"/>
                      <w:szCs w:val="18"/>
                      <w:lang w:eastAsia="lt-LT"/>
                    </w:rPr>
                  </w:pPr>
                  <w:r w:rsidRPr="00EE753B">
                    <w:rPr>
                      <w:rFonts w:ascii="Arial" w:hAnsi="Arial" w:cs="Arial"/>
                      <w:b/>
                      <w:sz w:val="18"/>
                      <w:szCs w:val="18"/>
                      <w:lang w:eastAsia="lt-LT"/>
                    </w:rPr>
                    <w:t xml:space="preserve">10 </w:t>
                  </w:r>
                  <w:r w:rsidR="00A27403">
                    <w:rPr>
                      <w:rFonts w:ascii="Arial" w:hAnsi="Arial" w:cs="Arial"/>
                      <w:b/>
                      <w:sz w:val="18"/>
                      <w:szCs w:val="18"/>
                      <w:lang w:eastAsia="lt-LT"/>
                    </w:rPr>
                    <w:t>515</w:t>
                  </w:r>
                </w:p>
              </w:tc>
              <w:tc>
                <w:tcPr>
                  <w:tcW w:w="719" w:type="pct"/>
                  <w:shd w:val="clear" w:color="auto" w:fill="auto"/>
                  <w:vAlign w:val="center"/>
                </w:tcPr>
                <w:p w14:paraId="3025C50C" w14:textId="36901615" w:rsidR="00CB76FD" w:rsidRPr="00EE753B" w:rsidRDefault="00CB76FD" w:rsidP="004E5CFE">
                  <w:pPr>
                    <w:jc w:val="center"/>
                    <w:rPr>
                      <w:rFonts w:ascii="Arial" w:hAnsi="Arial" w:cs="Arial"/>
                      <w:b/>
                      <w:sz w:val="18"/>
                      <w:szCs w:val="18"/>
                      <w:lang w:eastAsia="lt-LT"/>
                    </w:rPr>
                  </w:pPr>
                  <w:r w:rsidRPr="00EE753B">
                    <w:rPr>
                      <w:rFonts w:ascii="Arial" w:hAnsi="Arial" w:cs="Arial"/>
                      <w:b/>
                      <w:sz w:val="18"/>
                      <w:szCs w:val="18"/>
                      <w:lang w:eastAsia="lt-LT"/>
                    </w:rPr>
                    <w:t>13</w:t>
                  </w:r>
                  <w:r w:rsidR="00BC6561" w:rsidRPr="00EE753B">
                    <w:rPr>
                      <w:rFonts w:ascii="Arial" w:hAnsi="Arial" w:cs="Arial"/>
                      <w:b/>
                      <w:sz w:val="18"/>
                      <w:szCs w:val="18"/>
                      <w:lang w:eastAsia="lt-LT"/>
                    </w:rPr>
                    <w:t> </w:t>
                  </w:r>
                  <w:r w:rsidRPr="00EE753B">
                    <w:rPr>
                      <w:rFonts w:ascii="Arial" w:hAnsi="Arial" w:cs="Arial"/>
                      <w:b/>
                      <w:sz w:val="18"/>
                      <w:szCs w:val="18"/>
                      <w:lang w:eastAsia="lt-LT"/>
                    </w:rPr>
                    <w:t>500</w:t>
                  </w:r>
                  <w:r w:rsidR="00BC6561" w:rsidRPr="00EE753B">
                    <w:rPr>
                      <w:rFonts w:ascii="Arial" w:hAnsi="Arial" w:cs="Arial"/>
                      <w:b/>
                      <w:sz w:val="18"/>
                      <w:szCs w:val="18"/>
                      <w:lang w:eastAsia="lt-LT"/>
                    </w:rPr>
                    <w:t xml:space="preserve"> </w:t>
                  </w:r>
                  <w:r w:rsidRPr="00EE753B">
                    <w:rPr>
                      <w:rFonts w:ascii="Arial" w:hAnsi="Arial" w:cs="Arial"/>
                      <w:b/>
                      <w:sz w:val="18"/>
                      <w:szCs w:val="18"/>
                      <w:lang w:eastAsia="lt-LT"/>
                    </w:rPr>
                    <w:t>000</w:t>
                  </w:r>
                </w:p>
              </w:tc>
              <w:tc>
                <w:tcPr>
                  <w:tcW w:w="822" w:type="pct"/>
                  <w:shd w:val="clear" w:color="auto" w:fill="auto"/>
                  <w:vAlign w:val="center"/>
                </w:tcPr>
                <w:p w14:paraId="34051A94" w14:textId="5F47195D" w:rsidR="00CB76FD" w:rsidRPr="00EE753B" w:rsidRDefault="00932170" w:rsidP="004E5CFE">
                  <w:pPr>
                    <w:jc w:val="center"/>
                    <w:rPr>
                      <w:rFonts w:ascii="Arial" w:hAnsi="Arial" w:cs="Arial"/>
                      <w:b/>
                      <w:sz w:val="18"/>
                      <w:szCs w:val="18"/>
                      <w:lang w:eastAsia="lt-LT"/>
                    </w:rPr>
                  </w:pPr>
                  <w:r w:rsidRPr="00EE753B">
                    <w:rPr>
                      <w:rFonts w:ascii="Arial" w:hAnsi="Arial" w:cs="Arial"/>
                      <w:b/>
                      <w:sz w:val="18"/>
                      <w:szCs w:val="18"/>
                      <w:lang w:eastAsia="lt-LT"/>
                    </w:rPr>
                    <w:t xml:space="preserve">3 154 </w:t>
                  </w:r>
                  <w:r w:rsidR="005E3959" w:rsidRPr="00EE753B">
                    <w:rPr>
                      <w:rFonts w:ascii="Arial" w:hAnsi="Arial" w:cs="Arial"/>
                      <w:b/>
                      <w:sz w:val="18"/>
                      <w:szCs w:val="18"/>
                      <w:lang w:eastAsia="lt-LT"/>
                    </w:rPr>
                    <w:t>000</w:t>
                  </w:r>
                </w:p>
              </w:tc>
            </w:tr>
          </w:tbl>
          <w:p w14:paraId="28A888AF" w14:textId="77777777" w:rsidR="00CB76FD" w:rsidRPr="00EE753B" w:rsidRDefault="00CB76FD" w:rsidP="00CB76FD">
            <w:pPr>
              <w:spacing w:after="100"/>
              <w:jc w:val="both"/>
              <w:rPr>
                <w:i/>
                <w:iCs/>
                <w:sz w:val="18"/>
                <w:szCs w:val="18"/>
              </w:rPr>
            </w:pPr>
            <w:r w:rsidRPr="00EE753B">
              <w:rPr>
                <w:i/>
                <w:iCs/>
                <w:sz w:val="18"/>
                <w:szCs w:val="18"/>
              </w:rPr>
              <w:t>Šaltinis: sudaryta autorių</w:t>
            </w:r>
          </w:p>
          <w:p w14:paraId="4F1562F9" w14:textId="008A57E2" w:rsidR="0083400A" w:rsidRPr="00EE753B" w:rsidRDefault="008F1CD0" w:rsidP="0083400A">
            <w:pPr>
              <w:rPr>
                <w:sz w:val="22"/>
                <w:szCs w:val="22"/>
              </w:rPr>
            </w:pPr>
            <w:r w:rsidRPr="00EE753B">
              <w:rPr>
                <w:sz w:val="22"/>
                <w:szCs w:val="22"/>
              </w:rPr>
              <w:t>Veiklų 3</w:t>
            </w:r>
            <w:r w:rsidR="00BC6561" w:rsidRPr="00EE753B">
              <w:rPr>
                <w:sz w:val="22"/>
                <w:szCs w:val="22"/>
              </w:rPr>
              <w:t>–</w:t>
            </w:r>
            <w:r w:rsidR="00B57E80" w:rsidRPr="00EE753B">
              <w:rPr>
                <w:sz w:val="22"/>
                <w:szCs w:val="22"/>
              </w:rPr>
              <w:t>4</w:t>
            </w:r>
            <w:r w:rsidR="0091016B" w:rsidRPr="00EE753B">
              <w:rPr>
                <w:sz w:val="22"/>
                <w:szCs w:val="22"/>
              </w:rPr>
              <w:t xml:space="preserve"> rezultatai </w:t>
            </w:r>
            <w:r w:rsidR="0083400A" w:rsidRPr="00EE753B">
              <w:rPr>
                <w:sz w:val="22"/>
                <w:szCs w:val="22"/>
              </w:rPr>
              <w:t>sudaro prielaidas šilumos tiekėjams efektyvinti vykdomą veiklą, t.</w:t>
            </w:r>
            <w:r w:rsidR="00BC6561" w:rsidRPr="00EE753B">
              <w:rPr>
                <w:sz w:val="22"/>
                <w:szCs w:val="22"/>
              </w:rPr>
              <w:t xml:space="preserve"> </w:t>
            </w:r>
            <w:r w:rsidR="0083400A" w:rsidRPr="00EE753B">
              <w:rPr>
                <w:sz w:val="22"/>
                <w:szCs w:val="22"/>
              </w:rPr>
              <w:t>y.:</w:t>
            </w:r>
          </w:p>
          <w:p w14:paraId="0282BC22" w14:textId="77777777" w:rsidR="0083400A" w:rsidRPr="00EE753B" w:rsidRDefault="0083400A" w:rsidP="0083400A">
            <w:pPr>
              <w:numPr>
                <w:ilvl w:val="0"/>
                <w:numId w:val="32"/>
              </w:numPr>
              <w:jc w:val="both"/>
              <w:rPr>
                <w:sz w:val="22"/>
                <w:szCs w:val="22"/>
              </w:rPr>
            </w:pPr>
            <w:r w:rsidRPr="00EE753B">
              <w:rPr>
                <w:sz w:val="22"/>
                <w:szCs w:val="22"/>
              </w:rPr>
              <w:t xml:space="preserve">sekti energijos vartojimą kiekviename pastate ir </w:t>
            </w:r>
            <w:r w:rsidRPr="00EE753B">
              <w:rPr>
                <w:sz w:val="22"/>
                <w:szCs w:val="22"/>
                <w:u w:val="single"/>
              </w:rPr>
              <w:t>įvertinti energetinį efektyvumą</w:t>
            </w:r>
            <w:r w:rsidRPr="00EE753B">
              <w:rPr>
                <w:sz w:val="22"/>
                <w:szCs w:val="22"/>
              </w:rPr>
              <w:t>, kas motyvuos šilumos tiekėjus ir vartotojus diegti energijos taupymo priemones;</w:t>
            </w:r>
          </w:p>
          <w:p w14:paraId="6C781760" w14:textId="565A204A" w:rsidR="0083400A" w:rsidRPr="00EE753B" w:rsidRDefault="0083400A" w:rsidP="0083400A">
            <w:pPr>
              <w:numPr>
                <w:ilvl w:val="0"/>
                <w:numId w:val="32"/>
              </w:numPr>
              <w:jc w:val="both"/>
              <w:rPr>
                <w:sz w:val="22"/>
                <w:szCs w:val="22"/>
              </w:rPr>
            </w:pPr>
            <w:r w:rsidRPr="00EE753B">
              <w:rPr>
                <w:sz w:val="22"/>
                <w:szCs w:val="22"/>
              </w:rPr>
              <w:t xml:space="preserve">nuolatinis </w:t>
            </w:r>
            <w:proofErr w:type="spellStart"/>
            <w:r w:rsidRPr="00EE753B">
              <w:rPr>
                <w:sz w:val="22"/>
                <w:szCs w:val="22"/>
              </w:rPr>
              <w:t>šilumnešio</w:t>
            </w:r>
            <w:proofErr w:type="spellEnd"/>
            <w:r w:rsidRPr="00EE753B">
              <w:rPr>
                <w:sz w:val="22"/>
                <w:szCs w:val="22"/>
              </w:rPr>
              <w:t xml:space="preserve"> debeto ir slėgio matavimas realiuoju laiku leis sekti vandens </w:t>
            </w:r>
            <w:proofErr w:type="spellStart"/>
            <w:r w:rsidRPr="00EE753B">
              <w:rPr>
                <w:sz w:val="22"/>
                <w:szCs w:val="22"/>
              </w:rPr>
              <w:t>nuotekius</w:t>
            </w:r>
            <w:proofErr w:type="spellEnd"/>
            <w:r w:rsidRPr="00EE753B">
              <w:rPr>
                <w:sz w:val="22"/>
                <w:szCs w:val="22"/>
              </w:rPr>
              <w:t xml:space="preserve"> pastato viduje;</w:t>
            </w:r>
          </w:p>
          <w:p w14:paraId="5625B277" w14:textId="77777777" w:rsidR="0083400A" w:rsidRPr="00EE753B" w:rsidRDefault="0083400A" w:rsidP="0083400A">
            <w:pPr>
              <w:numPr>
                <w:ilvl w:val="0"/>
                <w:numId w:val="32"/>
              </w:numPr>
              <w:jc w:val="both"/>
              <w:rPr>
                <w:sz w:val="22"/>
                <w:szCs w:val="22"/>
              </w:rPr>
            </w:pPr>
            <w:r w:rsidRPr="00EE753B">
              <w:rPr>
                <w:sz w:val="22"/>
                <w:szCs w:val="22"/>
              </w:rPr>
              <w:t>leidžia pasirinkti ar koreguoti šildymo ir karšto vandens tiekimo taupymo režimus kiekviename pastate;</w:t>
            </w:r>
          </w:p>
          <w:p w14:paraId="7F3C620F" w14:textId="1D808481" w:rsidR="0083400A" w:rsidRPr="00EE753B" w:rsidRDefault="0083400A" w:rsidP="0083400A">
            <w:pPr>
              <w:numPr>
                <w:ilvl w:val="0"/>
                <w:numId w:val="32"/>
              </w:numPr>
              <w:jc w:val="both"/>
              <w:rPr>
                <w:sz w:val="22"/>
                <w:szCs w:val="22"/>
              </w:rPr>
            </w:pPr>
            <w:r w:rsidRPr="00EE753B">
              <w:rPr>
                <w:sz w:val="22"/>
                <w:szCs w:val="22"/>
              </w:rPr>
              <w:t>slėgių matavimai padės operatyviai nustatyti šilumokaičių plyšimus ir užkirsti tinklų vandens patekimą į karšto vandens sistemas</w:t>
            </w:r>
            <w:r w:rsidR="006A497A" w:rsidRPr="00EE753B">
              <w:rPr>
                <w:sz w:val="22"/>
                <w:szCs w:val="22"/>
              </w:rPr>
              <w:t>;</w:t>
            </w:r>
          </w:p>
          <w:p w14:paraId="4A8AC9B1" w14:textId="45A4EF09" w:rsidR="0083400A" w:rsidRPr="00EE753B" w:rsidRDefault="0083400A" w:rsidP="0083400A">
            <w:pPr>
              <w:numPr>
                <w:ilvl w:val="0"/>
                <w:numId w:val="32"/>
              </w:numPr>
              <w:jc w:val="both"/>
              <w:rPr>
                <w:sz w:val="22"/>
                <w:szCs w:val="22"/>
              </w:rPr>
            </w:pPr>
            <w:r w:rsidRPr="00EE753B">
              <w:rPr>
                <w:sz w:val="22"/>
                <w:szCs w:val="22"/>
              </w:rPr>
              <w:t xml:space="preserve">nuotoliniu būdu surenkami </w:t>
            </w:r>
            <w:r w:rsidR="00764134" w:rsidRPr="00EE753B">
              <w:rPr>
                <w:sz w:val="22"/>
                <w:szCs w:val="22"/>
              </w:rPr>
              <w:t>šilumos</w:t>
            </w:r>
            <w:r w:rsidR="00C50A7E" w:rsidRPr="00EE753B">
              <w:rPr>
                <w:sz w:val="22"/>
                <w:szCs w:val="22"/>
              </w:rPr>
              <w:t xml:space="preserve"> </w:t>
            </w:r>
            <w:r w:rsidRPr="00EE753B">
              <w:rPr>
                <w:sz w:val="22"/>
                <w:szCs w:val="22"/>
              </w:rPr>
              <w:t>apskaitos prietaisų duomenys gali būti naudojami efektyvia</w:t>
            </w:r>
            <w:r w:rsidR="00370EB4" w:rsidRPr="00EE753B">
              <w:rPr>
                <w:sz w:val="22"/>
                <w:szCs w:val="22"/>
              </w:rPr>
              <w:t>u rengti</w:t>
            </w:r>
            <w:r w:rsidRPr="00EE753B">
              <w:rPr>
                <w:sz w:val="22"/>
                <w:szCs w:val="22"/>
              </w:rPr>
              <w:t xml:space="preserve"> sąskait</w:t>
            </w:r>
            <w:r w:rsidR="00370EB4" w:rsidRPr="00EE753B">
              <w:rPr>
                <w:sz w:val="22"/>
                <w:szCs w:val="22"/>
              </w:rPr>
              <w:t>as</w:t>
            </w:r>
            <w:r w:rsidRPr="00EE753B">
              <w:rPr>
                <w:sz w:val="22"/>
                <w:szCs w:val="22"/>
              </w:rPr>
              <w:t xml:space="preserve"> vartotojams;</w:t>
            </w:r>
          </w:p>
          <w:p w14:paraId="49686909" w14:textId="35395DBF" w:rsidR="0083400A" w:rsidRPr="00EE753B" w:rsidRDefault="0083400A" w:rsidP="0083400A">
            <w:pPr>
              <w:numPr>
                <w:ilvl w:val="0"/>
                <w:numId w:val="32"/>
              </w:numPr>
              <w:spacing w:after="100"/>
              <w:jc w:val="both"/>
              <w:rPr>
                <w:sz w:val="22"/>
                <w:szCs w:val="22"/>
              </w:rPr>
            </w:pPr>
            <w:r w:rsidRPr="00EE753B">
              <w:rPr>
                <w:sz w:val="22"/>
                <w:szCs w:val="22"/>
              </w:rPr>
              <w:t>nuotoliniu būdu surinkti dabartiniai ir archyviniai duomenys gali būti naudojami šilumos energijos analizei ir prognozei.</w:t>
            </w:r>
          </w:p>
          <w:p w14:paraId="26039170" w14:textId="272C4E0C" w:rsidR="004D7500" w:rsidRPr="00EE753B" w:rsidRDefault="004D7500" w:rsidP="004D7500">
            <w:pPr>
              <w:tabs>
                <w:tab w:val="left" w:pos="255"/>
              </w:tabs>
              <w:jc w:val="both"/>
              <w:rPr>
                <w:sz w:val="22"/>
                <w:szCs w:val="22"/>
              </w:rPr>
            </w:pPr>
            <w:r w:rsidRPr="00EE753B">
              <w:rPr>
                <w:sz w:val="22"/>
                <w:szCs w:val="22"/>
              </w:rPr>
              <w:t>Veiklų 3</w:t>
            </w:r>
            <w:r w:rsidR="00745BF2" w:rsidRPr="00EE753B">
              <w:rPr>
                <w:sz w:val="22"/>
                <w:szCs w:val="22"/>
              </w:rPr>
              <w:t>–</w:t>
            </w:r>
            <w:r w:rsidRPr="00EE753B">
              <w:rPr>
                <w:sz w:val="22"/>
                <w:szCs w:val="22"/>
              </w:rPr>
              <w:t xml:space="preserve">4 įgyvendinimas prisideda prie rezultato rodiklio RR2, kurio siekiamos reikšmės aprašytos aukščiau, pasiekimo. </w:t>
            </w:r>
          </w:p>
          <w:p w14:paraId="65E70D65" w14:textId="519CB933" w:rsidR="004D7500" w:rsidRPr="00EE753B" w:rsidRDefault="004D7500" w:rsidP="004D7500">
            <w:pPr>
              <w:spacing w:after="100"/>
              <w:rPr>
                <w:sz w:val="22"/>
                <w:szCs w:val="22"/>
              </w:rPr>
            </w:pPr>
          </w:p>
        </w:tc>
      </w:tr>
    </w:tbl>
    <w:p w14:paraId="17787825" w14:textId="77777777" w:rsidR="00A13816" w:rsidRPr="00EE753B" w:rsidRDefault="00020307">
      <w:pPr>
        <w:jc w:val="center"/>
        <w:rPr>
          <w:b/>
          <w:bCs/>
        </w:rPr>
      </w:pPr>
      <w:r w:rsidRPr="00EE753B">
        <w:rPr>
          <w:b/>
          <w:bCs/>
        </w:rPr>
        <w:lastRenderedPageBreak/>
        <w:t>III SKYRIUS</w:t>
      </w:r>
    </w:p>
    <w:p w14:paraId="03A5D978" w14:textId="77777777" w:rsidR="00A13816" w:rsidRPr="00EE753B" w:rsidRDefault="00020307">
      <w:pPr>
        <w:jc w:val="center"/>
        <w:rPr>
          <w:b/>
          <w:bCs/>
        </w:rPr>
      </w:pPr>
      <w:r w:rsidRPr="00EE753B">
        <w:rPr>
          <w:b/>
          <w:bCs/>
        </w:rPr>
        <w:t>ALTERNATYVŲ ANALIZĖ</w:t>
      </w:r>
    </w:p>
    <w:p w14:paraId="0C9482A6" w14:textId="77777777" w:rsidR="00A13816" w:rsidRPr="00EE753B"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E753B" w14:paraId="106DEC1A" w14:textId="77777777">
        <w:tc>
          <w:tcPr>
            <w:tcW w:w="9818" w:type="dxa"/>
            <w:shd w:val="clear" w:color="auto" w:fill="DBE5F1" w:themeFill="accent1" w:themeFillTint="33"/>
          </w:tcPr>
          <w:p w14:paraId="3864DAAB" w14:textId="77777777" w:rsidR="00A13816" w:rsidRPr="00EE753B" w:rsidRDefault="00020307">
            <w:pPr>
              <w:tabs>
                <w:tab w:val="left" w:pos="598"/>
              </w:tabs>
              <w:jc w:val="center"/>
              <w:rPr>
                <w:b/>
                <w:szCs w:val="24"/>
              </w:rPr>
            </w:pPr>
            <w:r w:rsidRPr="00EE753B">
              <w:rPr>
                <w:b/>
                <w:szCs w:val="24"/>
              </w:rPr>
              <w:t>PIRMASIS SKIRSNIS</w:t>
            </w:r>
          </w:p>
          <w:p w14:paraId="1025AD16" w14:textId="77777777" w:rsidR="00A13816" w:rsidRPr="00EE753B" w:rsidRDefault="00020307">
            <w:pPr>
              <w:tabs>
                <w:tab w:val="left" w:pos="598"/>
              </w:tabs>
              <w:jc w:val="center"/>
              <w:rPr>
                <w:color w:val="808080"/>
                <w:sz w:val="20"/>
              </w:rPr>
            </w:pPr>
            <w:r w:rsidRPr="00EE753B">
              <w:rPr>
                <w:b/>
                <w:szCs w:val="24"/>
              </w:rPr>
              <w:t>PLĖTROS PROGRAMOS PAŽANGOS PRIEMONĖS ALTERNATYVOS</w:t>
            </w:r>
          </w:p>
        </w:tc>
      </w:tr>
      <w:tr w:rsidR="00A13816" w:rsidRPr="00EE753B" w14:paraId="43640D75" w14:textId="77777777">
        <w:tc>
          <w:tcPr>
            <w:tcW w:w="9818" w:type="dxa"/>
            <w:shd w:val="clear" w:color="auto" w:fill="auto"/>
          </w:tcPr>
          <w:p w14:paraId="4896C7D3" w14:textId="77777777" w:rsidR="006C044E" w:rsidRPr="00EE753B" w:rsidRDefault="006C044E" w:rsidP="006C044E">
            <w:pPr>
              <w:tabs>
                <w:tab w:val="left" w:pos="598"/>
              </w:tabs>
              <w:jc w:val="both"/>
              <w:rPr>
                <w:sz w:val="22"/>
                <w:szCs w:val="22"/>
                <w:lang w:eastAsia="lt-LT"/>
              </w:rPr>
            </w:pPr>
            <w:r w:rsidRPr="00EE753B">
              <w:rPr>
                <w:sz w:val="22"/>
                <w:szCs w:val="22"/>
                <w:lang w:eastAsia="lt-LT"/>
              </w:rPr>
              <w:t>Bendrosios alternatyvų analizės nuostatos:</w:t>
            </w:r>
          </w:p>
          <w:p w14:paraId="5B7CD4B9" w14:textId="77777777" w:rsidR="006C044E" w:rsidRPr="00EE753B" w:rsidRDefault="006C044E" w:rsidP="006C044E">
            <w:pPr>
              <w:pStyle w:val="ListParagraph"/>
              <w:numPr>
                <w:ilvl w:val="0"/>
                <w:numId w:val="37"/>
              </w:numPr>
              <w:tabs>
                <w:tab w:val="left" w:pos="360"/>
              </w:tabs>
              <w:jc w:val="both"/>
              <w:rPr>
                <w:iCs/>
                <w:sz w:val="22"/>
                <w:szCs w:val="22"/>
              </w:rPr>
            </w:pPr>
            <w:r w:rsidRPr="00EE753B">
              <w:rPr>
                <w:iCs/>
                <w:sz w:val="22"/>
                <w:szCs w:val="22"/>
              </w:rPr>
              <w:t>Alternatyvų analizė atliekama sąnaudų-naudos analizės (toliau – SNA) metodu;</w:t>
            </w:r>
          </w:p>
          <w:p w14:paraId="5EF9ACB3" w14:textId="77777777" w:rsidR="006C044E" w:rsidRPr="00EE753B" w:rsidRDefault="006C044E" w:rsidP="006C044E">
            <w:pPr>
              <w:pStyle w:val="ListParagraph"/>
              <w:numPr>
                <w:ilvl w:val="0"/>
                <w:numId w:val="37"/>
              </w:numPr>
              <w:tabs>
                <w:tab w:val="left" w:pos="360"/>
              </w:tabs>
              <w:rPr>
                <w:iCs/>
                <w:sz w:val="22"/>
                <w:szCs w:val="22"/>
              </w:rPr>
            </w:pPr>
            <w:r w:rsidRPr="00EE753B">
              <w:rPr>
                <w:iCs/>
                <w:sz w:val="22"/>
                <w:szCs w:val="22"/>
              </w:rPr>
              <w:t xml:space="preserve">Visų alternatyvų įgyvendinimas pasieks nustatytų visų pažangos priemonės produktų ir rezultatų rodiklių reikšmes. </w:t>
            </w:r>
          </w:p>
          <w:p w14:paraId="2B6333A8" w14:textId="702AB6FD" w:rsidR="006C044E" w:rsidRPr="00EE753B" w:rsidRDefault="006C044E" w:rsidP="006C044E">
            <w:pPr>
              <w:pStyle w:val="ListParagraph"/>
              <w:numPr>
                <w:ilvl w:val="0"/>
                <w:numId w:val="37"/>
              </w:numPr>
              <w:tabs>
                <w:tab w:val="left" w:pos="360"/>
              </w:tabs>
              <w:jc w:val="both"/>
              <w:rPr>
                <w:iCs/>
                <w:sz w:val="22"/>
                <w:szCs w:val="22"/>
              </w:rPr>
            </w:pPr>
            <w:r w:rsidRPr="00EE753B">
              <w:rPr>
                <w:iCs/>
                <w:sz w:val="22"/>
                <w:szCs w:val="22"/>
              </w:rPr>
              <w:t xml:space="preserve">Veiklų alternatyvos buvo įvertintos rengiant 2021–2027 IP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taisyklių (toliau – </w:t>
            </w:r>
            <w:r w:rsidR="00C7765A" w:rsidRPr="00EE753B">
              <w:rPr>
                <w:iCs/>
                <w:sz w:val="22"/>
                <w:szCs w:val="22"/>
              </w:rPr>
              <w:t>Reglamentas Nr. 2021/1060</w:t>
            </w:r>
            <w:r w:rsidRPr="00EE753B">
              <w:rPr>
                <w:iCs/>
                <w:sz w:val="22"/>
                <w:szCs w:val="22"/>
              </w:rPr>
              <w:t xml:space="preserve">) 1 priede nurodytais intervencijų kodais (ERPF ir Sanglaudos fondų lėšos veikloms skiriamos pagal: 041 intervencijos kodą (Siekiant efektyvaus energijos vartojimo vykdoma esamų būstų renovacija, parodomieji projektai ir pagalbinės priemonės), 045 (Siekiant efektyvaus energijos vartojimo vykdoma viešosios infrastruktūros renovacija arba viešajai infrastruktūrai taikomos energijos vartojimo efektyvumo priemonės, parodomieji projektai ir pagalbinės priemonės, atitinkančios energijos vartojimo efektyvumo kriterijus). Taip pat buvo atsižvelgta į 2021–2027 IP poveikio vertinimo rezultatus ir išvadas. </w:t>
            </w:r>
          </w:p>
          <w:p w14:paraId="17C18BB3" w14:textId="4F781BE5" w:rsidR="006C044E" w:rsidRPr="00EE753B" w:rsidRDefault="006C044E" w:rsidP="006C044E">
            <w:pPr>
              <w:pStyle w:val="ListParagraph"/>
              <w:numPr>
                <w:ilvl w:val="0"/>
                <w:numId w:val="37"/>
              </w:numPr>
              <w:tabs>
                <w:tab w:val="left" w:pos="360"/>
              </w:tabs>
              <w:jc w:val="both"/>
              <w:rPr>
                <w:iCs/>
                <w:sz w:val="22"/>
                <w:szCs w:val="22"/>
              </w:rPr>
            </w:pPr>
            <w:r w:rsidRPr="00EE753B">
              <w:rPr>
                <w:iCs/>
                <w:sz w:val="22"/>
                <w:szCs w:val="22"/>
              </w:rPr>
              <w:t>Konkrečios 2021–2027 IP veiklos, jų įgyvendinimo produktų ir rezultatų rodikliai bei veiklų finansavimo formos buvo nustatytos derinimo su EK metu vadovaujantis Reglamento Nr. 2021/1060 21</w:t>
            </w:r>
            <w:r w:rsidR="00BC6561" w:rsidRPr="00EE753B">
              <w:rPr>
                <w:iCs/>
                <w:sz w:val="22"/>
                <w:szCs w:val="22"/>
              </w:rPr>
              <w:t xml:space="preserve"> ir </w:t>
            </w:r>
            <w:r w:rsidRPr="00EE753B">
              <w:rPr>
                <w:iCs/>
                <w:sz w:val="22"/>
                <w:szCs w:val="22"/>
              </w:rPr>
              <w:t xml:space="preserve">22 straipsniuose nustatyta tvarka (derybų procesas su EK vyko nuo 2020 m. kovo mėn.). Finansavimas veikloms bus skiriamas </w:t>
            </w:r>
            <w:r w:rsidR="009709D4" w:rsidRPr="00EE753B">
              <w:rPr>
                <w:iCs/>
                <w:sz w:val="22"/>
                <w:szCs w:val="22"/>
              </w:rPr>
              <w:t>taikant finansines priemones. T</w:t>
            </w:r>
            <w:r w:rsidRPr="00EE753B">
              <w:rPr>
                <w:iCs/>
                <w:sz w:val="22"/>
                <w:szCs w:val="22"/>
              </w:rPr>
              <w:t xml:space="preserve">echnologiniam veiklų įgyvendinimo palyginimui </w:t>
            </w:r>
            <w:r w:rsidR="00CD7537" w:rsidRPr="00EE753B">
              <w:rPr>
                <w:iCs/>
                <w:sz w:val="22"/>
                <w:szCs w:val="22"/>
              </w:rPr>
              <w:t xml:space="preserve">duomenys </w:t>
            </w:r>
            <w:r w:rsidR="0010637B" w:rsidRPr="00EE753B">
              <w:rPr>
                <w:iCs/>
                <w:sz w:val="22"/>
                <w:szCs w:val="22"/>
              </w:rPr>
              <w:t>bus pateikiami kiekvieno šilumos tiekėjo konkrečiame verslo plane</w:t>
            </w:r>
            <w:r w:rsidRPr="00EE753B">
              <w:rPr>
                <w:iCs/>
                <w:sz w:val="22"/>
                <w:szCs w:val="22"/>
              </w:rPr>
              <w:t xml:space="preserve">, veiklų įgyvendinimui nustatyti konkretūs produkto ir rezultatų rodikliai, kurie nėra keičiami. Atitinkamai, žemiau išdėstytos </w:t>
            </w:r>
            <w:r w:rsidR="00862A75" w:rsidRPr="00EE753B">
              <w:rPr>
                <w:iCs/>
                <w:sz w:val="22"/>
                <w:szCs w:val="22"/>
              </w:rPr>
              <w:t>4</w:t>
            </w:r>
            <w:r w:rsidRPr="00EE753B">
              <w:rPr>
                <w:iCs/>
                <w:sz w:val="22"/>
                <w:szCs w:val="22"/>
              </w:rPr>
              <w:t xml:space="preserve"> pažangos priemonės veiklos </w:t>
            </w:r>
            <w:r w:rsidR="00131604" w:rsidRPr="00EE753B">
              <w:rPr>
                <w:iCs/>
                <w:sz w:val="22"/>
                <w:szCs w:val="22"/>
              </w:rPr>
              <w:t xml:space="preserve">sudaro </w:t>
            </w:r>
            <w:r w:rsidR="00131604" w:rsidRPr="00EE753B">
              <w:rPr>
                <w:b/>
                <w:bCs/>
                <w:iCs/>
                <w:color w:val="1F497D" w:themeColor="text2"/>
                <w:sz w:val="22"/>
                <w:szCs w:val="22"/>
              </w:rPr>
              <w:t>vieną alternatyvą</w:t>
            </w:r>
            <w:r w:rsidR="00BF3695" w:rsidRPr="00EE753B">
              <w:rPr>
                <w:b/>
                <w:bCs/>
                <w:iCs/>
                <w:color w:val="1F497D" w:themeColor="text2"/>
                <w:sz w:val="22"/>
                <w:szCs w:val="22"/>
              </w:rPr>
              <w:t xml:space="preserve"> „2021-2027 IP suderintų veiklų ir jų apimčių vykdymas“</w:t>
            </w:r>
            <w:r w:rsidR="00131604" w:rsidRPr="00EE753B">
              <w:rPr>
                <w:iCs/>
                <w:sz w:val="22"/>
                <w:szCs w:val="22"/>
              </w:rPr>
              <w:t>, kuriai apskaičiuoti finansiniai bei socialiniai-ekonominiai rodikliai</w:t>
            </w:r>
            <w:r w:rsidRPr="00EE753B">
              <w:rPr>
                <w:iCs/>
                <w:sz w:val="22"/>
                <w:szCs w:val="22"/>
              </w:rPr>
              <w:t>:</w:t>
            </w:r>
          </w:p>
          <w:p w14:paraId="2587A480" w14:textId="005161D5" w:rsidR="006860A1" w:rsidRPr="00EE753B" w:rsidRDefault="006860A1" w:rsidP="006860A1">
            <w:pPr>
              <w:pStyle w:val="ListParagraph"/>
              <w:numPr>
                <w:ilvl w:val="1"/>
                <w:numId w:val="37"/>
              </w:numPr>
              <w:tabs>
                <w:tab w:val="left" w:pos="360"/>
              </w:tabs>
              <w:jc w:val="both"/>
              <w:rPr>
                <w:iCs/>
                <w:sz w:val="22"/>
                <w:szCs w:val="22"/>
              </w:rPr>
            </w:pPr>
            <w:r w:rsidRPr="00EE753B">
              <w:rPr>
                <w:iCs/>
                <w:sz w:val="22"/>
                <w:szCs w:val="22"/>
              </w:rPr>
              <w:t xml:space="preserve">Veikla 1. </w:t>
            </w:r>
            <w:r w:rsidR="00BE75B1" w:rsidRPr="00EE753B">
              <w:rPr>
                <w:iCs/>
                <w:sz w:val="22"/>
                <w:szCs w:val="22"/>
              </w:rPr>
              <w:t>Centralizuoto šilumos tiekimo tinklo pritaikymas 4</w:t>
            </w:r>
            <w:r w:rsidR="00AD78BC" w:rsidRPr="00EE753B">
              <w:rPr>
                <w:iCs/>
                <w:sz w:val="22"/>
                <w:szCs w:val="22"/>
              </w:rPr>
              <w:t>-</w:t>
            </w:r>
            <w:r w:rsidR="00AD78BC" w:rsidRPr="00EE753B">
              <w:rPr>
                <w:iCs/>
              </w:rPr>
              <w:t>os</w:t>
            </w:r>
            <w:r w:rsidR="00BE75B1" w:rsidRPr="00EE753B">
              <w:rPr>
                <w:iCs/>
                <w:sz w:val="22"/>
                <w:szCs w:val="22"/>
              </w:rPr>
              <w:t xml:space="preserve"> kartos šilumos tiekimo sistemai visoje Lietuvoje</w:t>
            </w:r>
            <w:r w:rsidRPr="00EE753B">
              <w:rPr>
                <w:iCs/>
                <w:sz w:val="22"/>
                <w:szCs w:val="22"/>
              </w:rPr>
              <w:t>;</w:t>
            </w:r>
          </w:p>
          <w:p w14:paraId="477E7A14" w14:textId="4D22C873" w:rsidR="006860A1" w:rsidRPr="00EE753B" w:rsidRDefault="006860A1" w:rsidP="006860A1">
            <w:pPr>
              <w:pStyle w:val="ListParagraph"/>
              <w:numPr>
                <w:ilvl w:val="1"/>
                <w:numId w:val="37"/>
              </w:numPr>
              <w:tabs>
                <w:tab w:val="left" w:pos="360"/>
              </w:tabs>
              <w:jc w:val="both"/>
              <w:rPr>
                <w:iCs/>
                <w:sz w:val="22"/>
                <w:szCs w:val="22"/>
              </w:rPr>
            </w:pPr>
            <w:r w:rsidRPr="00EE753B">
              <w:rPr>
                <w:iCs/>
                <w:sz w:val="22"/>
                <w:szCs w:val="22"/>
              </w:rPr>
              <w:t xml:space="preserve">Veikla 2. </w:t>
            </w:r>
            <w:r w:rsidR="00BE75B1" w:rsidRPr="00EE753B">
              <w:rPr>
                <w:iCs/>
                <w:sz w:val="22"/>
                <w:szCs w:val="22"/>
              </w:rPr>
              <w:t>Centralizuoto šilumos tiekimo tinklo pritaikymas 4</w:t>
            </w:r>
            <w:r w:rsidR="00AD78BC" w:rsidRPr="00EE753B">
              <w:rPr>
                <w:iCs/>
                <w:sz w:val="22"/>
                <w:szCs w:val="22"/>
              </w:rPr>
              <w:t>-</w:t>
            </w:r>
            <w:r w:rsidR="00AD78BC" w:rsidRPr="00EE753B">
              <w:rPr>
                <w:iCs/>
              </w:rPr>
              <w:t>os</w:t>
            </w:r>
            <w:r w:rsidR="00BE75B1" w:rsidRPr="00EE753B">
              <w:rPr>
                <w:iCs/>
                <w:sz w:val="22"/>
                <w:szCs w:val="22"/>
              </w:rPr>
              <w:t xml:space="preserve"> kartos šilumos tiekimo sistemai Vidurio ir Vakarų Lietuvoje</w:t>
            </w:r>
            <w:r w:rsidRPr="00EE753B">
              <w:rPr>
                <w:iCs/>
                <w:sz w:val="22"/>
                <w:szCs w:val="22"/>
              </w:rPr>
              <w:t>;</w:t>
            </w:r>
          </w:p>
          <w:p w14:paraId="363CAAB4" w14:textId="3218E809" w:rsidR="006860A1" w:rsidRPr="00EE753B" w:rsidRDefault="006860A1" w:rsidP="006860A1">
            <w:pPr>
              <w:pStyle w:val="ListParagraph"/>
              <w:numPr>
                <w:ilvl w:val="1"/>
                <w:numId w:val="37"/>
              </w:numPr>
              <w:tabs>
                <w:tab w:val="left" w:pos="360"/>
              </w:tabs>
              <w:jc w:val="both"/>
              <w:rPr>
                <w:iCs/>
                <w:sz w:val="22"/>
                <w:szCs w:val="22"/>
              </w:rPr>
            </w:pPr>
            <w:r w:rsidRPr="00EE753B">
              <w:rPr>
                <w:iCs/>
                <w:sz w:val="22"/>
                <w:szCs w:val="22"/>
              </w:rPr>
              <w:t>Veikla 3. Šilumos (vėsumos) apskaitos prietaisų su nuotolinio duomenų nuskaitymo funkcija įrengimas visoje Lietuvoje</w:t>
            </w:r>
            <w:r w:rsidR="00A11B7A" w:rsidRPr="00EE753B">
              <w:rPr>
                <w:iCs/>
                <w:sz w:val="22"/>
                <w:szCs w:val="22"/>
              </w:rPr>
              <w:t>;</w:t>
            </w:r>
          </w:p>
          <w:p w14:paraId="506D8D70" w14:textId="5BA81E47" w:rsidR="006860A1" w:rsidRPr="00EE753B" w:rsidRDefault="006860A1" w:rsidP="006860A1">
            <w:pPr>
              <w:pStyle w:val="ListParagraph"/>
              <w:numPr>
                <w:ilvl w:val="1"/>
                <w:numId w:val="37"/>
              </w:numPr>
              <w:tabs>
                <w:tab w:val="left" w:pos="360"/>
              </w:tabs>
              <w:jc w:val="both"/>
              <w:rPr>
                <w:iCs/>
                <w:sz w:val="22"/>
                <w:szCs w:val="22"/>
              </w:rPr>
            </w:pPr>
            <w:r w:rsidRPr="00EE753B">
              <w:rPr>
                <w:iCs/>
                <w:sz w:val="22"/>
                <w:szCs w:val="22"/>
              </w:rPr>
              <w:t>Veikla 4. Šilumos (vėsumos) apskaitos prietaisų su nuotolinio duomenų nuskaitymo funkcija įrengimas Vidurio ir Vakarų Lietuvoje</w:t>
            </w:r>
            <w:r w:rsidR="00A11B7A" w:rsidRPr="00EE753B">
              <w:rPr>
                <w:iCs/>
                <w:sz w:val="22"/>
                <w:szCs w:val="22"/>
              </w:rPr>
              <w:t>.</w:t>
            </w:r>
          </w:p>
          <w:p w14:paraId="3B95690D" w14:textId="60E39058" w:rsidR="00973D07" w:rsidRPr="00EE753B" w:rsidRDefault="00973D07" w:rsidP="00973D07">
            <w:pPr>
              <w:pStyle w:val="ListParagraph"/>
              <w:numPr>
                <w:ilvl w:val="0"/>
                <w:numId w:val="37"/>
              </w:numPr>
              <w:tabs>
                <w:tab w:val="left" w:pos="360"/>
              </w:tabs>
              <w:jc w:val="both"/>
              <w:rPr>
                <w:iCs/>
                <w:sz w:val="22"/>
                <w:szCs w:val="22"/>
              </w:rPr>
            </w:pPr>
            <w:r w:rsidRPr="00EE753B">
              <w:rPr>
                <w:iCs/>
                <w:sz w:val="22"/>
                <w:szCs w:val="22"/>
              </w:rPr>
              <w:t xml:space="preserve">Parenkant ataskaitinį laikotarpį SNA, atsižvelgta į tai, kad IP rengimo metodikoje rekomenduojamas energetikos sektoriaus rekomenduojamas ataskaitinis laikotarpis yra 30 metų. SNA naudojamas ataskaitinis laikotarpis nustatytas pagal infrastruktūros, kuriai skirta didžiausia finansavimo suma, eksploatavimo laikotarpį, išlaikant reikalavimą, kad ataskaitinis laikotarpis būtų ne mažiau nei 5 metais ilgesnis nei pažangos priemonės įgyvendinimo laikotarpis. </w:t>
            </w:r>
          </w:p>
          <w:p w14:paraId="4C6BCBB1" w14:textId="638BD57F" w:rsidR="003618AA" w:rsidRPr="00EE753B" w:rsidRDefault="001529F5" w:rsidP="00F11922">
            <w:pPr>
              <w:pStyle w:val="ListParagraph"/>
              <w:numPr>
                <w:ilvl w:val="0"/>
                <w:numId w:val="37"/>
              </w:numPr>
              <w:tabs>
                <w:tab w:val="left" w:pos="598"/>
              </w:tabs>
              <w:jc w:val="both"/>
              <w:rPr>
                <w:i/>
                <w:color w:val="808080"/>
                <w:sz w:val="22"/>
                <w:szCs w:val="22"/>
              </w:rPr>
            </w:pPr>
            <w:r w:rsidRPr="00EE753B">
              <w:rPr>
                <w:iCs/>
                <w:sz w:val="22"/>
                <w:szCs w:val="22"/>
              </w:rPr>
              <w:t>Vadovaujantis</w:t>
            </w:r>
            <w:r w:rsidRPr="00EE753B">
              <w:rPr>
                <w:sz w:val="22"/>
                <w:szCs w:val="22"/>
              </w:rPr>
              <w:t xml:space="preserve"> </w:t>
            </w:r>
            <w:r w:rsidR="00A41374" w:rsidRPr="00EE753B">
              <w:rPr>
                <w:sz w:val="22"/>
                <w:szCs w:val="22"/>
              </w:rPr>
              <w:t xml:space="preserve">Valstybinės </w:t>
            </w:r>
            <w:r w:rsidR="00FB44E9" w:rsidRPr="00EE753B">
              <w:rPr>
                <w:sz w:val="22"/>
                <w:szCs w:val="22"/>
              </w:rPr>
              <w:t xml:space="preserve">energetikos reguliavimo tarybos </w:t>
            </w:r>
            <w:r w:rsidR="00C45BE9" w:rsidRPr="00EE753B">
              <w:rPr>
                <w:sz w:val="22"/>
                <w:szCs w:val="22"/>
              </w:rPr>
              <w:t>2018 m. gruodžio 31 d. nutarimu Nr.</w:t>
            </w:r>
            <w:r w:rsidR="00D5340D" w:rsidRPr="00EE753B">
              <w:rPr>
                <w:sz w:val="22"/>
                <w:szCs w:val="22"/>
              </w:rPr>
              <w:t xml:space="preserve"> </w:t>
            </w:r>
            <w:r w:rsidR="00C7765A" w:rsidRPr="00EE753B">
              <w:rPr>
                <w:sz w:val="22"/>
                <w:szCs w:val="22"/>
              </w:rPr>
              <w:t>O3E-470 p</w:t>
            </w:r>
            <w:r w:rsidR="00C7765A" w:rsidRPr="00EE753B">
              <w:t xml:space="preserve">atvirtintu </w:t>
            </w:r>
            <w:r w:rsidR="00C7765A" w:rsidRPr="00EE753B">
              <w:rPr>
                <w:sz w:val="22"/>
                <w:szCs w:val="22"/>
              </w:rPr>
              <w:t>Šilumos sektoriaus įmonių apskaitos atskyrimo ir sąnaudų paskirstymo reikalavimų aprašu</w:t>
            </w:r>
            <w:r w:rsidRPr="00EE753B">
              <w:rPr>
                <w:sz w:val="22"/>
                <w:szCs w:val="22"/>
              </w:rPr>
              <w:t xml:space="preserve">, vamzdynų </w:t>
            </w:r>
            <w:r w:rsidR="003E46B1" w:rsidRPr="00EE753B">
              <w:rPr>
                <w:sz w:val="22"/>
                <w:szCs w:val="22"/>
              </w:rPr>
              <w:t>(</w:t>
            </w:r>
            <w:r w:rsidR="00EE653F" w:rsidRPr="00EE753B">
              <w:rPr>
                <w:sz w:val="22"/>
                <w:szCs w:val="22"/>
              </w:rPr>
              <w:t>II.2.8</w:t>
            </w:r>
            <w:r w:rsidR="003E46B1" w:rsidRPr="00EE753B">
              <w:rPr>
                <w:sz w:val="22"/>
                <w:szCs w:val="22"/>
              </w:rPr>
              <w:t xml:space="preserve">) </w:t>
            </w:r>
            <w:r w:rsidR="00EE653F" w:rsidRPr="00EE753B">
              <w:rPr>
                <w:sz w:val="22"/>
                <w:szCs w:val="22"/>
              </w:rPr>
              <w:t xml:space="preserve">nusidėvėjimo laikotarpis </w:t>
            </w:r>
            <w:r w:rsidR="00BC6561" w:rsidRPr="00EE753B">
              <w:rPr>
                <w:sz w:val="22"/>
                <w:szCs w:val="22"/>
              </w:rPr>
              <w:t xml:space="preserve">– </w:t>
            </w:r>
            <w:r w:rsidR="00AB50EA" w:rsidRPr="00EE753B">
              <w:rPr>
                <w:sz w:val="22"/>
                <w:szCs w:val="22"/>
              </w:rPr>
              <w:t>30</w:t>
            </w:r>
            <w:r w:rsidR="00EE653F" w:rsidRPr="00EE753B">
              <w:rPr>
                <w:sz w:val="22"/>
                <w:szCs w:val="22"/>
              </w:rPr>
              <w:t xml:space="preserve"> </w:t>
            </w:r>
            <w:r w:rsidR="00204A9F" w:rsidRPr="00EE753B">
              <w:rPr>
                <w:sz w:val="22"/>
                <w:szCs w:val="22"/>
              </w:rPr>
              <w:t>met</w:t>
            </w:r>
            <w:r w:rsidR="00AB50EA" w:rsidRPr="00EE753B">
              <w:rPr>
                <w:sz w:val="22"/>
                <w:szCs w:val="22"/>
              </w:rPr>
              <w:t>ų</w:t>
            </w:r>
            <w:r w:rsidR="00204A9F" w:rsidRPr="00EE753B">
              <w:rPr>
                <w:sz w:val="22"/>
                <w:szCs w:val="22"/>
              </w:rPr>
              <w:t xml:space="preserve">. Atsižvelgiant į tai, kad investicijų tikslas yra sumažinti </w:t>
            </w:r>
            <w:r w:rsidR="003E46B1" w:rsidRPr="00EE753B">
              <w:rPr>
                <w:sz w:val="22"/>
                <w:szCs w:val="22"/>
              </w:rPr>
              <w:t xml:space="preserve">vamzdynais teikiamos šilumos temperatūrą, </w:t>
            </w:r>
            <w:r w:rsidR="00AD28C1" w:rsidRPr="00EE753B">
              <w:rPr>
                <w:sz w:val="22"/>
                <w:szCs w:val="22"/>
              </w:rPr>
              <w:t xml:space="preserve">atliekant SNA priimama, kad </w:t>
            </w:r>
            <w:r w:rsidR="000C51B3" w:rsidRPr="00EE753B">
              <w:rPr>
                <w:sz w:val="22"/>
                <w:szCs w:val="22"/>
              </w:rPr>
              <w:t>modernizuoti CŠT vamzdynai bus eksploatuojami iki ataskaitinio laikotarpio pabaigos, t.</w:t>
            </w:r>
            <w:r w:rsidR="00BC6561" w:rsidRPr="00EE753B">
              <w:rPr>
                <w:sz w:val="22"/>
                <w:szCs w:val="22"/>
              </w:rPr>
              <w:t xml:space="preserve"> </w:t>
            </w:r>
            <w:r w:rsidR="000C51B3" w:rsidRPr="00EE753B">
              <w:rPr>
                <w:sz w:val="22"/>
                <w:szCs w:val="22"/>
              </w:rPr>
              <w:t xml:space="preserve">y. </w:t>
            </w:r>
            <w:r w:rsidR="00A431E8" w:rsidRPr="00EE753B">
              <w:rPr>
                <w:sz w:val="22"/>
                <w:szCs w:val="22"/>
              </w:rPr>
              <w:t xml:space="preserve">ilgiausiai bus eksploatuojami </w:t>
            </w:r>
            <w:r w:rsidR="006960BD" w:rsidRPr="00EE753B">
              <w:rPr>
                <w:sz w:val="22"/>
                <w:szCs w:val="22"/>
              </w:rPr>
              <w:t xml:space="preserve">2023 m. modernizuoti vamzdynai </w:t>
            </w:r>
            <w:r w:rsidR="00BC6561" w:rsidRPr="00EE753B">
              <w:rPr>
                <w:sz w:val="22"/>
                <w:szCs w:val="22"/>
              </w:rPr>
              <w:t xml:space="preserve">– </w:t>
            </w:r>
            <w:r w:rsidR="006960BD" w:rsidRPr="00EE753B">
              <w:rPr>
                <w:sz w:val="22"/>
                <w:szCs w:val="22"/>
              </w:rPr>
              <w:t>29</w:t>
            </w:r>
            <w:r w:rsidR="005B3FD1" w:rsidRPr="00EE753B">
              <w:rPr>
                <w:sz w:val="22"/>
                <w:szCs w:val="22"/>
              </w:rPr>
              <w:t xml:space="preserve"> met</w:t>
            </w:r>
            <w:r w:rsidR="006960BD" w:rsidRPr="00EE753B">
              <w:rPr>
                <w:sz w:val="22"/>
                <w:szCs w:val="22"/>
              </w:rPr>
              <w:t>us</w:t>
            </w:r>
            <w:r w:rsidR="005B3FD1" w:rsidRPr="00EE753B">
              <w:rPr>
                <w:sz w:val="22"/>
                <w:szCs w:val="22"/>
              </w:rPr>
              <w:t xml:space="preserve">. </w:t>
            </w:r>
            <w:r w:rsidR="00C23C00" w:rsidRPr="00EE753B">
              <w:rPr>
                <w:sz w:val="22"/>
                <w:szCs w:val="22"/>
              </w:rPr>
              <w:t>Likutinė investicijų vertė nėra vertinama, kadangi atliktą CŠT tinklų modernizavimą apskaitys šilumos tiekimo įmon</w:t>
            </w:r>
            <w:r w:rsidR="00463076" w:rsidRPr="00EE753B">
              <w:rPr>
                <w:sz w:val="22"/>
                <w:szCs w:val="22"/>
              </w:rPr>
              <w:t xml:space="preserve">ė VERT nustatyta tvarka. </w:t>
            </w:r>
          </w:p>
          <w:p w14:paraId="3AACEFE3" w14:textId="042F205B" w:rsidR="00D519DB" w:rsidRPr="00EE753B" w:rsidRDefault="00786707" w:rsidP="005636E7">
            <w:pPr>
              <w:pStyle w:val="ListParagraph"/>
              <w:numPr>
                <w:ilvl w:val="0"/>
                <w:numId w:val="37"/>
              </w:numPr>
              <w:tabs>
                <w:tab w:val="left" w:pos="598"/>
              </w:tabs>
              <w:jc w:val="both"/>
              <w:rPr>
                <w:i/>
                <w:color w:val="808080"/>
                <w:sz w:val="22"/>
                <w:szCs w:val="22"/>
              </w:rPr>
            </w:pPr>
            <w:r w:rsidRPr="00EE753B">
              <w:rPr>
                <w:iCs/>
                <w:sz w:val="22"/>
                <w:szCs w:val="22"/>
              </w:rPr>
              <w:t>Vadovaujantis</w:t>
            </w:r>
            <w:r w:rsidRPr="00EE753B">
              <w:rPr>
                <w:sz w:val="22"/>
                <w:szCs w:val="22"/>
              </w:rPr>
              <w:t xml:space="preserve"> Valstybinės energetikos reguliavimo tarybos 2018 m. gruodžio 31 d. nutarimu Nr. </w:t>
            </w:r>
            <w:r w:rsidR="00C7765A" w:rsidRPr="00EE753B">
              <w:rPr>
                <w:sz w:val="22"/>
                <w:szCs w:val="22"/>
              </w:rPr>
              <w:t>O3E-470 p</w:t>
            </w:r>
            <w:r w:rsidR="00C7765A" w:rsidRPr="00EE753B">
              <w:t xml:space="preserve">atvirtintu </w:t>
            </w:r>
            <w:r w:rsidR="00C7765A" w:rsidRPr="00EE753B">
              <w:rPr>
                <w:sz w:val="22"/>
                <w:szCs w:val="22"/>
              </w:rPr>
              <w:t>Šilumos sektoriaus įmonių apskaitos atskyrimo ir sąnaudų paskirstymo reikalavimų aprašu</w:t>
            </w:r>
            <w:r w:rsidR="00464C0D" w:rsidRPr="00EE753B">
              <w:rPr>
                <w:sz w:val="22"/>
                <w:szCs w:val="22"/>
              </w:rPr>
              <w:t xml:space="preserve">, </w:t>
            </w:r>
            <w:r w:rsidR="00673599" w:rsidRPr="00EE753B">
              <w:rPr>
                <w:sz w:val="22"/>
                <w:szCs w:val="22"/>
              </w:rPr>
              <w:t>keičiami šilumos apskaitos prietaisai prilyginami ilgalaikio turto tipui „</w:t>
            </w:r>
            <w:r w:rsidR="00D443AB" w:rsidRPr="00EE753B">
              <w:rPr>
                <w:sz w:val="22"/>
                <w:szCs w:val="22"/>
              </w:rPr>
              <w:t xml:space="preserve">Mašinos </w:t>
            </w:r>
            <w:r w:rsidR="002F476C" w:rsidRPr="00EE753B">
              <w:rPr>
                <w:sz w:val="22"/>
                <w:szCs w:val="22"/>
              </w:rPr>
              <w:t>ir įranga“</w:t>
            </w:r>
            <w:r w:rsidR="00A53527" w:rsidRPr="00EE753B">
              <w:rPr>
                <w:sz w:val="22"/>
                <w:szCs w:val="22"/>
              </w:rPr>
              <w:t xml:space="preserve">. Šio ilgalaikio turto </w:t>
            </w:r>
            <w:r w:rsidR="0066578D" w:rsidRPr="00EE753B">
              <w:rPr>
                <w:sz w:val="22"/>
                <w:szCs w:val="22"/>
              </w:rPr>
              <w:t>n</w:t>
            </w:r>
            <w:r w:rsidR="00A53527" w:rsidRPr="00EE753B">
              <w:rPr>
                <w:sz w:val="22"/>
                <w:szCs w:val="22"/>
              </w:rPr>
              <w:t>usidėvėjimo laikotarpis yra 1</w:t>
            </w:r>
            <w:r w:rsidR="0066578D" w:rsidRPr="00EE753B">
              <w:rPr>
                <w:sz w:val="22"/>
                <w:szCs w:val="22"/>
              </w:rPr>
              <w:t>0</w:t>
            </w:r>
            <w:r w:rsidR="00A53527" w:rsidRPr="00EE753B">
              <w:rPr>
                <w:sz w:val="22"/>
                <w:szCs w:val="22"/>
              </w:rPr>
              <w:t xml:space="preserve"> metų. </w:t>
            </w:r>
            <w:r w:rsidR="00904BAB" w:rsidRPr="00EE753B">
              <w:rPr>
                <w:sz w:val="22"/>
                <w:szCs w:val="22"/>
              </w:rPr>
              <w:t>At</w:t>
            </w:r>
            <w:r w:rsidR="005C0543" w:rsidRPr="00EE753B">
              <w:rPr>
                <w:sz w:val="22"/>
                <w:szCs w:val="22"/>
              </w:rPr>
              <w:t xml:space="preserve">sižvelgiant į </w:t>
            </w:r>
            <w:r w:rsidR="006E6B89" w:rsidRPr="00EE753B">
              <w:rPr>
                <w:sz w:val="22"/>
                <w:szCs w:val="22"/>
              </w:rPr>
              <w:t>tai, planuojamos reinvesticijos</w:t>
            </w:r>
            <w:r w:rsidR="005C0543" w:rsidRPr="00EE753B">
              <w:rPr>
                <w:sz w:val="22"/>
                <w:szCs w:val="22"/>
              </w:rPr>
              <w:t>.</w:t>
            </w:r>
            <w:r w:rsidR="001B329F" w:rsidRPr="00EE753B">
              <w:rPr>
                <w:sz w:val="22"/>
                <w:szCs w:val="22"/>
              </w:rPr>
              <w:t xml:space="preserve"> </w:t>
            </w:r>
            <w:r w:rsidR="00F85318" w:rsidRPr="00EE753B">
              <w:rPr>
                <w:sz w:val="22"/>
                <w:szCs w:val="22"/>
              </w:rPr>
              <w:t xml:space="preserve">Reinvesticijų likutinė vertė neskaičiuojama, kadangi ją apskaitys </w:t>
            </w:r>
            <w:r w:rsidR="00DB6989" w:rsidRPr="00EE753B">
              <w:rPr>
                <w:sz w:val="22"/>
                <w:szCs w:val="22"/>
              </w:rPr>
              <w:t xml:space="preserve">šilumos tiekimo įmonė VERT nustatyta tvarka. </w:t>
            </w:r>
          </w:p>
          <w:p w14:paraId="1B67FA3C" w14:textId="1DEC8DC1" w:rsidR="00F27B7D" w:rsidRPr="00EE753B" w:rsidRDefault="00F27B7D" w:rsidP="00F27B7D">
            <w:pPr>
              <w:pStyle w:val="ListParagraph"/>
              <w:numPr>
                <w:ilvl w:val="0"/>
                <w:numId w:val="37"/>
              </w:numPr>
              <w:tabs>
                <w:tab w:val="left" w:pos="598"/>
              </w:tabs>
              <w:jc w:val="both"/>
              <w:rPr>
                <w:sz w:val="22"/>
                <w:szCs w:val="22"/>
              </w:rPr>
            </w:pPr>
            <w:r w:rsidRPr="00EE753B">
              <w:rPr>
                <w:sz w:val="22"/>
                <w:szCs w:val="22"/>
              </w:rPr>
              <w:t xml:space="preserve">Rezultato rodiklis </w:t>
            </w:r>
            <w:r w:rsidR="006630B0" w:rsidRPr="00EE753B">
              <w:rPr>
                <w:sz w:val="22"/>
                <w:szCs w:val="22"/>
              </w:rPr>
              <w:t xml:space="preserve">RR1 </w:t>
            </w:r>
            <w:r w:rsidRPr="00EE753B">
              <w:rPr>
                <w:sz w:val="22"/>
                <w:szCs w:val="22"/>
              </w:rPr>
              <w:t>„Numatomas šiltnamio efektą sukeliančių dujų kiekis“ remiantis Konversijos koeficientų apskaičiavimo ir socialinio ekonominio poveikio (naudos/žalos) vertinimo metodikos 2.5 skyriumi, yra prilygin</w:t>
            </w:r>
            <w:r w:rsidR="006630B0" w:rsidRPr="00EE753B">
              <w:rPr>
                <w:sz w:val="22"/>
                <w:szCs w:val="22"/>
              </w:rPr>
              <w:t>ta</w:t>
            </w:r>
            <w:r w:rsidRPr="00EE753B">
              <w:rPr>
                <w:sz w:val="22"/>
                <w:szCs w:val="22"/>
              </w:rPr>
              <w:t xml:space="preserve">s socialinės-ekonominės naudos įverčiui „Anglies dioksido (kaip šiltnamio efektą sukeliančių dujų) emisijos sumažėjimas“. </w:t>
            </w:r>
            <w:r w:rsidR="00DE5C48" w:rsidRPr="00EE753B">
              <w:rPr>
                <w:sz w:val="22"/>
                <w:szCs w:val="22"/>
              </w:rPr>
              <w:t xml:space="preserve">Rodiklio reikšmės </w:t>
            </w:r>
            <w:r w:rsidR="00EF3A6F" w:rsidRPr="00EE753B">
              <w:rPr>
                <w:sz w:val="22"/>
                <w:szCs w:val="22"/>
              </w:rPr>
              <w:t>priimamos pagal 2021</w:t>
            </w:r>
            <w:r w:rsidR="00BC6561" w:rsidRPr="00EE753B">
              <w:rPr>
                <w:sz w:val="22"/>
                <w:szCs w:val="22"/>
              </w:rPr>
              <w:t>–</w:t>
            </w:r>
            <w:r w:rsidR="00EF3A6F" w:rsidRPr="00EE753B">
              <w:rPr>
                <w:sz w:val="22"/>
                <w:szCs w:val="22"/>
              </w:rPr>
              <w:t xml:space="preserve">2027 IP 2.1 konkretaus uždavinio lėšų ir rodiklių pagrindimą. </w:t>
            </w:r>
            <w:r w:rsidRPr="00EE753B">
              <w:rPr>
                <w:sz w:val="22"/>
                <w:szCs w:val="22"/>
              </w:rPr>
              <w:t xml:space="preserve">Nauda </w:t>
            </w:r>
            <w:proofErr w:type="spellStart"/>
            <w:r w:rsidRPr="00EE753B">
              <w:rPr>
                <w:sz w:val="22"/>
                <w:szCs w:val="22"/>
              </w:rPr>
              <w:t>monetizuota</w:t>
            </w:r>
            <w:proofErr w:type="spellEnd"/>
            <w:r w:rsidRPr="00EE753B">
              <w:rPr>
                <w:sz w:val="22"/>
                <w:szCs w:val="22"/>
              </w:rPr>
              <w:t xml:space="preserve"> naudojant šio įverčio reikšmes, apskaičiuotas Konversijos koeficientų apskaičiavimo ir socialinio ekonominio poveikio (naudos/žalos) vertinimo metodikos 5-6 prieduose, galiojančiuose nuo 2022-01-01. Nauda pradedama skaičiuoti </w:t>
            </w:r>
            <w:r w:rsidR="0087792A" w:rsidRPr="00EE753B">
              <w:rPr>
                <w:sz w:val="22"/>
                <w:szCs w:val="22"/>
              </w:rPr>
              <w:t xml:space="preserve">sekančiais metais </w:t>
            </w:r>
            <w:r w:rsidR="00485F03" w:rsidRPr="00EE753B">
              <w:rPr>
                <w:sz w:val="22"/>
                <w:szCs w:val="22"/>
              </w:rPr>
              <w:t xml:space="preserve">po investicijų užbaigimo pagal planuojamą Veiklos 1 ir Veiklos 2 įgyvendinimo tempą. </w:t>
            </w:r>
            <w:r w:rsidR="000C4FC9" w:rsidRPr="00EE753B">
              <w:rPr>
                <w:sz w:val="22"/>
                <w:szCs w:val="22"/>
              </w:rPr>
              <w:t xml:space="preserve">Apskaičiuota </w:t>
            </w:r>
            <w:r w:rsidR="006630B0" w:rsidRPr="00EE753B">
              <w:rPr>
                <w:sz w:val="22"/>
                <w:szCs w:val="22"/>
              </w:rPr>
              <w:t>CO2 sumažinimo s</w:t>
            </w:r>
            <w:r w:rsidR="000C4FC9" w:rsidRPr="00EE753B">
              <w:rPr>
                <w:sz w:val="22"/>
                <w:szCs w:val="22"/>
              </w:rPr>
              <w:t xml:space="preserve">ocialinė-ekonominė nauda perkelta į skaičiuoklės L.1.1 eilutę. </w:t>
            </w:r>
          </w:p>
          <w:p w14:paraId="7FB01B24" w14:textId="095EB63A" w:rsidR="00C71D21" w:rsidRPr="00EE753B" w:rsidRDefault="00716C68" w:rsidP="00C71D21">
            <w:pPr>
              <w:pStyle w:val="ListParagraph"/>
              <w:numPr>
                <w:ilvl w:val="0"/>
                <w:numId w:val="37"/>
              </w:numPr>
              <w:tabs>
                <w:tab w:val="left" w:pos="598"/>
              </w:tabs>
              <w:jc w:val="both"/>
            </w:pPr>
            <w:r w:rsidRPr="00EE753B">
              <w:rPr>
                <w:sz w:val="22"/>
                <w:szCs w:val="22"/>
              </w:rPr>
              <w:t xml:space="preserve">Socialinis-ekonominis veiklų įgyvendinimo rezultatas, išreikštas kaip RR2 </w:t>
            </w:r>
            <w:r w:rsidR="008A098F" w:rsidRPr="00EE753B">
              <w:rPr>
                <w:sz w:val="22"/>
                <w:szCs w:val="22"/>
              </w:rPr>
              <w:t>„</w:t>
            </w:r>
            <w:r w:rsidR="00C71D21" w:rsidRPr="00EE753B">
              <w:rPr>
                <w:sz w:val="22"/>
                <w:szCs w:val="22"/>
              </w:rPr>
              <w:t>Metinis pirminės energijos suvartojimas (iš kurio: būstai, viešieji pastatai, įmonės, kita)</w:t>
            </w:r>
            <w:r w:rsidR="008A098F" w:rsidRPr="00EE753B">
              <w:rPr>
                <w:sz w:val="22"/>
                <w:szCs w:val="22"/>
              </w:rPr>
              <w:t>“</w:t>
            </w:r>
            <w:r w:rsidR="00C71D21" w:rsidRPr="00EE753B">
              <w:rPr>
                <w:sz w:val="22"/>
                <w:szCs w:val="22"/>
              </w:rPr>
              <w:t xml:space="preserve"> skaičiuoklėje nurodytas kaip standartinis įvertis „Energetinių charakteristikų pagerėjimas“. Skaičiuoklė</w:t>
            </w:r>
            <w:r w:rsidR="00813928" w:rsidRPr="00EE753B">
              <w:rPr>
                <w:sz w:val="22"/>
                <w:szCs w:val="22"/>
              </w:rPr>
              <w:t>s</w:t>
            </w:r>
            <w:r w:rsidR="00C71D21" w:rsidRPr="00EE753B">
              <w:rPr>
                <w:sz w:val="22"/>
                <w:szCs w:val="22"/>
              </w:rPr>
              <w:t xml:space="preserve"> L.1.</w:t>
            </w:r>
            <w:r w:rsidR="00813928" w:rsidRPr="00EE753B">
              <w:rPr>
                <w:sz w:val="22"/>
                <w:szCs w:val="22"/>
              </w:rPr>
              <w:t>2</w:t>
            </w:r>
            <w:r w:rsidR="00C71D21" w:rsidRPr="00EE753B">
              <w:rPr>
                <w:sz w:val="22"/>
                <w:szCs w:val="22"/>
              </w:rPr>
              <w:t xml:space="preserve"> eilutėje nurodytos Veiklos</w:t>
            </w:r>
            <w:r w:rsidR="009C283C">
              <w:rPr>
                <w:sz w:val="22"/>
                <w:szCs w:val="22"/>
              </w:rPr>
              <w:t xml:space="preserve"> </w:t>
            </w:r>
            <w:r w:rsidR="00C71D21" w:rsidRPr="00EE753B">
              <w:rPr>
                <w:sz w:val="22"/>
                <w:szCs w:val="22"/>
              </w:rPr>
              <w:t>1 „</w:t>
            </w:r>
            <w:r w:rsidR="00DC1057" w:rsidRPr="00EE753B">
              <w:rPr>
                <w:sz w:val="22"/>
                <w:szCs w:val="22"/>
              </w:rPr>
              <w:t>Centralizuoto šilumos tiekimo tinklo pritaikymas 4</w:t>
            </w:r>
            <w:r w:rsidR="003D2D39" w:rsidRPr="00EE753B">
              <w:rPr>
                <w:sz w:val="22"/>
                <w:szCs w:val="22"/>
              </w:rPr>
              <w:t>-os</w:t>
            </w:r>
            <w:r w:rsidR="00DC1057" w:rsidRPr="00EE753B">
              <w:rPr>
                <w:sz w:val="22"/>
                <w:szCs w:val="22"/>
              </w:rPr>
              <w:t xml:space="preserve"> kartos šilumos tiekimo sistemai visoje Lietuvoje</w:t>
            </w:r>
            <w:r w:rsidR="00C71D21" w:rsidRPr="00EE753B">
              <w:rPr>
                <w:sz w:val="22"/>
                <w:szCs w:val="22"/>
              </w:rPr>
              <w:t xml:space="preserve">“ </w:t>
            </w:r>
            <w:r w:rsidR="00C459E5" w:rsidRPr="00EE753B">
              <w:rPr>
                <w:sz w:val="22"/>
                <w:szCs w:val="22"/>
              </w:rPr>
              <w:t>ir Veiklos</w:t>
            </w:r>
            <w:r w:rsidR="009C283C">
              <w:rPr>
                <w:sz w:val="22"/>
                <w:szCs w:val="22"/>
              </w:rPr>
              <w:t xml:space="preserve"> </w:t>
            </w:r>
            <w:r w:rsidR="008258CE" w:rsidRPr="00EE753B">
              <w:rPr>
                <w:sz w:val="22"/>
                <w:szCs w:val="22"/>
              </w:rPr>
              <w:t>2 „</w:t>
            </w:r>
            <w:r w:rsidR="00C7505D" w:rsidRPr="00EE753B">
              <w:rPr>
                <w:sz w:val="22"/>
                <w:szCs w:val="22"/>
              </w:rPr>
              <w:t>Centralizuoto šilumos tiekimo tinklo pritaikymas 4</w:t>
            </w:r>
            <w:r w:rsidR="005C7790" w:rsidRPr="00EE753B">
              <w:rPr>
                <w:sz w:val="22"/>
                <w:szCs w:val="22"/>
              </w:rPr>
              <w:t>-os</w:t>
            </w:r>
            <w:r w:rsidR="00C7505D" w:rsidRPr="00EE753B">
              <w:rPr>
                <w:sz w:val="22"/>
                <w:szCs w:val="22"/>
              </w:rPr>
              <w:t xml:space="preserve"> kartos šilumos tiekimo sistemai Vidurio ir Vakarų Lietuvoje</w:t>
            </w:r>
            <w:r w:rsidR="008258CE" w:rsidRPr="00EE753B">
              <w:rPr>
                <w:sz w:val="22"/>
                <w:szCs w:val="22"/>
              </w:rPr>
              <w:t xml:space="preserve">“ </w:t>
            </w:r>
            <w:r w:rsidR="00C71D21" w:rsidRPr="00EE753B">
              <w:rPr>
                <w:sz w:val="22"/>
                <w:szCs w:val="22"/>
              </w:rPr>
              <w:t>socialinė-ekonominė nauda dėl metinio pirminės energijos vartojimo</w:t>
            </w:r>
            <w:r w:rsidR="0094103C">
              <w:rPr>
                <w:sz w:val="22"/>
                <w:szCs w:val="22"/>
              </w:rPr>
              <w:t xml:space="preserve"> sumažėjimo</w:t>
            </w:r>
            <w:r w:rsidR="00C71D21" w:rsidRPr="00EE753B">
              <w:rPr>
                <w:sz w:val="22"/>
                <w:szCs w:val="22"/>
              </w:rPr>
              <w:t>, o L.1.3 – atitinkamai Veikl</w:t>
            </w:r>
            <w:r w:rsidR="00F27B7D" w:rsidRPr="00EE753B">
              <w:rPr>
                <w:sz w:val="22"/>
                <w:szCs w:val="22"/>
              </w:rPr>
              <w:t>ų 3</w:t>
            </w:r>
            <w:r w:rsidR="00A847DD" w:rsidRPr="00EE753B">
              <w:rPr>
                <w:sz w:val="22"/>
                <w:szCs w:val="22"/>
              </w:rPr>
              <w:t>–</w:t>
            </w:r>
            <w:r w:rsidR="00F27B7D" w:rsidRPr="00EE753B">
              <w:rPr>
                <w:sz w:val="22"/>
                <w:szCs w:val="22"/>
              </w:rPr>
              <w:t>4</w:t>
            </w:r>
            <w:r w:rsidR="00C71D21" w:rsidRPr="00EE753B">
              <w:rPr>
                <w:sz w:val="22"/>
                <w:szCs w:val="22"/>
              </w:rPr>
              <w:t xml:space="preserve"> sukuriama sumažėjusio pirminės energijos</w:t>
            </w:r>
            <w:r w:rsidR="006F6CBE">
              <w:rPr>
                <w:sz w:val="22"/>
                <w:szCs w:val="22"/>
              </w:rPr>
              <w:t xml:space="preserve"> suvartojimo</w:t>
            </w:r>
            <w:r w:rsidR="00C71D21" w:rsidRPr="00EE753B">
              <w:rPr>
                <w:sz w:val="22"/>
                <w:szCs w:val="22"/>
              </w:rPr>
              <w:t xml:space="preserve"> socialinė-ekonominė nauda. </w:t>
            </w:r>
            <w:r w:rsidR="00A67BD2" w:rsidRPr="00EE753B">
              <w:rPr>
                <w:sz w:val="22"/>
                <w:szCs w:val="22"/>
              </w:rPr>
              <w:t xml:space="preserve">Veiklų 1-2 </w:t>
            </w:r>
            <w:r w:rsidR="002967F6">
              <w:rPr>
                <w:sz w:val="22"/>
                <w:szCs w:val="22"/>
              </w:rPr>
              <w:t xml:space="preserve">pirminės energijos </w:t>
            </w:r>
            <w:r w:rsidR="00B9316F">
              <w:rPr>
                <w:sz w:val="22"/>
                <w:szCs w:val="22"/>
              </w:rPr>
              <w:t xml:space="preserve">pokytis </w:t>
            </w:r>
            <w:r w:rsidR="005B0049">
              <w:rPr>
                <w:sz w:val="22"/>
                <w:szCs w:val="22"/>
              </w:rPr>
              <w:t>objektuose</w:t>
            </w:r>
            <w:r w:rsidR="004F3AB4">
              <w:rPr>
                <w:sz w:val="22"/>
                <w:szCs w:val="22"/>
              </w:rPr>
              <w:t>,</w:t>
            </w:r>
            <w:r w:rsidR="005B0049" w:rsidRPr="00A8193A">
              <w:rPr>
                <w:sz w:val="22"/>
                <w:szCs w:val="22"/>
              </w:rPr>
              <w:t xml:space="preserve"> </w:t>
            </w:r>
            <w:r w:rsidR="007F0350" w:rsidRPr="00A8193A">
              <w:rPr>
                <w:sz w:val="22"/>
                <w:szCs w:val="22"/>
              </w:rPr>
              <w:t>atnaujin</w:t>
            </w:r>
            <w:r w:rsidR="007F0350">
              <w:rPr>
                <w:sz w:val="22"/>
                <w:szCs w:val="22"/>
              </w:rPr>
              <w:t>us</w:t>
            </w:r>
            <w:r w:rsidR="007F0350" w:rsidRPr="00A8193A">
              <w:rPr>
                <w:sz w:val="22"/>
                <w:szCs w:val="22"/>
              </w:rPr>
              <w:t xml:space="preserve"> (</w:t>
            </w:r>
            <w:r w:rsidR="007F0350">
              <w:rPr>
                <w:sz w:val="22"/>
                <w:szCs w:val="22"/>
              </w:rPr>
              <w:t>patobulinus</w:t>
            </w:r>
            <w:r w:rsidR="007F0350" w:rsidRPr="00A8193A">
              <w:rPr>
                <w:sz w:val="22"/>
                <w:szCs w:val="22"/>
              </w:rPr>
              <w:t>) vamzdyn</w:t>
            </w:r>
            <w:r w:rsidR="007F0350">
              <w:rPr>
                <w:sz w:val="22"/>
                <w:szCs w:val="22"/>
              </w:rPr>
              <w:t>us</w:t>
            </w:r>
            <w:r w:rsidR="007F0350" w:rsidRPr="00A8193A">
              <w:rPr>
                <w:sz w:val="22"/>
                <w:szCs w:val="22"/>
              </w:rPr>
              <w:t xml:space="preserve"> </w:t>
            </w:r>
            <w:r w:rsidR="007F0350">
              <w:rPr>
                <w:sz w:val="22"/>
                <w:szCs w:val="22"/>
              </w:rPr>
              <w:t xml:space="preserve">(jų </w:t>
            </w:r>
            <w:r w:rsidR="007F0350" w:rsidRPr="00A8193A">
              <w:rPr>
                <w:sz w:val="22"/>
                <w:szCs w:val="22"/>
              </w:rPr>
              <w:t>dal</w:t>
            </w:r>
            <w:r w:rsidR="007F0350">
              <w:rPr>
                <w:sz w:val="22"/>
                <w:szCs w:val="22"/>
              </w:rPr>
              <w:t>is)</w:t>
            </w:r>
            <w:r w:rsidR="004F3AB4">
              <w:rPr>
                <w:sz w:val="22"/>
                <w:szCs w:val="22"/>
              </w:rPr>
              <w:t>,</w:t>
            </w:r>
            <w:r w:rsidR="007F0350" w:rsidRPr="00A8193A">
              <w:rPr>
                <w:sz w:val="22"/>
                <w:szCs w:val="22"/>
              </w:rPr>
              <w:t xml:space="preserve"> </w:t>
            </w:r>
            <w:r w:rsidR="004E3A1D">
              <w:rPr>
                <w:sz w:val="22"/>
                <w:szCs w:val="22"/>
              </w:rPr>
              <w:t>vertinam</w:t>
            </w:r>
            <w:r w:rsidR="002C6429">
              <w:rPr>
                <w:sz w:val="22"/>
                <w:szCs w:val="22"/>
              </w:rPr>
              <w:t>as</w:t>
            </w:r>
            <w:r w:rsidR="00D85941">
              <w:rPr>
                <w:sz w:val="22"/>
                <w:szCs w:val="22"/>
              </w:rPr>
              <w:t xml:space="preserve"> </w:t>
            </w:r>
            <w:r w:rsidR="008653E7">
              <w:rPr>
                <w:sz w:val="22"/>
                <w:szCs w:val="22"/>
              </w:rPr>
              <w:t xml:space="preserve">apskaičiuojant pirminės energijos suvartojimą </w:t>
            </w:r>
            <w:r w:rsidR="00A8193A" w:rsidRPr="00A8193A">
              <w:rPr>
                <w:sz w:val="22"/>
                <w:szCs w:val="22"/>
              </w:rPr>
              <w:t>prieš</w:t>
            </w:r>
            <w:r w:rsidR="00C75EE2">
              <w:rPr>
                <w:sz w:val="22"/>
                <w:szCs w:val="22"/>
              </w:rPr>
              <w:t xml:space="preserve"> </w:t>
            </w:r>
            <w:r w:rsidR="00791E17">
              <w:rPr>
                <w:sz w:val="22"/>
                <w:szCs w:val="22"/>
              </w:rPr>
              <w:t>p</w:t>
            </w:r>
            <w:r w:rsidR="00DE4778">
              <w:rPr>
                <w:sz w:val="22"/>
                <w:szCs w:val="22"/>
              </w:rPr>
              <w:t>rojekto veiklų vykdymo pradžią</w:t>
            </w:r>
            <w:r w:rsidR="00A8193A" w:rsidRPr="00A8193A">
              <w:rPr>
                <w:sz w:val="22"/>
                <w:szCs w:val="22"/>
              </w:rPr>
              <w:t xml:space="preserve"> ir po projekto įgyvendinimo</w:t>
            </w:r>
            <w:r w:rsidR="00D3473E">
              <w:rPr>
                <w:sz w:val="22"/>
                <w:szCs w:val="22"/>
              </w:rPr>
              <w:t xml:space="preserve"> </w:t>
            </w:r>
            <w:r w:rsidR="00686AC0">
              <w:rPr>
                <w:sz w:val="22"/>
                <w:szCs w:val="22"/>
              </w:rPr>
              <w:t xml:space="preserve">praėjus </w:t>
            </w:r>
            <w:r w:rsidR="003A5269">
              <w:rPr>
                <w:sz w:val="22"/>
                <w:szCs w:val="22"/>
              </w:rPr>
              <w:t>1 kalendoriniams meta</w:t>
            </w:r>
            <w:r w:rsidR="00843CEB">
              <w:rPr>
                <w:sz w:val="22"/>
                <w:szCs w:val="22"/>
              </w:rPr>
              <w:t>m</w:t>
            </w:r>
            <w:r w:rsidR="003A5269">
              <w:rPr>
                <w:sz w:val="22"/>
                <w:szCs w:val="22"/>
              </w:rPr>
              <w:t>s</w:t>
            </w:r>
            <w:r w:rsidR="00633DCB">
              <w:rPr>
                <w:sz w:val="22"/>
                <w:szCs w:val="22"/>
              </w:rPr>
              <w:t>,</w:t>
            </w:r>
            <w:r w:rsidR="00A8193A" w:rsidRPr="00A8193A">
              <w:rPr>
                <w:sz w:val="22"/>
                <w:szCs w:val="22"/>
              </w:rPr>
              <w:t xml:space="preserve"> </w:t>
            </w:r>
            <w:r w:rsidR="005F796B">
              <w:rPr>
                <w:sz w:val="22"/>
                <w:szCs w:val="22"/>
              </w:rPr>
              <w:t xml:space="preserve">vadovaujantis </w:t>
            </w:r>
            <w:r w:rsidR="00B8730F" w:rsidRPr="00B8730F">
              <w:rPr>
                <w:sz w:val="22"/>
                <w:szCs w:val="22"/>
              </w:rPr>
              <w:t>Šilumos tiekimo vamzdynuose patiriamų šilumos nuostolių nustatymo metodika, patvirtinta Lietuvos Respublikos energetikos ministro 2016 m. vasario 5 d. įsakymu Nr. 1–26 „Dėl Šilumos tiekimo vamzdynuose patiriamų šilumos nuostolių nustatymo metodikos patvirtinimo“ ir skaičiuokle, skelbiama Valstybinės energetikos reguliavimo tarybos tinklapyje</w:t>
            </w:r>
            <w:r w:rsidR="00EA03B2">
              <w:rPr>
                <w:sz w:val="22"/>
                <w:szCs w:val="22"/>
              </w:rPr>
              <w:t xml:space="preserve">. </w:t>
            </w:r>
            <w:r w:rsidR="00E956D9">
              <w:rPr>
                <w:sz w:val="22"/>
                <w:szCs w:val="22"/>
              </w:rPr>
              <w:t xml:space="preserve">Jeigu tiesiami nauji vamzdynai, </w:t>
            </w:r>
            <w:r w:rsidR="00020CA9">
              <w:rPr>
                <w:sz w:val="22"/>
                <w:szCs w:val="22"/>
              </w:rPr>
              <w:t xml:space="preserve">pirminės energijos </w:t>
            </w:r>
            <w:r w:rsidR="00F23409">
              <w:rPr>
                <w:sz w:val="22"/>
                <w:szCs w:val="22"/>
              </w:rPr>
              <w:t xml:space="preserve">suvartojimas </w:t>
            </w:r>
            <w:r w:rsidR="0034110C">
              <w:rPr>
                <w:sz w:val="22"/>
                <w:szCs w:val="22"/>
              </w:rPr>
              <w:t>objektuose</w:t>
            </w:r>
            <w:r w:rsidR="00020CA9">
              <w:rPr>
                <w:sz w:val="22"/>
                <w:szCs w:val="22"/>
              </w:rPr>
              <w:t xml:space="preserve"> vertinam</w:t>
            </w:r>
            <w:r w:rsidR="00F23409">
              <w:rPr>
                <w:sz w:val="22"/>
                <w:szCs w:val="22"/>
              </w:rPr>
              <w:t>as</w:t>
            </w:r>
            <w:r w:rsidR="00E61841">
              <w:rPr>
                <w:sz w:val="22"/>
                <w:szCs w:val="22"/>
              </w:rPr>
              <w:t xml:space="preserve"> iki projekto įgyvendinimo</w:t>
            </w:r>
            <w:r w:rsidR="00CE17CA">
              <w:rPr>
                <w:sz w:val="22"/>
                <w:szCs w:val="22"/>
              </w:rPr>
              <w:t>, atsižvelgiant ar pastatas, kuriam naujais vamzdynais bus tiekiama šiluma, buvo prijungtas ar bus prijungtas</w:t>
            </w:r>
            <w:r w:rsidR="00CE17CA" w:rsidRPr="00EE753B">
              <w:rPr>
                <w:sz w:val="22"/>
                <w:szCs w:val="22"/>
              </w:rPr>
              <w:t xml:space="preserve"> </w:t>
            </w:r>
            <w:r w:rsidR="00CE17CA">
              <w:rPr>
                <w:sz w:val="22"/>
                <w:szCs w:val="22"/>
              </w:rPr>
              <w:t xml:space="preserve">prie CŠT, atitinkamai įvertinant </w:t>
            </w:r>
            <w:r w:rsidR="00CE17CA" w:rsidRPr="00A117F0">
              <w:rPr>
                <w:sz w:val="22"/>
                <w:szCs w:val="22"/>
              </w:rPr>
              <w:t xml:space="preserve">pirminės energijos suvartojimą </w:t>
            </w:r>
            <w:r w:rsidR="00CE17CA">
              <w:rPr>
                <w:sz w:val="22"/>
                <w:szCs w:val="22"/>
              </w:rPr>
              <w:t xml:space="preserve">pastate </w:t>
            </w:r>
            <w:r w:rsidR="00CE17CA" w:rsidRPr="00A117F0">
              <w:rPr>
                <w:sz w:val="22"/>
                <w:szCs w:val="22"/>
              </w:rPr>
              <w:t>per metus</w:t>
            </w:r>
            <w:r w:rsidR="00CE17CA">
              <w:rPr>
                <w:sz w:val="22"/>
                <w:szCs w:val="22"/>
              </w:rPr>
              <w:t xml:space="preserve"> </w:t>
            </w:r>
            <w:r w:rsidR="00E61841">
              <w:rPr>
                <w:sz w:val="22"/>
                <w:szCs w:val="22"/>
              </w:rPr>
              <w:t>ir po</w:t>
            </w:r>
            <w:r w:rsidR="00473C05">
              <w:rPr>
                <w:sz w:val="22"/>
                <w:szCs w:val="22"/>
              </w:rPr>
              <w:t xml:space="preserve"> projekto</w:t>
            </w:r>
            <w:r w:rsidR="00E61841">
              <w:rPr>
                <w:sz w:val="22"/>
                <w:szCs w:val="22"/>
              </w:rPr>
              <w:t xml:space="preserve"> </w:t>
            </w:r>
            <w:r w:rsidR="00A02C25">
              <w:rPr>
                <w:sz w:val="22"/>
                <w:szCs w:val="22"/>
              </w:rPr>
              <w:t xml:space="preserve">įgyvendinimo, </w:t>
            </w:r>
            <w:r w:rsidR="00D1247C" w:rsidRPr="00D1247C">
              <w:rPr>
                <w:sz w:val="22"/>
                <w:szCs w:val="22"/>
              </w:rPr>
              <w:t>praėjus 1 kalendoriniams metams</w:t>
            </w:r>
            <w:r w:rsidR="005423C4">
              <w:rPr>
                <w:sz w:val="22"/>
                <w:szCs w:val="22"/>
              </w:rPr>
              <w:t>.</w:t>
            </w:r>
            <w:r w:rsidR="00D1247C" w:rsidRPr="00D1247C">
              <w:rPr>
                <w:sz w:val="22"/>
                <w:szCs w:val="22"/>
              </w:rPr>
              <w:t xml:space="preserve"> </w:t>
            </w:r>
            <w:r w:rsidR="006A498F" w:rsidRPr="00EE753B">
              <w:rPr>
                <w:sz w:val="22"/>
                <w:szCs w:val="22"/>
              </w:rPr>
              <w:t>Veiklų 3</w:t>
            </w:r>
            <w:r w:rsidR="00A847DD" w:rsidRPr="00EE753B">
              <w:rPr>
                <w:sz w:val="22"/>
                <w:szCs w:val="22"/>
              </w:rPr>
              <w:t>–</w:t>
            </w:r>
            <w:r w:rsidR="006A498F" w:rsidRPr="00EE753B">
              <w:rPr>
                <w:sz w:val="22"/>
                <w:szCs w:val="22"/>
              </w:rPr>
              <w:t xml:space="preserve">4 </w:t>
            </w:r>
            <w:r w:rsidR="00103AEA">
              <w:rPr>
                <w:sz w:val="22"/>
                <w:szCs w:val="22"/>
              </w:rPr>
              <w:t>pirminės energijos pokytis</w:t>
            </w:r>
            <w:r w:rsidR="00015CB4">
              <w:rPr>
                <w:sz w:val="22"/>
                <w:szCs w:val="22"/>
              </w:rPr>
              <w:t xml:space="preserve"> objektuose</w:t>
            </w:r>
            <w:r w:rsidR="00103AEA">
              <w:rPr>
                <w:sz w:val="22"/>
                <w:szCs w:val="22"/>
              </w:rPr>
              <w:t xml:space="preserve"> </w:t>
            </w:r>
            <w:r w:rsidR="00264F52">
              <w:rPr>
                <w:sz w:val="22"/>
                <w:szCs w:val="22"/>
              </w:rPr>
              <w:t>į</w:t>
            </w:r>
            <w:r w:rsidR="004059E2">
              <w:rPr>
                <w:sz w:val="22"/>
                <w:szCs w:val="22"/>
              </w:rPr>
              <w:t>vertinamas</w:t>
            </w:r>
            <w:r w:rsidR="00264F52">
              <w:rPr>
                <w:sz w:val="22"/>
                <w:szCs w:val="22"/>
              </w:rPr>
              <w:t xml:space="preserve"> apskaičiuojant</w:t>
            </w:r>
            <w:r w:rsidR="004059E2">
              <w:rPr>
                <w:sz w:val="22"/>
                <w:szCs w:val="22"/>
              </w:rPr>
              <w:t xml:space="preserve"> </w:t>
            </w:r>
            <w:r w:rsidR="00A17942" w:rsidRPr="002B3B7C">
              <w:rPr>
                <w:sz w:val="22"/>
                <w:szCs w:val="22"/>
              </w:rPr>
              <w:t xml:space="preserve">pirminės šilumos energijos kiekį, kuris praėjo per numatomus pakeisti apskaitos prietaisus per metus </w:t>
            </w:r>
            <w:r w:rsidR="002B3B7C" w:rsidRPr="002B3B7C">
              <w:rPr>
                <w:sz w:val="22"/>
                <w:szCs w:val="22"/>
              </w:rPr>
              <w:t>prieš projekto įgyvendinimą, o praėjus 1</w:t>
            </w:r>
            <w:r w:rsidR="008A5030">
              <w:rPr>
                <w:sz w:val="22"/>
                <w:szCs w:val="22"/>
              </w:rPr>
              <w:t xml:space="preserve"> kalendoriniams</w:t>
            </w:r>
            <w:r w:rsidR="002B3B7C" w:rsidRPr="002B3B7C">
              <w:rPr>
                <w:sz w:val="22"/>
                <w:szCs w:val="22"/>
              </w:rPr>
              <w:t xml:space="preserve"> metams po projekto</w:t>
            </w:r>
            <w:r w:rsidR="0077729E">
              <w:rPr>
                <w:sz w:val="22"/>
                <w:szCs w:val="22"/>
              </w:rPr>
              <w:t xml:space="preserve"> įgy</w:t>
            </w:r>
            <w:r w:rsidR="00A16A55">
              <w:rPr>
                <w:sz w:val="22"/>
                <w:szCs w:val="22"/>
              </w:rPr>
              <w:t>vendinimo</w:t>
            </w:r>
            <w:r w:rsidR="002B3B7C" w:rsidRPr="002B3B7C">
              <w:rPr>
                <w:sz w:val="22"/>
                <w:szCs w:val="22"/>
              </w:rPr>
              <w:t xml:space="preserve"> – </w:t>
            </w:r>
            <w:r w:rsidR="001C716D">
              <w:rPr>
                <w:sz w:val="22"/>
                <w:szCs w:val="22"/>
              </w:rPr>
              <w:t>apskaičiuojant</w:t>
            </w:r>
            <w:r w:rsidR="002B3B7C" w:rsidRPr="002B3B7C">
              <w:rPr>
                <w:sz w:val="22"/>
                <w:szCs w:val="22"/>
              </w:rPr>
              <w:t xml:space="preserve"> pirminės energijos kiekį, kuris praėjo per projekto lėšomis įdiegtus apskaitos prietaisus per metus</w:t>
            </w:r>
            <w:r w:rsidR="008A5030">
              <w:rPr>
                <w:sz w:val="22"/>
                <w:szCs w:val="22"/>
              </w:rPr>
              <w:t>.</w:t>
            </w:r>
            <w:r w:rsidR="00CD3927" w:rsidRPr="00EE753B">
              <w:rPr>
                <w:sz w:val="22"/>
                <w:szCs w:val="22"/>
              </w:rPr>
              <w:t xml:space="preserve"> </w:t>
            </w:r>
            <w:r w:rsidR="00C71D21" w:rsidRPr="00EE753B">
              <w:rPr>
                <w:sz w:val="22"/>
                <w:szCs w:val="22"/>
              </w:rPr>
              <w:t xml:space="preserve">Nauda </w:t>
            </w:r>
            <w:proofErr w:type="spellStart"/>
            <w:r w:rsidR="00C71D21" w:rsidRPr="00EE753B">
              <w:rPr>
                <w:sz w:val="22"/>
                <w:szCs w:val="22"/>
              </w:rPr>
              <w:t>monetizuojama</w:t>
            </w:r>
            <w:proofErr w:type="spellEnd"/>
            <w:r w:rsidR="00C71D21" w:rsidRPr="00EE753B">
              <w:rPr>
                <w:sz w:val="22"/>
                <w:szCs w:val="22"/>
              </w:rPr>
              <w:t xml:space="preserve"> išreiškiant Eur pagal šilumos kainų prognozę, naudojamą LIRS.</w:t>
            </w:r>
            <w:r w:rsidR="00C71D21" w:rsidRPr="00EE753B">
              <w:t xml:space="preserve"> </w:t>
            </w:r>
          </w:p>
          <w:p w14:paraId="6A11AE99" w14:textId="5B187B55" w:rsidR="00A13816" w:rsidRPr="00EE753B" w:rsidRDefault="007A385A" w:rsidP="00953208">
            <w:pPr>
              <w:pStyle w:val="ListParagraph"/>
              <w:numPr>
                <w:ilvl w:val="0"/>
                <w:numId w:val="37"/>
              </w:numPr>
              <w:tabs>
                <w:tab w:val="left" w:pos="598"/>
              </w:tabs>
              <w:jc w:val="both"/>
              <w:rPr>
                <w:i/>
                <w:color w:val="808080"/>
                <w:sz w:val="22"/>
                <w:szCs w:val="22"/>
              </w:rPr>
            </w:pPr>
            <w:r w:rsidRPr="00EE753B">
              <w:rPr>
                <w:sz w:val="22"/>
                <w:szCs w:val="22"/>
              </w:rPr>
              <w:t>Visų investicinių veiklų</w:t>
            </w:r>
            <w:r w:rsidR="002B17A7" w:rsidRPr="00EE753B">
              <w:rPr>
                <w:sz w:val="22"/>
                <w:szCs w:val="22"/>
              </w:rPr>
              <w:t xml:space="preserve"> įgyvendinimo efektas taip pat išreikštas </w:t>
            </w:r>
            <w:r w:rsidR="00885922" w:rsidRPr="00EE753B">
              <w:rPr>
                <w:sz w:val="22"/>
                <w:szCs w:val="22"/>
              </w:rPr>
              <w:t xml:space="preserve">„Laiko ir piniginių sąnaudų sumažėjimu“, kuris, instaliuojant prietaisus su </w:t>
            </w:r>
            <w:r w:rsidR="00D5091C" w:rsidRPr="00EE753B">
              <w:rPr>
                <w:sz w:val="22"/>
                <w:szCs w:val="22"/>
              </w:rPr>
              <w:t xml:space="preserve">nuotolinio duomenų nuskaitymo funkcija, pasireikš šilumos tiekimo įmonių veikloje. </w:t>
            </w:r>
            <w:r w:rsidR="00382B0A" w:rsidRPr="00EE753B">
              <w:rPr>
                <w:sz w:val="22"/>
                <w:szCs w:val="22"/>
              </w:rPr>
              <w:t xml:space="preserve">Automatizuojant ir skaitmenizuojant šilumos tiekimo veiklą, reikia mažiau darbuotojų. LŠTA duomenimis, </w:t>
            </w:r>
            <w:r w:rsidR="00FF7AC2" w:rsidRPr="00EE753B">
              <w:rPr>
                <w:sz w:val="22"/>
                <w:szCs w:val="22"/>
              </w:rPr>
              <w:t>2020 metais šilumos tiekimo įmonėse dirbo 3340 darbuotojų</w:t>
            </w:r>
            <w:r w:rsidR="00C40F9C">
              <w:rPr>
                <w:sz w:val="22"/>
                <w:szCs w:val="22"/>
              </w:rPr>
              <w:t xml:space="preserve"> (2022 m. – 3200)</w:t>
            </w:r>
            <w:r w:rsidR="00FF7AC2" w:rsidRPr="00EE753B">
              <w:rPr>
                <w:sz w:val="22"/>
                <w:szCs w:val="22"/>
              </w:rPr>
              <w:t xml:space="preserve">. </w:t>
            </w:r>
            <w:r w:rsidR="005D6524" w:rsidRPr="00EE753B">
              <w:rPr>
                <w:sz w:val="22"/>
                <w:szCs w:val="22"/>
              </w:rPr>
              <w:t xml:space="preserve">Lyginant su 2001 metais darbuotojų skaičius yra sumažėjęs </w:t>
            </w:r>
            <w:r w:rsidR="00054B26" w:rsidRPr="00EE753B">
              <w:rPr>
                <w:sz w:val="22"/>
                <w:szCs w:val="22"/>
              </w:rPr>
              <w:t xml:space="preserve">beveik perpus – nuo 6017 darbuotojų. </w:t>
            </w:r>
            <w:r w:rsidR="0078536D" w:rsidRPr="00EE753B">
              <w:rPr>
                <w:sz w:val="22"/>
                <w:szCs w:val="22"/>
              </w:rPr>
              <w:t>Daroma prielaida, kad</w:t>
            </w:r>
            <w:r w:rsidR="00EB49A1" w:rsidRPr="00EE753B">
              <w:rPr>
                <w:sz w:val="22"/>
                <w:szCs w:val="22"/>
              </w:rPr>
              <w:t>,</w:t>
            </w:r>
            <w:r w:rsidRPr="00EE753B">
              <w:rPr>
                <w:sz w:val="22"/>
                <w:szCs w:val="22"/>
              </w:rPr>
              <w:t xml:space="preserve"> įgyvendinus visas investicines priemonės veiklas</w:t>
            </w:r>
            <w:r w:rsidR="001E0E0D" w:rsidRPr="00EE753B">
              <w:rPr>
                <w:sz w:val="22"/>
                <w:szCs w:val="22"/>
              </w:rPr>
              <w:t xml:space="preserve">, </w:t>
            </w:r>
            <w:r w:rsidR="00E52829" w:rsidRPr="00EE753B">
              <w:rPr>
                <w:sz w:val="22"/>
                <w:szCs w:val="22"/>
              </w:rPr>
              <w:t>nuo 2030</w:t>
            </w:r>
            <w:r w:rsidR="000D237B">
              <w:rPr>
                <w:sz w:val="22"/>
                <w:szCs w:val="22"/>
              </w:rPr>
              <w:t xml:space="preserve"> </w:t>
            </w:r>
            <w:r w:rsidR="00E52829" w:rsidRPr="00EE753B">
              <w:rPr>
                <w:sz w:val="22"/>
                <w:szCs w:val="22"/>
              </w:rPr>
              <w:t xml:space="preserve">m. </w:t>
            </w:r>
            <w:r w:rsidR="009B3F65" w:rsidRPr="00EE753B">
              <w:rPr>
                <w:sz w:val="22"/>
                <w:szCs w:val="22"/>
              </w:rPr>
              <w:t xml:space="preserve">kiekvienos </w:t>
            </w:r>
            <w:r w:rsidR="00185486" w:rsidRPr="00EE753B">
              <w:rPr>
                <w:sz w:val="22"/>
                <w:szCs w:val="22"/>
              </w:rPr>
              <w:t>šilumos tiekimo įmonių darbuotoja</w:t>
            </w:r>
            <w:r w:rsidR="009B3F65" w:rsidRPr="00EE753B">
              <w:rPr>
                <w:sz w:val="22"/>
                <w:szCs w:val="22"/>
              </w:rPr>
              <w:t>s</w:t>
            </w:r>
            <w:r w:rsidR="00185486" w:rsidRPr="00EE753B">
              <w:rPr>
                <w:sz w:val="22"/>
                <w:szCs w:val="22"/>
              </w:rPr>
              <w:t xml:space="preserve"> </w:t>
            </w:r>
            <w:r w:rsidR="009B3F65" w:rsidRPr="00EE753B">
              <w:rPr>
                <w:sz w:val="22"/>
                <w:szCs w:val="22"/>
              </w:rPr>
              <w:t xml:space="preserve">sutaupys po </w:t>
            </w:r>
            <w:r w:rsidR="00C82E61">
              <w:rPr>
                <w:sz w:val="22"/>
                <w:szCs w:val="22"/>
              </w:rPr>
              <w:t>4</w:t>
            </w:r>
            <w:r w:rsidR="009B3F65" w:rsidRPr="00EE753B">
              <w:rPr>
                <w:sz w:val="22"/>
                <w:szCs w:val="22"/>
              </w:rPr>
              <w:t xml:space="preserve"> darbo valandas per mėnesį, t</w:t>
            </w:r>
            <w:r w:rsidR="00C05449" w:rsidRPr="00EE753B">
              <w:rPr>
                <w:sz w:val="22"/>
                <w:szCs w:val="22"/>
              </w:rPr>
              <w:t>.</w:t>
            </w:r>
            <w:r w:rsidR="00A847DD" w:rsidRPr="00EE753B">
              <w:rPr>
                <w:sz w:val="22"/>
                <w:szCs w:val="22"/>
              </w:rPr>
              <w:t xml:space="preserve"> </w:t>
            </w:r>
            <w:r w:rsidR="00C05449" w:rsidRPr="00EE753B">
              <w:rPr>
                <w:sz w:val="22"/>
                <w:szCs w:val="22"/>
              </w:rPr>
              <w:t xml:space="preserve">y. </w:t>
            </w:r>
            <w:r w:rsidR="00C82E61">
              <w:rPr>
                <w:sz w:val="22"/>
                <w:szCs w:val="22"/>
              </w:rPr>
              <w:t>48</w:t>
            </w:r>
            <w:r w:rsidR="00C05449" w:rsidRPr="00EE753B">
              <w:rPr>
                <w:sz w:val="22"/>
                <w:szCs w:val="22"/>
              </w:rPr>
              <w:t xml:space="preserve"> darbo valandas per metus dėl pažangos priemonės lėšomis atliktų investicijų. </w:t>
            </w:r>
            <w:r w:rsidR="00096D4E" w:rsidRPr="00EE753B">
              <w:rPr>
                <w:sz w:val="22"/>
                <w:szCs w:val="22"/>
              </w:rPr>
              <w:t xml:space="preserve">Naudojami laiko ir piniginių sutaupymų įverčiai </w:t>
            </w:r>
            <w:r w:rsidR="00FD577E" w:rsidRPr="00EE753B">
              <w:rPr>
                <w:sz w:val="22"/>
                <w:szCs w:val="22"/>
              </w:rPr>
              <w:t>energetikos sektoriui</w:t>
            </w:r>
            <w:r w:rsidR="00C47101" w:rsidRPr="00EE753B">
              <w:rPr>
                <w:sz w:val="22"/>
                <w:szCs w:val="22"/>
              </w:rPr>
              <w:t xml:space="preserve"> pagal </w:t>
            </w:r>
            <w:r w:rsidR="00C47101" w:rsidRPr="00EE753B">
              <w:rPr>
                <w:iCs/>
                <w:sz w:val="22"/>
                <w:szCs w:val="22"/>
              </w:rPr>
              <w:t xml:space="preserve">Konversijos koeficientų apskaičiavimo ir išorinio socialinio-ekonominio poveikio (naudos/žalos) vertinimo </w:t>
            </w:r>
            <w:r w:rsidR="00C7765A" w:rsidRPr="00EE753B">
              <w:rPr>
                <w:bCs/>
                <w:sz w:val="22"/>
                <w:szCs w:val="22"/>
              </w:rPr>
              <w:t>metodik</w:t>
            </w:r>
            <w:r w:rsidR="00C47101" w:rsidRPr="00EE753B">
              <w:rPr>
                <w:rStyle w:val="Hyperlink"/>
                <w:bCs/>
                <w:color w:val="auto"/>
                <w:sz w:val="22"/>
                <w:szCs w:val="22"/>
                <w:u w:val="none"/>
              </w:rPr>
              <w:t>ą</w:t>
            </w:r>
            <w:r w:rsidR="00C47101" w:rsidRPr="00EE753B">
              <w:rPr>
                <w:bCs/>
                <w:sz w:val="22"/>
                <w:szCs w:val="22"/>
              </w:rPr>
              <w:t xml:space="preserve"> ir jos 5</w:t>
            </w:r>
            <w:r w:rsidR="00A847DD" w:rsidRPr="00EE753B">
              <w:rPr>
                <w:bCs/>
                <w:sz w:val="22"/>
                <w:szCs w:val="22"/>
              </w:rPr>
              <w:t>–</w:t>
            </w:r>
            <w:r w:rsidR="00C47101" w:rsidRPr="00EE753B">
              <w:rPr>
                <w:bCs/>
                <w:sz w:val="22"/>
                <w:szCs w:val="22"/>
              </w:rPr>
              <w:t>6 priedą</w:t>
            </w:r>
            <w:r w:rsidR="00FD577E" w:rsidRPr="00EE753B">
              <w:rPr>
                <w:sz w:val="22"/>
                <w:szCs w:val="22"/>
              </w:rPr>
              <w:t>.</w:t>
            </w:r>
            <w:r w:rsidR="009373B0" w:rsidRPr="00EE753B">
              <w:rPr>
                <w:sz w:val="22"/>
                <w:szCs w:val="22"/>
              </w:rPr>
              <w:t xml:space="preserve"> Apskaičiuota socialinė-ekonominė nauda dėl laiko ir piniginių sąnaudų sutaupymo perkelta į skaičiuoklės L.1.5 eilutę.</w:t>
            </w:r>
          </w:p>
        </w:tc>
      </w:tr>
    </w:tbl>
    <w:p w14:paraId="70650E3A" w14:textId="77777777" w:rsidR="00A13816" w:rsidRPr="00EE753B" w:rsidRDefault="00A13816">
      <w:pPr>
        <w:ind w:left="1080"/>
        <w:jc w:val="center"/>
        <w:rPr>
          <w:b/>
          <w:bCs/>
          <w:sz w:val="20"/>
        </w:rPr>
      </w:pPr>
    </w:p>
    <w:p w14:paraId="0CBF7215" w14:textId="44B0A366" w:rsidR="00A13816" w:rsidRPr="00EE753B" w:rsidRDefault="00A13816">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E753B" w14:paraId="090BD013" w14:textId="77777777">
        <w:tc>
          <w:tcPr>
            <w:tcW w:w="9818" w:type="dxa"/>
            <w:shd w:val="clear" w:color="auto" w:fill="DBE5F1" w:themeFill="accent1" w:themeFillTint="33"/>
          </w:tcPr>
          <w:p w14:paraId="27885A69" w14:textId="77777777" w:rsidR="00A13816" w:rsidRPr="00EE753B" w:rsidRDefault="00020307">
            <w:pPr>
              <w:keepNext/>
              <w:keepLines/>
              <w:jc w:val="center"/>
              <w:outlineLvl w:val="2"/>
              <w:rPr>
                <w:b/>
                <w:sz w:val="22"/>
                <w:szCs w:val="24"/>
              </w:rPr>
            </w:pPr>
            <w:r w:rsidRPr="00EE753B">
              <w:rPr>
                <w:b/>
                <w:sz w:val="22"/>
                <w:szCs w:val="24"/>
              </w:rPr>
              <w:t>ANTRASIS SKIRSNIS</w:t>
            </w:r>
          </w:p>
          <w:p w14:paraId="35012C43" w14:textId="77777777" w:rsidR="00A13816" w:rsidRPr="00EE753B" w:rsidRDefault="00020307">
            <w:pPr>
              <w:keepNext/>
              <w:keepLines/>
              <w:jc w:val="center"/>
              <w:outlineLvl w:val="2"/>
              <w:rPr>
                <w:b/>
                <w:caps/>
                <w:sz w:val="22"/>
                <w:szCs w:val="24"/>
              </w:rPr>
            </w:pPr>
            <w:r w:rsidRPr="00EE753B">
              <w:rPr>
                <w:b/>
                <w:caps/>
                <w:sz w:val="22"/>
                <w:szCs w:val="24"/>
              </w:rPr>
              <w:t>PLĖTROS PROGRAMOS PAŽANGOS Priemonės GERIAUSIOS alternatyvos PASIRINKIMAS</w:t>
            </w:r>
          </w:p>
        </w:tc>
      </w:tr>
      <w:tr w:rsidR="00A13816" w:rsidRPr="00EE753B" w14:paraId="25E3F5EC" w14:textId="77777777">
        <w:tc>
          <w:tcPr>
            <w:tcW w:w="9818" w:type="dxa"/>
          </w:tcPr>
          <w:p w14:paraId="04D7FD9E" w14:textId="7FAFD8AE" w:rsidR="00BA03B0" w:rsidRPr="00EE753B" w:rsidRDefault="00BA03B0" w:rsidP="00BA03B0">
            <w:pPr>
              <w:tabs>
                <w:tab w:val="left" w:pos="860"/>
              </w:tabs>
              <w:ind w:firstLine="567"/>
              <w:jc w:val="both"/>
              <w:rPr>
                <w:iCs/>
                <w:sz w:val="22"/>
                <w:szCs w:val="22"/>
              </w:rPr>
            </w:pPr>
            <w:r w:rsidRPr="00EE753B">
              <w:rPr>
                <w:iCs/>
                <w:sz w:val="22"/>
                <w:szCs w:val="22"/>
              </w:rPr>
              <w:t>Alternatyv</w:t>
            </w:r>
            <w:r w:rsidR="00D701E5" w:rsidRPr="00EE753B">
              <w:rPr>
                <w:iCs/>
                <w:sz w:val="22"/>
                <w:szCs w:val="22"/>
              </w:rPr>
              <w:t xml:space="preserve">os </w:t>
            </w:r>
            <w:r w:rsidR="008B4A30" w:rsidRPr="00EE753B">
              <w:rPr>
                <w:iCs/>
                <w:sz w:val="22"/>
                <w:szCs w:val="22"/>
              </w:rPr>
              <w:t xml:space="preserve">1 </w:t>
            </w:r>
            <w:r w:rsidR="00D701E5" w:rsidRPr="00EE753B">
              <w:rPr>
                <w:iCs/>
                <w:sz w:val="22"/>
                <w:szCs w:val="22"/>
              </w:rPr>
              <w:t xml:space="preserve">įvertinimas </w:t>
            </w:r>
            <w:r w:rsidRPr="00EE753B">
              <w:rPr>
                <w:iCs/>
                <w:sz w:val="22"/>
                <w:szCs w:val="22"/>
              </w:rPr>
              <w:t>atlik</w:t>
            </w:r>
            <w:r w:rsidR="00D701E5" w:rsidRPr="00EE753B">
              <w:rPr>
                <w:iCs/>
                <w:sz w:val="22"/>
                <w:szCs w:val="22"/>
              </w:rPr>
              <w:t>ta</w:t>
            </w:r>
            <w:r w:rsidRPr="00EE753B">
              <w:rPr>
                <w:iCs/>
                <w:sz w:val="22"/>
                <w:szCs w:val="22"/>
              </w:rPr>
              <w:t>s sąnaudų ir naudos analizės metodu naudojant skaičiuoklę, viešai paskelbtą adresu:</w:t>
            </w:r>
          </w:p>
          <w:p w14:paraId="6D295394" w14:textId="77777777" w:rsidR="00BA03B0" w:rsidRPr="00EE753B" w:rsidRDefault="00BA03B0" w:rsidP="00BA03B0">
            <w:pPr>
              <w:tabs>
                <w:tab w:val="left" w:pos="860"/>
              </w:tabs>
              <w:ind w:firstLine="567"/>
              <w:jc w:val="both"/>
              <w:rPr>
                <w:iCs/>
                <w:sz w:val="22"/>
                <w:szCs w:val="22"/>
              </w:rPr>
            </w:pPr>
            <w:hyperlink r:id="rId10" w:history="1">
              <w:r w:rsidRPr="00EE753B">
                <w:rPr>
                  <w:sz w:val="22"/>
                  <w:szCs w:val="22"/>
                </w:rPr>
                <w:t>https://www.ppplietuva.lt/lt/docview/?file=%2Fdocuments%2Ffiles%2FPriemoniu+skaiciuokle_v1_0_20210211.xlsm</w:t>
              </w:r>
            </w:hyperlink>
          </w:p>
          <w:p w14:paraId="65783E4A" w14:textId="4EFEB04A" w:rsidR="00BA03B0" w:rsidRPr="00EE753B" w:rsidRDefault="00BA03B0" w:rsidP="00BA03B0">
            <w:pPr>
              <w:ind w:firstLine="567"/>
              <w:jc w:val="both"/>
              <w:rPr>
                <w:iCs/>
                <w:sz w:val="22"/>
                <w:szCs w:val="22"/>
              </w:rPr>
            </w:pPr>
            <w:r w:rsidRPr="00EE753B">
              <w:rPr>
                <w:iCs/>
                <w:sz w:val="22"/>
                <w:szCs w:val="22"/>
              </w:rPr>
              <w:t>Naudojant skaičiuoklę apskaičiuot</w:t>
            </w:r>
            <w:r w:rsidR="00D701E5" w:rsidRPr="00EE753B">
              <w:rPr>
                <w:iCs/>
                <w:sz w:val="22"/>
                <w:szCs w:val="22"/>
              </w:rPr>
              <w:t>a</w:t>
            </w:r>
            <w:r w:rsidRPr="00EE753B">
              <w:rPr>
                <w:iCs/>
                <w:sz w:val="22"/>
                <w:szCs w:val="22"/>
              </w:rPr>
              <w:t xml:space="preserve"> alternatyvos palyginamojo rodiklio (ekonominio naudos ir išlaidų santykio) reikšmė:</w:t>
            </w:r>
          </w:p>
          <w:p w14:paraId="50FA9AFD" w14:textId="77777777" w:rsidR="00BA03B0" w:rsidRPr="00EE753B" w:rsidRDefault="00BA03B0" w:rsidP="00BA03B0">
            <w:pPr>
              <w:jc w:val="both"/>
              <w:rPr>
                <w:i/>
                <w:color w:val="808080" w:themeColor="background1" w:themeShade="80"/>
                <w:sz w:val="22"/>
                <w:szCs w:val="22"/>
              </w:rPr>
            </w:pPr>
          </w:p>
          <w:p w14:paraId="3918AA49" w14:textId="6DB728DD" w:rsidR="00BA03B0" w:rsidRPr="00EE753B" w:rsidRDefault="00BA03B0" w:rsidP="00BA03B0">
            <w:pPr>
              <w:pStyle w:val="Caption"/>
              <w:rPr>
                <w:sz w:val="22"/>
                <w:szCs w:val="22"/>
              </w:rPr>
            </w:pPr>
            <w:r w:rsidRPr="00EE753B">
              <w:rPr>
                <w:sz w:val="22"/>
                <w:szCs w:val="22"/>
              </w:rPr>
              <w:t xml:space="preserve">Lentelė </w:t>
            </w:r>
            <w:r w:rsidRPr="00EE753B">
              <w:rPr>
                <w:sz w:val="22"/>
                <w:szCs w:val="22"/>
              </w:rPr>
              <w:fldChar w:fldCharType="begin"/>
            </w:r>
            <w:r w:rsidRPr="00EE753B">
              <w:rPr>
                <w:sz w:val="22"/>
                <w:szCs w:val="22"/>
              </w:rPr>
              <w:instrText xml:space="preserve"> SEQ Lentelė \* ARABIC </w:instrText>
            </w:r>
            <w:r w:rsidRPr="00EE753B">
              <w:rPr>
                <w:sz w:val="22"/>
                <w:szCs w:val="22"/>
              </w:rPr>
              <w:fldChar w:fldCharType="separate"/>
            </w:r>
            <w:r w:rsidR="00BA0667" w:rsidRPr="00EE753B">
              <w:rPr>
                <w:noProof/>
                <w:sz w:val="22"/>
                <w:szCs w:val="22"/>
              </w:rPr>
              <w:t>6</w:t>
            </w:r>
            <w:r w:rsidRPr="00EE753B">
              <w:rPr>
                <w:noProof/>
                <w:sz w:val="22"/>
                <w:szCs w:val="22"/>
              </w:rPr>
              <w:fldChar w:fldCharType="end"/>
            </w:r>
            <w:r w:rsidRPr="00EE753B">
              <w:rPr>
                <w:sz w:val="22"/>
                <w:szCs w:val="22"/>
              </w:rPr>
              <w:t>. Alternatyv</w:t>
            </w:r>
            <w:r w:rsidR="00E841C8" w:rsidRPr="00EE753B">
              <w:rPr>
                <w:sz w:val="22"/>
                <w:szCs w:val="22"/>
              </w:rPr>
              <w:t>os</w:t>
            </w:r>
            <w:r w:rsidRPr="00EE753B">
              <w:rPr>
                <w:sz w:val="22"/>
                <w:szCs w:val="22"/>
              </w:rPr>
              <w:t xml:space="preserve"> </w:t>
            </w:r>
            <w:r w:rsidR="008B4A30" w:rsidRPr="00EE753B">
              <w:rPr>
                <w:sz w:val="22"/>
                <w:szCs w:val="22"/>
              </w:rPr>
              <w:t xml:space="preserve">1 </w:t>
            </w:r>
            <w:r w:rsidRPr="00EE753B">
              <w:rPr>
                <w:sz w:val="22"/>
                <w:szCs w:val="22"/>
              </w:rPr>
              <w:t>ekonominės naudos ir išlaidų santyki</w:t>
            </w:r>
            <w:r w:rsidR="00E841C8" w:rsidRPr="00EE753B">
              <w:rPr>
                <w:sz w:val="22"/>
                <w:szCs w:val="22"/>
              </w:rPr>
              <w:t>o</w:t>
            </w:r>
            <w:r w:rsidRPr="00EE753B">
              <w:rPr>
                <w:sz w:val="22"/>
                <w:szCs w:val="22"/>
              </w:rPr>
              <w:t xml:space="preserve"> (ENIS) reikšm</w:t>
            </w:r>
            <w:r w:rsidR="00E841C8" w:rsidRPr="00EE753B">
              <w:rPr>
                <w:sz w:val="22"/>
                <w:szCs w:val="22"/>
              </w:rPr>
              <w:t>ė</w:t>
            </w:r>
            <w:r w:rsidRPr="00EE753B">
              <w:rPr>
                <w:sz w:val="22"/>
                <w:szCs w:val="22"/>
              </w:rPr>
              <w:t xml:space="preserve"> </w:t>
            </w:r>
          </w:p>
          <w:tbl>
            <w:tblPr>
              <w:tblStyle w:val="TableGrid"/>
              <w:tblW w:w="0" w:type="auto"/>
              <w:tblCellMar>
                <w:left w:w="28" w:type="dxa"/>
                <w:right w:w="28" w:type="dxa"/>
              </w:tblCellMar>
              <w:tblLook w:val="04A0" w:firstRow="1" w:lastRow="0" w:firstColumn="1" w:lastColumn="0" w:noHBand="0" w:noVBand="1"/>
            </w:tblPr>
            <w:tblGrid>
              <w:gridCol w:w="7818"/>
              <w:gridCol w:w="1584"/>
            </w:tblGrid>
            <w:tr w:rsidR="00BA03B0" w:rsidRPr="00EE753B" w14:paraId="164AD955" w14:textId="77777777" w:rsidTr="00190FE0">
              <w:trPr>
                <w:tblHeader/>
              </w:trPr>
              <w:tc>
                <w:tcPr>
                  <w:tcW w:w="7818" w:type="dxa"/>
                  <w:shd w:val="clear" w:color="auto" w:fill="D7E6C8"/>
                  <w:noWrap/>
                  <w:hideMark/>
                </w:tcPr>
                <w:p w14:paraId="02498C36" w14:textId="77777777" w:rsidR="00BA03B0" w:rsidRPr="00EE753B" w:rsidRDefault="00BA03B0" w:rsidP="00BA03B0">
                  <w:pPr>
                    <w:jc w:val="center"/>
                    <w:rPr>
                      <w:b/>
                      <w:sz w:val="22"/>
                      <w:szCs w:val="22"/>
                    </w:rPr>
                  </w:pPr>
                  <w:r w:rsidRPr="00EE753B">
                    <w:rPr>
                      <w:b/>
                      <w:sz w:val="22"/>
                      <w:szCs w:val="22"/>
                    </w:rPr>
                    <w:t>Alternatyva</w:t>
                  </w:r>
                </w:p>
              </w:tc>
              <w:tc>
                <w:tcPr>
                  <w:tcW w:w="1584" w:type="dxa"/>
                  <w:shd w:val="clear" w:color="auto" w:fill="D7E6C8"/>
                  <w:hideMark/>
                </w:tcPr>
                <w:p w14:paraId="5A94B75A" w14:textId="77777777" w:rsidR="00BA03B0" w:rsidRPr="00EE753B" w:rsidRDefault="00BA03B0" w:rsidP="00BA03B0">
                  <w:pPr>
                    <w:jc w:val="center"/>
                    <w:rPr>
                      <w:b/>
                      <w:sz w:val="22"/>
                      <w:szCs w:val="22"/>
                    </w:rPr>
                  </w:pPr>
                  <w:r w:rsidRPr="00EE753B">
                    <w:rPr>
                      <w:b/>
                      <w:sz w:val="22"/>
                      <w:szCs w:val="22"/>
                    </w:rPr>
                    <w:t>Ekonominės naudos ir išlaidų santykis (ENIS)</w:t>
                  </w:r>
                </w:p>
              </w:tc>
            </w:tr>
            <w:tr w:rsidR="00BA03B0" w:rsidRPr="00EE753B" w14:paraId="6EB2ECCB" w14:textId="77777777" w:rsidTr="00190FE0">
              <w:tc>
                <w:tcPr>
                  <w:tcW w:w="7818" w:type="dxa"/>
                  <w:shd w:val="clear" w:color="auto" w:fill="auto"/>
                  <w:noWrap/>
                  <w:hideMark/>
                </w:tcPr>
                <w:p w14:paraId="50804FFE" w14:textId="1E4CB511" w:rsidR="00BA03B0" w:rsidRPr="00EE753B" w:rsidRDefault="00BA03B0" w:rsidP="00BA03B0">
                  <w:pPr>
                    <w:jc w:val="center"/>
                    <w:rPr>
                      <w:sz w:val="22"/>
                      <w:szCs w:val="22"/>
                    </w:rPr>
                  </w:pPr>
                  <w:r w:rsidRPr="00EE753B">
                    <w:rPr>
                      <w:sz w:val="22"/>
                      <w:szCs w:val="22"/>
                    </w:rPr>
                    <w:t xml:space="preserve">Alternatyva 1. </w:t>
                  </w:r>
                  <w:r w:rsidR="00BF3695" w:rsidRPr="00EE753B">
                    <w:rPr>
                      <w:sz w:val="22"/>
                      <w:szCs w:val="22"/>
                    </w:rPr>
                    <w:t>2021</w:t>
                  </w:r>
                  <w:r w:rsidR="00A847DD" w:rsidRPr="00EE753B">
                    <w:rPr>
                      <w:sz w:val="22"/>
                      <w:szCs w:val="22"/>
                    </w:rPr>
                    <w:t>–</w:t>
                  </w:r>
                  <w:r w:rsidR="00BF3695" w:rsidRPr="00EE753B">
                    <w:rPr>
                      <w:sz w:val="22"/>
                      <w:szCs w:val="22"/>
                    </w:rPr>
                    <w:t>2027 IP suderintų veiklų ir jų apimčių vykdymas</w:t>
                  </w:r>
                </w:p>
              </w:tc>
              <w:tc>
                <w:tcPr>
                  <w:tcW w:w="1584" w:type="dxa"/>
                  <w:shd w:val="clear" w:color="auto" w:fill="auto"/>
                  <w:noWrap/>
                </w:tcPr>
                <w:p w14:paraId="6589B35D" w14:textId="46523FB6" w:rsidR="00BA03B0" w:rsidRPr="00EE753B" w:rsidRDefault="008C151E" w:rsidP="00BA03B0">
                  <w:pPr>
                    <w:jc w:val="center"/>
                    <w:rPr>
                      <w:sz w:val="22"/>
                      <w:szCs w:val="22"/>
                    </w:rPr>
                  </w:pPr>
                  <w:r w:rsidRPr="00EE753B">
                    <w:rPr>
                      <w:sz w:val="22"/>
                      <w:szCs w:val="22"/>
                    </w:rPr>
                    <w:t>3,</w:t>
                  </w:r>
                  <w:r w:rsidR="00024574">
                    <w:rPr>
                      <w:sz w:val="22"/>
                      <w:szCs w:val="22"/>
                    </w:rPr>
                    <w:t>72</w:t>
                  </w:r>
                </w:p>
              </w:tc>
            </w:tr>
          </w:tbl>
          <w:p w14:paraId="1B4307D0" w14:textId="77777777" w:rsidR="00BA03B0" w:rsidRPr="00EE753B" w:rsidRDefault="00BA03B0" w:rsidP="00BA03B0">
            <w:pPr>
              <w:tabs>
                <w:tab w:val="left" w:pos="598"/>
              </w:tabs>
              <w:jc w:val="both"/>
              <w:rPr>
                <w:i/>
                <w:sz w:val="22"/>
                <w:szCs w:val="22"/>
              </w:rPr>
            </w:pPr>
            <w:r w:rsidRPr="00EE753B">
              <w:rPr>
                <w:i/>
                <w:sz w:val="22"/>
                <w:szCs w:val="22"/>
              </w:rPr>
              <w:t>Šaltinis: skaičiuoklės darbalapis „Rezultatai“.</w:t>
            </w:r>
          </w:p>
          <w:p w14:paraId="758F756D" w14:textId="77777777" w:rsidR="00BA03B0" w:rsidRPr="00EE753B" w:rsidRDefault="00BA03B0" w:rsidP="00BA03B0">
            <w:pPr>
              <w:rPr>
                <w:sz w:val="22"/>
                <w:szCs w:val="22"/>
              </w:rPr>
            </w:pPr>
          </w:p>
          <w:p w14:paraId="1B98BFA6" w14:textId="58D41800" w:rsidR="00BA03B0" w:rsidRPr="00EE753B" w:rsidRDefault="008B4A30" w:rsidP="00BA03B0">
            <w:pPr>
              <w:ind w:firstLine="567"/>
              <w:jc w:val="both"/>
              <w:rPr>
                <w:iCs/>
                <w:sz w:val="22"/>
                <w:szCs w:val="22"/>
              </w:rPr>
            </w:pPr>
            <w:r w:rsidRPr="00EE753B">
              <w:rPr>
                <w:iCs/>
                <w:sz w:val="22"/>
                <w:szCs w:val="22"/>
              </w:rPr>
              <w:t>A</w:t>
            </w:r>
            <w:r w:rsidR="00BA03B0" w:rsidRPr="00EE753B">
              <w:rPr>
                <w:iCs/>
                <w:sz w:val="22"/>
                <w:szCs w:val="22"/>
              </w:rPr>
              <w:t>lternatyv</w:t>
            </w:r>
            <w:r w:rsidRPr="00EE753B">
              <w:rPr>
                <w:iCs/>
                <w:sz w:val="22"/>
                <w:szCs w:val="22"/>
              </w:rPr>
              <w:t>os 1 įgyvendinimo</w:t>
            </w:r>
            <w:r w:rsidR="00BA03B0" w:rsidRPr="00EE753B">
              <w:rPr>
                <w:iCs/>
                <w:sz w:val="22"/>
                <w:szCs w:val="22"/>
              </w:rPr>
              <w:t xml:space="preserve"> poveikis viešiesiems finansams nurodytas lentelėse žemiau.</w:t>
            </w:r>
          </w:p>
          <w:p w14:paraId="4DFD1041" w14:textId="11BBE816" w:rsidR="00BA03B0" w:rsidRPr="00EE753B" w:rsidRDefault="00BA03B0" w:rsidP="00BA03B0">
            <w:pPr>
              <w:pStyle w:val="Caption"/>
              <w:rPr>
                <w:iCs w:val="0"/>
                <w:sz w:val="22"/>
                <w:szCs w:val="22"/>
              </w:rPr>
            </w:pPr>
            <w:r w:rsidRPr="00EE753B">
              <w:rPr>
                <w:sz w:val="22"/>
                <w:szCs w:val="22"/>
              </w:rPr>
              <w:t xml:space="preserve">Lentelė </w:t>
            </w:r>
            <w:r w:rsidRPr="00EE753B">
              <w:rPr>
                <w:sz w:val="22"/>
                <w:szCs w:val="22"/>
              </w:rPr>
              <w:fldChar w:fldCharType="begin"/>
            </w:r>
            <w:r w:rsidRPr="00EE753B">
              <w:rPr>
                <w:sz w:val="22"/>
                <w:szCs w:val="22"/>
              </w:rPr>
              <w:instrText xml:space="preserve"> SEQ Lentelė \* ARABIC </w:instrText>
            </w:r>
            <w:r w:rsidRPr="00EE753B">
              <w:rPr>
                <w:sz w:val="22"/>
                <w:szCs w:val="22"/>
              </w:rPr>
              <w:fldChar w:fldCharType="separate"/>
            </w:r>
            <w:r w:rsidR="00BA0667" w:rsidRPr="00EE753B">
              <w:rPr>
                <w:noProof/>
                <w:sz w:val="22"/>
                <w:szCs w:val="22"/>
              </w:rPr>
              <w:t>7</w:t>
            </w:r>
            <w:r w:rsidRPr="00EE753B">
              <w:rPr>
                <w:noProof/>
                <w:sz w:val="22"/>
                <w:szCs w:val="22"/>
              </w:rPr>
              <w:fldChar w:fldCharType="end"/>
            </w:r>
            <w:r w:rsidRPr="00EE753B">
              <w:rPr>
                <w:sz w:val="22"/>
                <w:szCs w:val="22"/>
              </w:rPr>
              <w:t>. Alternatyvos 1 poveikis viešiesiems finansams</w:t>
            </w:r>
          </w:p>
          <w:tbl>
            <w:tblPr>
              <w:tblStyle w:val="TableGrid"/>
              <w:tblW w:w="5000" w:type="pct"/>
              <w:tblCellMar>
                <w:left w:w="28" w:type="dxa"/>
                <w:right w:w="28" w:type="dxa"/>
              </w:tblCellMar>
              <w:tblLook w:val="04A0" w:firstRow="1" w:lastRow="0" w:firstColumn="1" w:lastColumn="0" w:noHBand="0" w:noVBand="1"/>
            </w:tblPr>
            <w:tblGrid>
              <w:gridCol w:w="647"/>
              <w:gridCol w:w="5038"/>
              <w:gridCol w:w="1858"/>
              <w:gridCol w:w="1859"/>
            </w:tblGrid>
            <w:tr w:rsidR="00BA0667" w:rsidRPr="00EE753B" w14:paraId="03B00F86" w14:textId="77777777" w:rsidTr="00953208">
              <w:trPr>
                <w:tblHeader/>
              </w:trPr>
              <w:tc>
                <w:tcPr>
                  <w:tcW w:w="370" w:type="pct"/>
                  <w:shd w:val="clear" w:color="auto" w:fill="D7E6C8"/>
                  <w:noWrap/>
                  <w:hideMark/>
                </w:tcPr>
                <w:p w14:paraId="00657C5D" w14:textId="77777777" w:rsidR="00BA03B0" w:rsidRPr="00EE753B" w:rsidRDefault="00BA03B0" w:rsidP="00BA0667">
                  <w:pPr>
                    <w:jc w:val="center"/>
                    <w:rPr>
                      <w:rFonts w:ascii="Arial" w:hAnsi="Arial" w:cs="Arial"/>
                      <w:b/>
                      <w:sz w:val="18"/>
                    </w:rPr>
                  </w:pPr>
                  <w:r w:rsidRPr="00EE753B">
                    <w:rPr>
                      <w:rFonts w:ascii="Arial" w:hAnsi="Arial" w:cs="Arial"/>
                      <w:b/>
                      <w:sz w:val="18"/>
                    </w:rPr>
                    <w:t>Kodas</w:t>
                  </w:r>
                </w:p>
              </w:tc>
              <w:tc>
                <w:tcPr>
                  <w:tcW w:w="2602" w:type="pct"/>
                  <w:shd w:val="clear" w:color="auto" w:fill="D7E6C8"/>
                  <w:noWrap/>
                  <w:hideMark/>
                </w:tcPr>
                <w:p w14:paraId="50609ABB" w14:textId="77777777" w:rsidR="00BA03B0" w:rsidRPr="00EE753B" w:rsidRDefault="00BA03B0" w:rsidP="00BA0667">
                  <w:pPr>
                    <w:jc w:val="center"/>
                    <w:rPr>
                      <w:rFonts w:ascii="Arial" w:hAnsi="Arial" w:cs="Arial"/>
                      <w:b/>
                      <w:sz w:val="18"/>
                    </w:rPr>
                  </w:pPr>
                  <w:r w:rsidRPr="00EE753B">
                    <w:rPr>
                      <w:rFonts w:ascii="Arial" w:hAnsi="Arial" w:cs="Arial"/>
                      <w:b/>
                      <w:sz w:val="18"/>
                    </w:rPr>
                    <w:t>Viešųjų finansų srautas</w:t>
                  </w:r>
                </w:p>
              </w:tc>
              <w:tc>
                <w:tcPr>
                  <w:tcW w:w="1014" w:type="pct"/>
                  <w:shd w:val="clear" w:color="auto" w:fill="D7E6C8"/>
                  <w:hideMark/>
                </w:tcPr>
                <w:p w14:paraId="251CD273" w14:textId="77777777" w:rsidR="00BA03B0" w:rsidRPr="00EE753B" w:rsidRDefault="00BA03B0" w:rsidP="00BA0667">
                  <w:pPr>
                    <w:jc w:val="center"/>
                    <w:rPr>
                      <w:rFonts w:ascii="Arial" w:hAnsi="Arial" w:cs="Arial"/>
                      <w:b/>
                      <w:sz w:val="18"/>
                    </w:rPr>
                  </w:pPr>
                  <w:r w:rsidRPr="00EE753B">
                    <w:rPr>
                      <w:rFonts w:ascii="Arial" w:hAnsi="Arial" w:cs="Arial"/>
                      <w:b/>
                      <w:sz w:val="18"/>
                    </w:rPr>
                    <w:t>Grynoji dabartinė vertė</w:t>
                  </w:r>
                </w:p>
              </w:tc>
              <w:tc>
                <w:tcPr>
                  <w:tcW w:w="1014" w:type="pct"/>
                  <w:shd w:val="clear" w:color="auto" w:fill="D7E6C8"/>
                  <w:noWrap/>
                  <w:hideMark/>
                </w:tcPr>
                <w:p w14:paraId="5DC257D3" w14:textId="77777777" w:rsidR="00BA03B0" w:rsidRPr="00EE753B" w:rsidRDefault="00BA03B0" w:rsidP="00BA0667">
                  <w:pPr>
                    <w:jc w:val="center"/>
                    <w:rPr>
                      <w:rFonts w:ascii="Arial" w:hAnsi="Arial" w:cs="Arial"/>
                      <w:b/>
                      <w:sz w:val="18"/>
                    </w:rPr>
                  </w:pPr>
                  <w:r w:rsidRPr="00EE753B">
                    <w:rPr>
                      <w:rFonts w:ascii="Arial" w:hAnsi="Arial" w:cs="Arial"/>
                      <w:b/>
                      <w:sz w:val="18"/>
                    </w:rPr>
                    <w:t>Reali vertė</w:t>
                  </w:r>
                </w:p>
              </w:tc>
            </w:tr>
            <w:tr w:rsidR="00BA0667" w:rsidRPr="00EE753B" w14:paraId="5626AE9C" w14:textId="77777777" w:rsidTr="00BA0667">
              <w:tc>
                <w:tcPr>
                  <w:tcW w:w="370" w:type="pct"/>
                  <w:shd w:val="clear" w:color="auto" w:fill="auto"/>
                  <w:noWrap/>
                  <w:hideMark/>
                </w:tcPr>
                <w:p w14:paraId="1450414D" w14:textId="77777777" w:rsidR="00BA0667" w:rsidRPr="00EE753B" w:rsidRDefault="00BA0667" w:rsidP="00BA0667">
                  <w:pPr>
                    <w:jc w:val="center"/>
                    <w:rPr>
                      <w:rFonts w:ascii="Arial" w:hAnsi="Arial" w:cs="Arial"/>
                      <w:sz w:val="18"/>
                    </w:rPr>
                  </w:pPr>
                  <w:r w:rsidRPr="00EE753B">
                    <w:rPr>
                      <w:rFonts w:ascii="Arial" w:hAnsi="Arial" w:cs="Arial"/>
                      <w:sz w:val="18"/>
                    </w:rPr>
                    <w:t>S.</w:t>
                  </w:r>
                </w:p>
              </w:tc>
              <w:tc>
                <w:tcPr>
                  <w:tcW w:w="2602" w:type="pct"/>
                  <w:shd w:val="clear" w:color="auto" w:fill="auto"/>
                  <w:hideMark/>
                </w:tcPr>
                <w:p w14:paraId="65E5F499" w14:textId="77777777" w:rsidR="00BA0667" w:rsidRPr="00EE753B" w:rsidRDefault="00BA0667" w:rsidP="00BA0667">
                  <w:pPr>
                    <w:jc w:val="center"/>
                    <w:rPr>
                      <w:rFonts w:ascii="Arial" w:hAnsi="Arial" w:cs="Arial"/>
                      <w:sz w:val="18"/>
                    </w:rPr>
                  </w:pPr>
                  <w:r w:rsidRPr="00EE753B">
                    <w:rPr>
                      <w:rFonts w:ascii="Arial" w:hAnsi="Arial" w:cs="Arial"/>
                      <w:sz w:val="18"/>
                    </w:rPr>
                    <w:t>Investicijų, reinvesticijų ir grynasis veiklos srautas (be PVM)</w:t>
                  </w:r>
                </w:p>
              </w:tc>
              <w:tc>
                <w:tcPr>
                  <w:tcW w:w="1014" w:type="pct"/>
                  <w:shd w:val="clear" w:color="auto" w:fill="auto"/>
                  <w:hideMark/>
                </w:tcPr>
                <w:p w14:paraId="41E57251" w14:textId="06C91466" w:rsidR="00BA0667" w:rsidRPr="00EE753B" w:rsidRDefault="00BA05D3" w:rsidP="00024574">
                  <w:pPr>
                    <w:jc w:val="center"/>
                    <w:rPr>
                      <w:rFonts w:ascii="Arial" w:hAnsi="Arial" w:cs="Arial"/>
                      <w:sz w:val="18"/>
                    </w:rPr>
                  </w:pPr>
                  <w:r>
                    <w:rPr>
                      <w:rFonts w:ascii="Arial" w:hAnsi="Arial" w:cs="Arial"/>
                      <w:sz w:val="18"/>
                    </w:rPr>
                    <w:t>3</w:t>
                  </w:r>
                  <w:r w:rsidR="00D04CE2">
                    <w:rPr>
                      <w:rFonts w:ascii="Arial" w:hAnsi="Arial" w:cs="Arial"/>
                      <w:sz w:val="18"/>
                    </w:rPr>
                    <w:t>9</w:t>
                  </w:r>
                  <w:r>
                    <w:rPr>
                      <w:rFonts w:ascii="Arial" w:hAnsi="Arial" w:cs="Arial"/>
                      <w:sz w:val="18"/>
                    </w:rPr>
                    <w:t xml:space="preserve"> 084 430</w:t>
                  </w:r>
                </w:p>
              </w:tc>
              <w:tc>
                <w:tcPr>
                  <w:tcW w:w="1014" w:type="pct"/>
                  <w:shd w:val="clear" w:color="auto" w:fill="auto"/>
                  <w:hideMark/>
                </w:tcPr>
                <w:p w14:paraId="3317A7B4" w14:textId="3C969797" w:rsidR="00F06ADD" w:rsidRPr="00F06ADD" w:rsidRDefault="00F06ADD" w:rsidP="00F06ADD">
                  <w:pPr>
                    <w:jc w:val="center"/>
                    <w:rPr>
                      <w:rFonts w:ascii="Arial" w:hAnsi="Arial" w:cs="Arial"/>
                      <w:sz w:val="18"/>
                    </w:rPr>
                  </w:pPr>
                  <w:r w:rsidRPr="00F06ADD">
                    <w:rPr>
                      <w:rFonts w:ascii="Arial" w:hAnsi="Arial" w:cs="Arial"/>
                      <w:sz w:val="18"/>
                    </w:rPr>
                    <w:t>5</w:t>
                  </w:r>
                  <w:r w:rsidR="00A858DE">
                    <w:rPr>
                      <w:rFonts w:ascii="Arial" w:hAnsi="Arial" w:cs="Arial"/>
                      <w:sz w:val="18"/>
                    </w:rPr>
                    <w:t>5</w:t>
                  </w:r>
                  <w:r w:rsidRPr="00F06ADD">
                    <w:rPr>
                      <w:rFonts w:ascii="Arial" w:hAnsi="Arial" w:cs="Arial"/>
                      <w:sz w:val="18"/>
                    </w:rPr>
                    <w:t xml:space="preserve"> </w:t>
                  </w:r>
                  <w:r w:rsidR="00A858DE">
                    <w:rPr>
                      <w:rFonts w:ascii="Arial" w:hAnsi="Arial" w:cs="Arial"/>
                      <w:sz w:val="18"/>
                    </w:rPr>
                    <w:t>054</w:t>
                  </w:r>
                  <w:r w:rsidRPr="00F06ADD">
                    <w:rPr>
                      <w:rFonts w:ascii="Arial" w:hAnsi="Arial" w:cs="Arial"/>
                      <w:sz w:val="18"/>
                    </w:rPr>
                    <w:t xml:space="preserve"> </w:t>
                  </w:r>
                  <w:r w:rsidR="00A858DE">
                    <w:rPr>
                      <w:rFonts w:ascii="Arial" w:hAnsi="Arial" w:cs="Arial"/>
                      <w:sz w:val="18"/>
                    </w:rPr>
                    <w:t>545</w:t>
                  </w:r>
                </w:p>
                <w:p w14:paraId="1A5F5403" w14:textId="439733E3" w:rsidR="00BA0667" w:rsidRPr="00EE753B" w:rsidRDefault="00BA0667" w:rsidP="00BA0667">
                  <w:pPr>
                    <w:jc w:val="center"/>
                    <w:rPr>
                      <w:rFonts w:ascii="Arial" w:hAnsi="Arial" w:cs="Arial"/>
                      <w:sz w:val="18"/>
                    </w:rPr>
                  </w:pPr>
                </w:p>
              </w:tc>
            </w:tr>
            <w:tr w:rsidR="00BA0667" w:rsidRPr="00EE753B" w14:paraId="098A7632" w14:textId="77777777" w:rsidTr="00BA0667">
              <w:tc>
                <w:tcPr>
                  <w:tcW w:w="370" w:type="pct"/>
                  <w:shd w:val="clear" w:color="auto" w:fill="auto"/>
                  <w:noWrap/>
                  <w:hideMark/>
                </w:tcPr>
                <w:p w14:paraId="2505875E" w14:textId="77777777" w:rsidR="00BA0667" w:rsidRPr="00EE753B" w:rsidRDefault="00BA0667" w:rsidP="00BA0667">
                  <w:pPr>
                    <w:jc w:val="center"/>
                    <w:rPr>
                      <w:rFonts w:ascii="Arial" w:hAnsi="Arial" w:cs="Arial"/>
                      <w:sz w:val="18"/>
                    </w:rPr>
                  </w:pPr>
                  <w:r w:rsidRPr="00EE753B">
                    <w:rPr>
                      <w:rFonts w:ascii="Arial" w:hAnsi="Arial" w:cs="Arial"/>
                      <w:sz w:val="18"/>
                    </w:rPr>
                    <w:t>T.</w:t>
                  </w:r>
                </w:p>
              </w:tc>
              <w:tc>
                <w:tcPr>
                  <w:tcW w:w="2602" w:type="pct"/>
                  <w:shd w:val="clear" w:color="auto" w:fill="auto"/>
                  <w:noWrap/>
                  <w:hideMark/>
                </w:tcPr>
                <w:p w14:paraId="6026DBD1" w14:textId="77777777" w:rsidR="00BA0667" w:rsidRPr="00EE753B" w:rsidRDefault="00BA0667" w:rsidP="00BA0667">
                  <w:pPr>
                    <w:jc w:val="center"/>
                    <w:rPr>
                      <w:rFonts w:ascii="Arial" w:hAnsi="Arial" w:cs="Arial"/>
                      <w:sz w:val="18"/>
                    </w:rPr>
                  </w:pPr>
                  <w:r w:rsidRPr="00EE753B">
                    <w:rPr>
                      <w:rFonts w:ascii="Arial" w:hAnsi="Arial" w:cs="Arial"/>
                      <w:sz w:val="18"/>
                    </w:rPr>
                    <w:t>Privataus ir NVO sektoriaus grynasis veiklos srautas (be PVM)</w:t>
                  </w:r>
                </w:p>
              </w:tc>
              <w:tc>
                <w:tcPr>
                  <w:tcW w:w="1014" w:type="pct"/>
                  <w:shd w:val="clear" w:color="auto" w:fill="auto"/>
                  <w:hideMark/>
                </w:tcPr>
                <w:p w14:paraId="4DCBC362" w14:textId="78424AAD" w:rsidR="00BA0667" w:rsidRPr="00EE753B" w:rsidRDefault="00BA05D3" w:rsidP="00BA0667">
                  <w:pPr>
                    <w:jc w:val="center"/>
                    <w:rPr>
                      <w:rFonts w:ascii="Arial" w:hAnsi="Arial" w:cs="Arial"/>
                      <w:sz w:val="18"/>
                    </w:rPr>
                  </w:pPr>
                  <w:r>
                    <w:rPr>
                      <w:rFonts w:ascii="Arial" w:hAnsi="Arial" w:cs="Arial"/>
                      <w:sz w:val="18"/>
                    </w:rPr>
                    <w:t>0</w:t>
                  </w:r>
                </w:p>
              </w:tc>
              <w:tc>
                <w:tcPr>
                  <w:tcW w:w="1014" w:type="pct"/>
                  <w:shd w:val="clear" w:color="auto" w:fill="auto"/>
                  <w:hideMark/>
                </w:tcPr>
                <w:p w14:paraId="1D135401" w14:textId="1752CA25" w:rsidR="00BA0667" w:rsidRPr="00EE753B" w:rsidRDefault="00BA05D3" w:rsidP="00BA0667">
                  <w:pPr>
                    <w:jc w:val="center"/>
                    <w:rPr>
                      <w:rFonts w:ascii="Arial" w:hAnsi="Arial" w:cs="Arial"/>
                      <w:sz w:val="18"/>
                    </w:rPr>
                  </w:pPr>
                  <w:r>
                    <w:rPr>
                      <w:rFonts w:ascii="Arial" w:hAnsi="Arial" w:cs="Arial"/>
                      <w:sz w:val="18"/>
                    </w:rPr>
                    <w:t>0</w:t>
                  </w:r>
                </w:p>
              </w:tc>
            </w:tr>
            <w:tr w:rsidR="00BA0667" w:rsidRPr="00EE753B" w14:paraId="1853A9A5" w14:textId="77777777" w:rsidTr="00BA0667">
              <w:tc>
                <w:tcPr>
                  <w:tcW w:w="370" w:type="pct"/>
                  <w:shd w:val="clear" w:color="auto" w:fill="auto"/>
                  <w:noWrap/>
                  <w:hideMark/>
                </w:tcPr>
                <w:p w14:paraId="1FE508C0" w14:textId="77777777" w:rsidR="00BA0667" w:rsidRPr="00EE753B" w:rsidRDefault="00BA0667" w:rsidP="00BA0667">
                  <w:pPr>
                    <w:jc w:val="center"/>
                    <w:rPr>
                      <w:rFonts w:ascii="Arial" w:hAnsi="Arial" w:cs="Arial"/>
                      <w:sz w:val="18"/>
                    </w:rPr>
                  </w:pPr>
                  <w:r w:rsidRPr="00EE753B">
                    <w:rPr>
                      <w:rFonts w:ascii="Arial" w:hAnsi="Arial" w:cs="Arial"/>
                      <w:sz w:val="18"/>
                    </w:rPr>
                    <w:t>U.</w:t>
                  </w:r>
                </w:p>
              </w:tc>
              <w:tc>
                <w:tcPr>
                  <w:tcW w:w="2602" w:type="pct"/>
                  <w:shd w:val="clear" w:color="auto" w:fill="auto"/>
                  <w:noWrap/>
                  <w:hideMark/>
                </w:tcPr>
                <w:p w14:paraId="308D6426" w14:textId="77777777" w:rsidR="00BA0667" w:rsidRPr="00EE753B" w:rsidRDefault="00BA0667" w:rsidP="00BA0667">
                  <w:pPr>
                    <w:jc w:val="center"/>
                    <w:rPr>
                      <w:rFonts w:ascii="Arial" w:hAnsi="Arial" w:cs="Arial"/>
                      <w:sz w:val="18"/>
                    </w:rPr>
                  </w:pPr>
                  <w:r w:rsidRPr="00EE753B">
                    <w:rPr>
                      <w:rFonts w:ascii="Arial" w:hAnsi="Arial" w:cs="Arial"/>
                      <w:sz w:val="18"/>
                    </w:rPr>
                    <w:t>PVM dalis, sumokėta privataus ir NVO sektoriaus</w:t>
                  </w:r>
                </w:p>
              </w:tc>
              <w:tc>
                <w:tcPr>
                  <w:tcW w:w="1014" w:type="pct"/>
                  <w:shd w:val="clear" w:color="auto" w:fill="auto"/>
                  <w:hideMark/>
                </w:tcPr>
                <w:p w14:paraId="3B47DAB3" w14:textId="2538EECB" w:rsidR="00BA0667" w:rsidRPr="00EE753B" w:rsidRDefault="00BA0667" w:rsidP="00BA0667">
                  <w:pPr>
                    <w:jc w:val="center"/>
                    <w:rPr>
                      <w:rFonts w:ascii="Arial" w:hAnsi="Arial" w:cs="Arial"/>
                      <w:sz w:val="18"/>
                    </w:rPr>
                  </w:pPr>
                  <w:r w:rsidRPr="00EE753B">
                    <w:rPr>
                      <w:rFonts w:ascii="Arial" w:hAnsi="Arial" w:cs="Arial"/>
                      <w:sz w:val="18"/>
                    </w:rPr>
                    <w:t>0</w:t>
                  </w:r>
                </w:p>
              </w:tc>
              <w:tc>
                <w:tcPr>
                  <w:tcW w:w="1014" w:type="pct"/>
                  <w:shd w:val="clear" w:color="auto" w:fill="auto"/>
                  <w:hideMark/>
                </w:tcPr>
                <w:p w14:paraId="4E9DD726" w14:textId="142DA76F" w:rsidR="00BA0667" w:rsidRPr="00EE753B" w:rsidRDefault="00BA0667" w:rsidP="00BA0667">
                  <w:pPr>
                    <w:jc w:val="center"/>
                    <w:rPr>
                      <w:rFonts w:ascii="Arial" w:hAnsi="Arial" w:cs="Arial"/>
                      <w:sz w:val="18"/>
                    </w:rPr>
                  </w:pPr>
                  <w:r w:rsidRPr="00EE753B">
                    <w:rPr>
                      <w:rFonts w:ascii="Arial" w:hAnsi="Arial" w:cs="Arial"/>
                      <w:sz w:val="18"/>
                    </w:rPr>
                    <w:t>0</w:t>
                  </w:r>
                </w:p>
              </w:tc>
            </w:tr>
            <w:tr w:rsidR="00BA0667" w:rsidRPr="00EE753B" w14:paraId="4A4EDC04" w14:textId="77777777" w:rsidTr="00BA0667">
              <w:tc>
                <w:tcPr>
                  <w:tcW w:w="370" w:type="pct"/>
                  <w:shd w:val="clear" w:color="auto" w:fill="auto"/>
                  <w:noWrap/>
                  <w:hideMark/>
                </w:tcPr>
                <w:p w14:paraId="5C9FD470" w14:textId="77777777" w:rsidR="00BA0667" w:rsidRPr="00EE753B" w:rsidRDefault="00BA0667" w:rsidP="00BA0667">
                  <w:pPr>
                    <w:jc w:val="center"/>
                    <w:rPr>
                      <w:rFonts w:ascii="Arial" w:hAnsi="Arial" w:cs="Arial"/>
                      <w:sz w:val="18"/>
                    </w:rPr>
                  </w:pPr>
                </w:p>
              </w:tc>
              <w:tc>
                <w:tcPr>
                  <w:tcW w:w="2602" w:type="pct"/>
                  <w:shd w:val="clear" w:color="auto" w:fill="auto"/>
                  <w:noWrap/>
                  <w:hideMark/>
                </w:tcPr>
                <w:p w14:paraId="7AA5C10C" w14:textId="77777777" w:rsidR="00BA0667" w:rsidRPr="00EE753B" w:rsidRDefault="00BA0667" w:rsidP="00BA0667">
                  <w:pPr>
                    <w:jc w:val="center"/>
                    <w:rPr>
                      <w:rFonts w:ascii="Arial" w:hAnsi="Arial" w:cs="Arial"/>
                      <w:sz w:val="18"/>
                    </w:rPr>
                  </w:pPr>
                  <w:r w:rsidRPr="00EE753B">
                    <w:rPr>
                      <w:rFonts w:ascii="Arial" w:hAnsi="Arial" w:cs="Arial"/>
                      <w:sz w:val="18"/>
                    </w:rPr>
                    <w:t>POVEIKIS VIEŠIESIEMS FINANSAMS</w:t>
                  </w:r>
                </w:p>
              </w:tc>
              <w:tc>
                <w:tcPr>
                  <w:tcW w:w="1014" w:type="pct"/>
                  <w:shd w:val="clear" w:color="auto" w:fill="auto"/>
                  <w:hideMark/>
                </w:tcPr>
                <w:p w14:paraId="43EBECEF" w14:textId="4B43E7C0" w:rsidR="00BA0667" w:rsidRPr="00EE753B" w:rsidRDefault="00BA0667" w:rsidP="00BA0667">
                  <w:pPr>
                    <w:jc w:val="center"/>
                    <w:rPr>
                      <w:rFonts w:ascii="Arial" w:hAnsi="Arial" w:cs="Arial"/>
                      <w:sz w:val="18"/>
                    </w:rPr>
                  </w:pPr>
                  <w:r w:rsidRPr="00EE753B">
                    <w:rPr>
                      <w:rFonts w:ascii="Arial" w:hAnsi="Arial" w:cs="Arial"/>
                      <w:sz w:val="18"/>
                    </w:rPr>
                    <w:t>-</w:t>
                  </w:r>
                  <w:r w:rsidR="00EE753B" w:rsidRPr="00EE753B">
                    <w:rPr>
                      <w:rFonts w:ascii="Arial" w:hAnsi="Arial" w:cs="Arial"/>
                      <w:sz w:val="18"/>
                    </w:rPr>
                    <w:t>3</w:t>
                  </w:r>
                  <w:r w:rsidR="00D04CE2">
                    <w:rPr>
                      <w:rFonts w:ascii="Arial" w:hAnsi="Arial" w:cs="Arial"/>
                      <w:sz w:val="18"/>
                    </w:rPr>
                    <w:t>9 084 430</w:t>
                  </w:r>
                </w:p>
              </w:tc>
              <w:tc>
                <w:tcPr>
                  <w:tcW w:w="1014" w:type="pct"/>
                  <w:shd w:val="clear" w:color="auto" w:fill="auto"/>
                  <w:hideMark/>
                </w:tcPr>
                <w:p w14:paraId="4CED652A" w14:textId="39391A38" w:rsidR="00BA0667" w:rsidRPr="00EE753B" w:rsidRDefault="00BA0667" w:rsidP="00BA0667">
                  <w:pPr>
                    <w:jc w:val="center"/>
                    <w:rPr>
                      <w:rFonts w:ascii="Arial" w:hAnsi="Arial" w:cs="Arial"/>
                      <w:sz w:val="18"/>
                    </w:rPr>
                  </w:pPr>
                  <w:r w:rsidRPr="00EE753B">
                    <w:rPr>
                      <w:rFonts w:ascii="Arial" w:hAnsi="Arial" w:cs="Arial"/>
                      <w:sz w:val="18"/>
                    </w:rPr>
                    <w:t>-</w:t>
                  </w:r>
                  <w:r w:rsidR="00EE753B" w:rsidRPr="00EE753B">
                    <w:rPr>
                      <w:rFonts w:ascii="Arial" w:hAnsi="Arial" w:cs="Arial"/>
                      <w:sz w:val="18"/>
                    </w:rPr>
                    <w:t>5</w:t>
                  </w:r>
                  <w:r w:rsidR="00D04CE2">
                    <w:rPr>
                      <w:rFonts w:ascii="Arial" w:hAnsi="Arial" w:cs="Arial"/>
                      <w:sz w:val="18"/>
                    </w:rPr>
                    <w:t>4</w:t>
                  </w:r>
                  <w:r w:rsidR="00EE753B" w:rsidRPr="00EE753B">
                    <w:rPr>
                      <w:rFonts w:ascii="Arial" w:hAnsi="Arial" w:cs="Arial"/>
                      <w:sz w:val="18"/>
                    </w:rPr>
                    <w:t xml:space="preserve"> </w:t>
                  </w:r>
                  <w:r w:rsidR="00D04CE2">
                    <w:rPr>
                      <w:rFonts w:ascii="Arial" w:hAnsi="Arial" w:cs="Arial"/>
                      <w:sz w:val="18"/>
                    </w:rPr>
                    <w:t>054 545</w:t>
                  </w:r>
                </w:p>
              </w:tc>
            </w:tr>
          </w:tbl>
          <w:p w14:paraId="4E5B6489" w14:textId="77777777" w:rsidR="00BA03B0" w:rsidRPr="00EE753B" w:rsidRDefault="00BA03B0" w:rsidP="00BA03B0">
            <w:pPr>
              <w:jc w:val="both"/>
              <w:rPr>
                <w:i/>
                <w:sz w:val="22"/>
                <w:szCs w:val="22"/>
              </w:rPr>
            </w:pPr>
            <w:r w:rsidRPr="00EE753B">
              <w:rPr>
                <w:i/>
                <w:sz w:val="22"/>
                <w:szCs w:val="22"/>
              </w:rPr>
              <w:t>Šaltinis: skaičiuoklės darbalapis „Poveikis VF“</w:t>
            </w:r>
          </w:p>
          <w:p w14:paraId="232CC8DE" w14:textId="77777777" w:rsidR="00BA03B0" w:rsidRPr="00EE753B" w:rsidRDefault="00BA03B0" w:rsidP="00BA03B0">
            <w:pPr>
              <w:ind w:firstLine="567"/>
              <w:jc w:val="both"/>
              <w:rPr>
                <w:i/>
                <w:sz w:val="22"/>
                <w:szCs w:val="22"/>
              </w:rPr>
            </w:pPr>
          </w:p>
          <w:p w14:paraId="1CE81190" w14:textId="7EBEB3FF" w:rsidR="00BA03B0" w:rsidRPr="00EE753B" w:rsidRDefault="00D64EA7" w:rsidP="00BA03B0">
            <w:pPr>
              <w:jc w:val="both"/>
              <w:rPr>
                <w:b/>
                <w:bCs/>
                <w:iCs/>
                <w:color w:val="76923C" w:themeColor="accent3" w:themeShade="BF"/>
                <w:sz w:val="22"/>
                <w:szCs w:val="22"/>
              </w:rPr>
            </w:pPr>
            <w:r w:rsidRPr="00EE753B">
              <w:rPr>
                <w:b/>
                <w:bCs/>
                <w:iCs/>
                <w:color w:val="76923C" w:themeColor="accent3" w:themeShade="BF"/>
                <w:sz w:val="22"/>
                <w:szCs w:val="22"/>
              </w:rPr>
              <w:t>O</w:t>
            </w:r>
            <w:r w:rsidR="00BA03B0" w:rsidRPr="00EE753B">
              <w:rPr>
                <w:b/>
                <w:bCs/>
                <w:iCs/>
                <w:color w:val="76923C" w:themeColor="accent3" w:themeShade="BF"/>
                <w:sz w:val="22"/>
                <w:szCs w:val="22"/>
              </w:rPr>
              <w:t xml:space="preserve">ptimalia pažangos priemonės įgyvendinimo alternatyva </w:t>
            </w:r>
            <w:r w:rsidR="004F64D2" w:rsidRPr="00EE753B">
              <w:rPr>
                <w:b/>
                <w:bCs/>
                <w:iCs/>
                <w:color w:val="76923C" w:themeColor="accent3" w:themeShade="BF"/>
                <w:sz w:val="22"/>
                <w:szCs w:val="22"/>
              </w:rPr>
              <w:t>yra</w:t>
            </w:r>
            <w:r w:rsidR="00BA03B0" w:rsidRPr="00EE753B">
              <w:rPr>
                <w:b/>
                <w:bCs/>
                <w:iCs/>
                <w:color w:val="76923C" w:themeColor="accent3" w:themeShade="BF"/>
                <w:sz w:val="22"/>
                <w:szCs w:val="22"/>
              </w:rPr>
              <w:t xml:space="preserve"> Alternatyva </w:t>
            </w:r>
            <w:r w:rsidR="004F64D2" w:rsidRPr="00EE753B">
              <w:rPr>
                <w:b/>
                <w:bCs/>
                <w:iCs/>
                <w:color w:val="76923C" w:themeColor="accent3" w:themeShade="BF"/>
                <w:sz w:val="22"/>
                <w:szCs w:val="22"/>
              </w:rPr>
              <w:t>1 „2021</w:t>
            </w:r>
            <w:r w:rsidR="00A847DD" w:rsidRPr="00EE753B">
              <w:rPr>
                <w:b/>
                <w:bCs/>
                <w:iCs/>
                <w:color w:val="76923C" w:themeColor="accent3" w:themeShade="BF"/>
                <w:sz w:val="22"/>
                <w:szCs w:val="22"/>
              </w:rPr>
              <w:t>–</w:t>
            </w:r>
            <w:r w:rsidR="004F64D2" w:rsidRPr="00EE753B">
              <w:rPr>
                <w:b/>
                <w:bCs/>
                <w:iCs/>
                <w:color w:val="76923C" w:themeColor="accent3" w:themeShade="BF"/>
                <w:sz w:val="22"/>
                <w:szCs w:val="22"/>
              </w:rPr>
              <w:t>2027 IP suderintų veiklų ir jų apimčių vykdymas</w:t>
            </w:r>
            <w:r w:rsidRPr="00EE753B">
              <w:rPr>
                <w:b/>
                <w:bCs/>
                <w:iCs/>
                <w:color w:val="76923C" w:themeColor="accent3" w:themeShade="BF"/>
                <w:sz w:val="22"/>
                <w:szCs w:val="22"/>
              </w:rPr>
              <w:t>“</w:t>
            </w:r>
            <w:r w:rsidR="00BA03B0" w:rsidRPr="00EE753B">
              <w:rPr>
                <w:b/>
                <w:bCs/>
                <w:iCs/>
                <w:color w:val="76923C" w:themeColor="accent3" w:themeShade="BF"/>
                <w:sz w:val="22"/>
                <w:szCs w:val="22"/>
              </w:rPr>
              <w:t xml:space="preserve">. </w:t>
            </w:r>
          </w:p>
          <w:p w14:paraId="0DF68EF1" w14:textId="73AD8164" w:rsidR="00BA03B0" w:rsidRPr="00EE753B" w:rsidRDefault="00BA03B0" w:rsidP="00BA03B0">
            <w:pPr>
              <w:jc w:val="both"/>
              <w:rPr>
                <w:iCs/>
                <w:sz w:val="22"/>
                <w:szCs w:val="22"/>
              </w:rPr>
            </w:pPr>
            <w:r w:rsidRPr="00EE753B">
              <w:rPr>
                <w:iCs/>
                <w:sz w:val="22"/>
                <w:szCs w:val="22"/>
              </w:rPr>
              <w:t xml:space="preserve">Alternatyvos </w:t>
            </w:r>
            <w:r w:rsidR="00D64EA7" w:rsidRPr="00EE753B">
              <w:rPr>
                <w:iCs/>
                <w:sz w:val="22"/>
                <w:szCs w:val="22"/>
              </w:rPr>
              <w:t>1</w:t>
            </w:r>
            <w:r w:rsidRPr="00EE753B">
              <w:rPr>
                <w:iCs/>
                <w:sz w:val="22"/>
                <w:szCs w:val="22"/>
              </w:rPr>
              <w:t xml:space="preserve"> įgyvendinimą sudaro </w:t>
            </w:r>
            <w:r w:rsidR="008678BB" w:rsidRPr="00EE753B">
              <w:rPr>
                <w:iCs/>
                <w:sz w:val="22"/>
                <w:szCs w:val="22"/>
              </w:rPr>
              <w:t>4</w:t>
            </w:r>
            <w:r w:rsidRPr="00EE753B">
              <w:rPr>
                <w:iCs/>
                <w:sz w:val="22"/>
                <w:szCs w:val="22"/>
              </w:rPr>
              <w:t xml:space="preserve"> investicinių veiklų </w:t>
            </w:r>
            <w:r w:rsidR="001A0327" w:rsidRPr="00EE753B">
              <w:rPr>
                <w:iCs/>
                <w:sz w:val="22"/>
                <w:szCs w:val="22"/>
              </w:rPr>
              <w:t>rinkinys</w:t>
            </w:r>
            <w:r w:rsidRPr="00EE753B">
              <w:rPr>
                <w:iCs/>
                <w:sz w:val="22"/>
                <w:szCs w:val="22"/>
              </w:rPr>
              <w:t>:</w:t>
            </w:r>
          </w:p>
          <w:p w14:paraId="0F39B56C" w14:textId="4D2E2F11" w:rsidR="00D64EA7" w:rsidRPr="00EE753B" w:rsidRDefault="00D64EA7" w:rsidP="001B7581">
            <w:pPr>
              <w:pStyle w:val="ListParagraph"/>
              <w:numPr>
                <w:ilvl w:val="0"/>
                <w:numId w:val="38"/>
              </w:numPr>
              <w:tabs>
                <w:tab w:val="left" w:pos="360"/>
              </w:tabs>
              <w:jc w:val="both"/>
              <w:rPr>
                <w:iCs/>
                <w:sz w:val="22"/>
                <w:szCs w:val="22"/>
              </w:rPr>
            </w:pPr>
            <w:r w:rsidRPr="00EE753B">
              <w:rPr>
                <w:iCs/>
                <w:sz w:val="22"/>
                <w:szCs w:val="22"/>
              </w:rPr>
              <w:t xml:space="preserve">Veikla 1. </w:t>
            </w:r>
            <w:r w:rsidR="00044A52" w:rsidRPr="00EE753B">
              <w:rPr>
                <w:iCs/>
                <w:sz w:val="22"/>
                <w:szCs w:val="22"/>
              </w:rPr>
              <w:t>Centralizuoto šilumos tiekimo tinklo pritaikymas 4</w:t>
            </w:r>
            <w:r w:rsidR="00375A7B" w:rsidRPr="00EE753B">
              <w:rPr>
                <w:iCs/>
                <w:sz w:val="22"/>
                <w:szCs w:val="22"/>
              </w:rPr>
              <w:t>-os</w:t>
            </w:r>
            <w:r w:rsidR="00044A52" w:rsidRPr="00EE753B">
              <w:rPr>
                <w:iCs/>
                <w:sz w:val="22"/>
                <w:szCs w:val="22"/>
              </w:rPr>
              <w:t xml:space="preserve"> kartos šilumos tiekimo sistemai visoje Lietuvoje</w:t>
            </w:r>
            <w:r w:rsidR="001B7581" w:rsidRPr="00EE753B">
              <w:rPr>
                <w:iCs/>
                <w:sz w:val="22"/>
                <w:szCs w:val="22"/>
              </w:rPr>
              <w:t xml:space="preserve">. Veiklai 1 įgyvendinti reikalingų lėšų suma yra </w:t>
            </w:r>
            <w:r w:rsidR="00A31A95" w:rsidRPr="00EE753B">
              <w:rPr>
                <w:iCs/>
                <w:sz w:val="22"/>
                <w:szCs w:val="22"/>
              </w:rPr>
              <w:t>8,</w:t>
            </w:r>
            <w:r w:rsidR="005C3699" w:rsidRPr="00EE753B">
              <w:rPr>
                <w:iCs/>
                <w:sz w:val="22"/>
                <w:szCs w:val="22"/>
              </w:rPr>
              <w:t>32</w:t>
            </w:r>
            <w:r w:rsidR="004B6EA8" w:rsidRPr="00EE753B">
              <w:rPr>
                <w:iCs/>
                <w:sz w:val="22"/>
                <w:szCs w:val="22"/>
              </w:rPr>
              <w:t>7</w:t>
            </w:r>
            <w:r w:rsidR="001B7581" w:rsidRPr="00EE753B">
              <w:rPr>
                <w:iCs/>
                <w:sz w:val="22"/>
                <w:szCs w:val="22"/>
              </w:rPr>
              <w:t> mln.</w:t>
            </w:r>
            <w:r w:rsidR="00A847DD" w:rsidRPr="00EE753B">
              <w:rPr>
                <w:iCs/>
                <w:sz w:val="22"/>
                <w:szCs w:val="22"/>
              </w:rPr>
              <w:t xml:space="preserve"> </w:t>
            </w:r>
            <w:r w:rsidR="001B7581" w:rsidRPr="00EE753B">
              <w:rPr>
                <w:iCs/>
                <w:sz w:val="22"/>
                <w:szCs w:val="22"/>
              </w:rPr>
              <w:t>Eur,</w:t>
            </w:r>
            <w:r w:rsidR="00F51E15" w:rsidRPr="00EE753B">
              <w:rPr>
                <w:iCs/>
                <w:sz w:val="22"/>
                <w:szCs w:val="22"/>
              </w:rPr>
              <w:t xml:space="preserve"> iš jų </w:t>
            </w:r>
            <w:r w:rsidR="00A8773F" w:rsidRPr="00EE753B">
              <w:rPr>
                <w:iCs/>
                <w:sz w:val="22"/>
                <w:szCs w:val="22"/>
              </w:rPr>
              <w:t>2021</w:t>
            </w:r>
            <w:r w:rsidR="00A847DD" w:rsidRPr="00EE753B">
              <w:rPr>
                <w:iCs/>
                <w:sz w:val="22"/>
                <w:szCs w:val="22"/>
              </w:rPr>
              <w:t>–</w:t>
            </w:r>
            <w:r w:rsidR="00A8773F" w:rsidRPr="00EE753B">
              <w:rPr>
                <w:iCs/>
                <w:sz w:val="22"/>
                <w:szCs w:val="22"/>
              </w:rPr>
              <w:t xml:space="preserve">2027 m. </w:t>
            </w:r>
            <w:r w:rsidR="00FA064B" w:rsidRPr="00EE753B">
              <w:rPr>
                <w:iCs/>
                <w:sz w:val="22"/>
                <w:szCs w:val="22"/>
              </w:rPr>
              <w:t xml:space="preserve">IP </w:t>
            </w:r>
            <w:r w:rsidR="00A8773F" w:rsidRPr="00EE753B">
              <w:rPr>
                <w:iCs/>
                <w:sz w:val="22"/>
                <w:szCs w:val="22"/>
              </w:rPr>
              <w:t xml:space="preserve">lėšų </w:t>
            </w:r>
            <w:r w:rsidR="00BB10A0" w:rsidRPr="00EE753B">
              <w:rPr>
                <w:iCs/>
                <w:sz w:val="22"/>
                <w:szCs w:val="22"/>
              </w:rPr>
              <w:t>6,75 mln.</w:t>
            </w:r>
            <w:r w:rsidR="00A847DD" w:rsidRPr="00EE753B">
              <w:rPr>
                <w:iCs/>
                <w:sz w:val="22"/>
                <w:szCs w:val="22"/>
              </w:rPr>
              <w:t xml:space="preserve"> </w:t>
            </w:r>
            <w:r w:rsidR="00BB10A0" w:rsidRPr="00EE753B">
              <w:rPr>
                <w:iCs/>
                <w:sz w:val="22"/>
                <w:szCs w:val="22"/>
              </w:rPr>
              <w:t>J</w:t>
            </w:r>
            <w:r w:rsidR="00A67C4E" w:rsidRPr="00EE753B">
              <w:rPr>
                <w:iCs/>
                <w:sz w:val="22"/>
                <w:szCs w:val="22"/>
              </w:rPr>
              <w:t xml:space="preserve">uos </w:t>
            </w:r>
            <w:r w:rsidR="00BB10A0" w:rsidRPr="00EE753B">
              <w:rPr>
                <w:iCs/>
                <w:sz w:val="22"/>
                <w:szCs w:val="22"/>
              </w:rPr>
              <w:t xml:space="preserve">investavus </w:t>
            </w:r>
            <w:r w:rsidR="00A67C4E" w:rsidRPr="00EE753B">
              <w:rPr>
                <w:iCs/>
                <w:sz w:val="22"/>
                <w:szCs w:val="22"/>
              </w:rPr>
              <w:t xml:space="preserve">bus modernizuota </w:t>
            </w:r>
            <w:r w:rsidR="00022189" w:rsidRPr="00EE753B">
              <w:rPr>
                <w:iCs/>
                <w:sz w:val="22"/>
                <w:szCs w:val="22"/>
              </w:rPr>
              <w:t>1</w:t>
            </w:r>
            <w:r w:rsidR="005C3699" w:rsidRPr="00EE753B">
              <w:rPr>
                <w:iCs/>
                <w:sz w:val="22"/>
                <w:szCs w:val="22"/>
              </w:rPr>
              <w:t>7</w:t>
            </w:r>
            <w:r w:rsidR="00022189" w:rsidRPr="00EE753B">
              <w:rPr>
                <w:iCs/>
                <w:sz w:val="22"/>
                <w:szCs w:val="22"/>
              </w:rPr>
              <w:t xml:space="preserve"> </w:t>
            </w:r>
            <w:r w:rsidR="00A67C4E" w:rsidRPr="00EE753B">
              <w:rPr>
                <w:iCs/>
                <w:sz w:val="22"/>
                <w:szCs w:val="22"/>
              </w:rPr>
              <w:t>km C</w:t>
            </w:r>
            <w:r w:rsidR="00F51E15" w:rsidRPr="00EE753B">
              <w:rPr>
                <w:iCs/>
                <w:sz w:val="22"/>
                <w:szCs w:val="22"/>
              </w:rPr>
              <w:t>Š</w:t>
            </w:r>
            <w:r w:rsidR="00A67C4E" w:rsidRPr="00EE753B">
              <w:rPr>
                <w:iCs/>
                <w:sz w:val="22"/>
                <w:szCs w:val="22"/>
              </w:rPr>
              <w:t xml:space="preserve">T vamzdynų. </w:t>
            </w:r>
          </w:p>
          <w:p w14:paraId="591D4F87" w14:textId="616BDAB0" w:rsidR="00A67C4E" w:rsidRPr="00EE753B" w:rsidRDefault="00D64EA7" w:rsidP="00A67C4E">
            <w:pPr>
              <w:pStyle w:val="ListParagraph"/>
              <w:numPr>
                <w:ilvl w:val="0"/>
                <w:numId w:val="38"/>
              </w:numPr>
              <w:tabs>
                <w:tab w:val="left" w:pos="360"/>
              </w:tabs>
              <w:jc w:val="both"/>
              <w:rPr>
                <w:iCs/>
                <w:sz w:val="22"/>
                <w:szCs w:val="22"/>
              </w:rPr>
            </w:pPr>
            <w:r w:rsidRPr="00EE753B">
              <w:rPr>
                <w:iCs/>
                <w:sz w:val="22"/>
                <w:szCs w:val="22"/>
              </w:rPr>
              <w:t xml:space="preserve">Veikla 2. </w:t>
            </w:r>
            <w:r w:rsidR="00044A52" w:rsidRPr="00EE753B">
              <w:rPr>
                <w:iCs/>
                <w:sz w:val="22"/>
                <w:szCs w:val="22"/>
              </w:rPr>
              <w:t>Centralizuoto šilumos tiekimo tinklo pritaikymas 4</w:t>
            </w:r>
            <w:r w:rsidR="00375A7B" w:rsidRPr="00EE753B">
              <w:rPr>
                <w:iCs/>
                <w:sz w:val="22"/>
                <w:szCs w:val="22"/>
              </w:rPr>
              <w:t>-os</w:t>
            </w:r>
            <w:r w:rsidR="00044A52" w:rsidRPr="00EE753B">
              <w:rPr>
                <w:iCs/>
                <w:sz w:val="22"/>
                <w:szCs w:val="22"/>
              </w:rPr>
              <w:t xml:space="preserve"> kartos šilumos tiekimo sistemai Vidurio ir Vakarų Lietuvoje</w:t>
            </w:r>
            <w:r w:rsidR="00A67C4E" w:rsidRPr="00EE753B">
              <w:rPr>
                <w:iCs/>
                <w:sz w:val="22"/>
                <w:szCs w:val="22"/>
              </w:rPr>
              <w:t>. Veiklai </w:t>
            </w:r>
            <w:r w:rsidR="00044A52" w:rsidRPr="00EE753B">
              <w:rPr>
                <w:iCs/>
                <w:sz w:val="22"/>
                <w:szCs w:val="22"/>
              </w:rPr>
              <w:t xml:space="preserve">2 </w:t>
            </w:r>
            <w:r w:rsidR="00A67C4E" w:rsidRPr="00EE753B">
              <w:rPr>
                <w:iCs/>
                <w:sz w:val="22"/>
                <w:szCs w:val="22"/>
              </w:rPr>
              <w:t xml:space="preserve">įgyvendinti reikalingų lėšų suma yra </w:t>
            </w:r>
            <w:r w:rsidR="00A31A95" w:rsidRPr="00EE753B">
              <w:rPr>
                <w:iCs/>
                <w:sz w:val="22"/>
                <w:szCs w:val="22"/>
              </w:rPr>
              <w:t>8,</w:t>
            </w:r>
            <w:r w:rsidR="005C3699" w:rsidRPr="00EE753B">
              <w:rPr>
                <w:iCs/>
                <w:sz w:val="22"/>
                <w:szCs w:val="22"/>
              </w:rPr>
              <w:t>32</w:t>
            </w:r>
            <w:r w:rsidR="004F2461" w:rsidRPr="00EE753B">
              <w:rPr>
                <w:iCs/>
                <w:sz w:val="22"/>
                <w:szCs w:val="22"/>
              </w:rPr>
              <w:t>7</w:t>
            </w:r>
            <w:r w:rsidR="00A67C4E" w:rsidRPr="00EE753B">
              <w:rPr>
                <w:iCs/>
                <w:sz w:val="22"/>
                <w:szCs w:val="22"/>
              </w:rPr>
              <w:t> mln.</w:t>
            </w:r>
            <w:r w:rsidR="00A847DD" w:rsidRPr="00EE753B">
              <w:rPr>
                <w:iCs/>
                <w:sz w:val="22"/>
                <w:szCs w:val="22"/>
              </w:rPr>
              <w:t xml:space="preserve"> </w:t>
            </w:r>
            <w:r w:rsidR="00A67C4E" w:rsidRPr="00EE753B">
              <w:rPr>
                <w:iCs/>
                <w:sz w:val="22"/>
                <w:szCs w:val="22"/>
              </w:rPr>
              <w:t xml:space="preserve">Eur, </w:t>
            </w:r>
            <w:r w:rsidR="00BB10A0" w:rsidRPr="00EE753B">
              <w:rPr>
                <w:iCs/>
                <w:sz w:val="22"/>
                <w:szCs w:val="22"/>
              </w:rPr>
              <w:t>iš jų 2021</w:t>
            </w:r>
            <w:r w:rsidR="00A847DD" w:rsidRPr="00EE753B">
              <w:rPr>
                <w:iCs/>
                <w:sz w:val="22"/>
                <w:szCs w:val="22"/>
              </w:rPr>
              <w:t>–</w:t>
            </w:r>
            <w:r w:rsidR="00BB10A0" w:rsidRPr="00EE753B">
              <w:rPr>
                <w:iCs/>
                <w:sz w:val="22"/>
                <w:szCs w:val="22"/>
              </w:rPr>
              <w:t>2027 m. lėšų 6,75 mln.</w:t>
            </w:r>
            <w:r w:rsidR="00A847DD" w:rsidRPr="00EE753B">
              <w:rPr>
                <w:iCs/>
                <w:sz w:val="22"/>
                <w:szCs w:val="22"/>
              </w:rPr>
              <w:t xml:space="preserve"> </w:t>
            </w:r>
            <w:r w:rsidR="00BB10A0" w:rsidRPr="00EE753B">
              <w:rPr>
                <w:iCs/>
                <w:sz w:val="22"/>
                <w:szCs w:val="22"/>
              </w:rPr>
              <w:t>Eur. J</w:t>
            </w:r>
            <w:r w:rsidR="00A67C4E" w:rsidRPr="00EE753B">
              <w:rPr>
                <w:iCs/>
                <w:sz w:val="22"/>
                <w:szCs w:val="22"/>
              </w:rPr>
              <w:t xml:space="preserve">uos </w:t>
            </w:r>
            <w:r w:rsidR="00BB10A0" w:rsidRPr="00EE753B">
              <w:rPr>
                <w:iCs/>
                <w:sz w:val="22"/>
                <w:szCs w:val="22"/>
              </w:rPr>
              <w:t xml:space="preserve">investavus </w:t>
            </w:r>
            <w:r w:rsidR="00A67C4E" w:rsidRPr="00EE753B">
              <w:rPr>
                <w:iCs/>
                <w:sz w:val="22"/>
                <w:szCs w:val="22"/>
              </w:rPr>
              <w:t xml:space="preserve">bus modernizuota </w:t>
            </w:r>
            <w:r w:rsidR="00022189" w:rsidRPr="00EE753B">
              <w:rPr>
                <w:iCs/>
                <w:sz w:val="22"/>
                <w:szCs w:val="22"/>
              </w:rPr>
              <w:t>1</w:t>
            </w:r>
            <w:r w:rsidR="005C3699" w:rsidRPr="00EE753B">
              <w:rPr>
                <w:iCs/>
                <w:sz w:val="22"/>
                <w:szCs w:val="22"/>
              </w:rPr>
              <w:t>7</w:t>
            </w:r>
            <w:r w:rsidR="00022189" w:rsidRPr="00EE753B">
              <w:rPr>
                <w:iCs/>
                <w:sz w:val="22"/>
                <w:szCs w:val="22"/>
              </w:rPr>
              <w:t xml:space="preserve"> </w:t>
            </w:r>
            <w:r w:rsidR="00A67C4E" w:rsidRPr="00EE753B">
              <w:rPr>
                <w:iCs/>
                <w:sz w:val="22"/>
                <w:szCs w:val="22"/>
              </w:rPr>
              <w:t>km C</w:t>
            </w:r>
            <w:r w:rsidR="00F51E15" w:rsidRPr="00EE753B">
              <w:rPr>
                <w:iCs/>
                <w:sz w:val="22"/>
                <w:szCs w:val="22"/>
              </w:rPr>
              <w:t>Š</w:t>
            </w:r>
            <w:r w:rsidR="00A67C4E" w:rsidRPr="00EE753B">
              <w:rPr>
                <w:iCs/>
                <w:sz w:val="22"/>
                <w:szCs w:val="22"/>
              </w:rPr>
              <w:t xml:space="preserve">T vamzdynų. </w:t>
            </w:r>
          </w:p>
          <w:p w14:paraId="5B1EEC63" w14:textId="2913C303" w:rsidR="00D64EA7" w:rsidRPr="00EE753B" w:rsidRDefault="00D64EA7" w:rsidP="001B7581">
            <w:pPr>
              <w:pStyle w:val="ListParagraph"/>
              <w:numPr>
                <w:ilvl w:val="0"/>
                <w:numId w:val="38"/>
              </w:numPr>
              <w:tabs>
                <w:tab w:val="left" w:pos="360"/>
              </w:tabs>
              <w:jc w:val="both"/>
              <w:rPr>
                <w:iCs/>
                <w:sz w:val="22"/>
                <w:szCs w:val="22"/>
              </w:rPr>
            </w:pPr>
            <w:r w:rsidRPr="00EE753B">
              <w:rPr>
                <w:iCs/>
                <w:sz w:val="22"/>
                <w:szCs w:val="22"/>
              </w:rPr>
              <w:t>Veikla 3. Šilumos (vėsumos) apskaitos prietaisų su nuotolinio duomenų nuskaitymo funkcija įrengimas visoje Lietuvoje</w:t>
            </w:r>
            <w:r w:rsidR="00A67C4E" w:rsidRPr="00EE753B">
              <w:rPr>
                <w:iCs/>
                <w:sz w:val="22"/>
                <w:szCs w:val="22"/>
              </w:rPr>
              <w:t xml:space="preserve">. Veiklai </w:t>
            </w:r>
            <w:r w:rsidR="00384B47" w:rsidRPr="00EE753B">
              <w:rPr>
                <w:iCs/>
                <w:sz w:val="22"/>
                <w:szCs w:val="22"/>
              </w:rPr>
              <w:t xml:space="preserve">3 </w:t>
            </w:r>
            <w:r w:rsidR="00A67C4E" w:rsidRPr="00EE753B">
              <w:rPr>
                <w:iCs/>
                <w:sz w:val="22"/>
                <w:szCs w:val="22"/>
              </w:rPr>
              <w:t xml:space="preserve">įgyvendinti reikalingų </w:t>
            </w:r>
            <w:r w:rsidR="00F51E15" w:rsidRPr="00EE753B">
              <w:rPr>
                <w:iCs/>
                <w:sz w:val="22"/>
                <w:szCs w:val="22"/>
              </w:rPr>
              <w:t xml:space="preserve">lėšų suma yra </w:t>
            </w:r>
            <w:r w:rsidR="00A31A95" w:rsidRPr="00EE753B">
              <w:rPr>
                <w:iCs/>
                <w:sz w:val="22"/>
                <w:szCs w:val="22"/>
              </w:rPr>
              <w:t>8,</w:t>
            </w:r>
            <w:r w:rsidR="005C3699" w:rsidRPr="00EE753B">
              <w:rPr>
                <w:iCs/>
                <w:sz w:val="22"/>
                <w:szCs w:val="22"/>
              </w:rPr>
              <w:t>32</w:t>
            </w:r>
            <w:r w:rsidR="004F2461" w:rsidRPr="00EE753B">
              <w:rPr>
                <w:iCs/>
                <w:sz w:val="22"/>
                <w:szCs w:val="22"/>
              </w:rPr>
              <w:t>7</w:t>
            </w:r>
            <w:r w:rsidR="00022189" w:rsidRPr="00EE753B">
              <w:rPr>
                <w:iCs/>
                <w:sz w:val="22"/>
                <w:szCs w:val="22"/>
              </w:rPr>
              <w:t xml:space="preserve"> </w:t>
            </w:r>
            <w:r w:rsidR="00F51E15" w:rsidRPr="00EE753B">
              <w:rPr>
                <w:iCs/>
                <w:sz w:val="22"/>
                <w:szCs w:val="22"/>
              </w:rPr>
              <w:t>mln.</w:t>
            </w:r>
            <w:r w:rsidR="00022189" w:rsidRPr="00EE753B">
              <w:rPr>
                <w:iCs/>
                <w:sz w:val="22"/>
                <w:szCs w:val="22"/>
              </w:rPr>
              <w:t xml:space="preserve"> </w:t>
            </w:r>
            <w:r w:rsidR="00F51E15" w:rsidRPr="00EE753B">
              <w:rPr>
                <w:iCs/>
                <w:sz w:val="22"/>
                <w:szCs w:val="22"/>
              </w:rPr>
              <w:t xml:space="preserve">Eur, </w:t>
            </w:r>
            <w:r w:rsidR="00BB10A0" w:rsidRPr="00EE753B">
              <w:rPr>
                <w:iCs/>
                <w:sz w:val="22"/>
                <w:szCs w:val="22"/>
              </w:rPr>
              <w:t>iš jų 2021</w:t>
            </w:r>
            <w:r w:rsidR="00A847DD" w:rsidRPr="00EE753B">
              <w:rPr>
                <w:iCs/>
                <w:sz w:val="22"/>
                <w:szCs w:val="22"/>
              </w:rPr>
              <w:t>–</w:t>
            </w:r>
            <w:r w:rsidR="00BB10A0" w:rsidRPr="00EE753B">
              <w:rPr>
                <w:iCs/>
                <w:sz w:val="22"/>
                <w:szCs w:val="22"/>
              </w:rPr>
              <w:t xml:space="preserve">2027 IP lėšų </w:t>
            </w:r>
            <w:r w:rsidR="00022189" w:rsidRPr="00EE753B">
              <w:rPr>
                <w:iCs/>
                <w:sz w:val="22"/>
                <w:szCs w:val="22"/>
              </w:rPr>
              <w:t>6,</w:t>
            </w:r>
            <w:r w:rsidR="007A42EB" w:rsidRPr="00EE753B">
              <w:rPr>
                <w:iCs/>
                <w:sz w:val="22"/>
                <w:szCs w:val="22"/>
              </w:rPr>
              <w:t>75 mln.</w:t>
            </w:r>
            <w:r w:rsidR="00A847DD" w:rsidRPr="00EE753B">
              <w:rPr>
                <w:iCs/>
                <w:sz w:val="22"/>
                <w:szCs w:val="22"/>
              </w:rPr>
              <w:t xml:space="preserve"> </w:t>
            </w:r>
            <w:r w:rsidR="007A42EB" w:rsidRPr="00EE753B">
              <w:rPr>
                <w:iCs/>
                <w:sz w:val="22"/>
                <w:szCs w:val="22"/>
              </w:rPr>
              <w:t xml:space="preserve">Eur. Juos investavus bus pakeista </w:t>
            </w:r>
            <w:r w:rsidR="00022189" w:rsidRPr="00EE753B">
              <w:rPr>
                <w:iCs/>
                <w:sz w:val="22"/>
                <w:szCs w:val="22"/>
              </w:rPr>
              <w:t xml:space="preserve">5 </w:t>
            </w:r>
            <w:r w:rsidR="005C3699" w:rsidRPr="00EE753B">
              <w:rPr>
                <w:iCs/>
                <w:sz w:val="22"/>
                <w:szCs w:val="22"/>
              </w:rPr>
              <w:t>2</w:t>
            </w:r>
            <w:r w:rsidR="00430175" w:rsidRPr="00EE753B">
              <w:rPr>
                <w:iCs/>
                <w:sz w:val="22"/>
                <w:szCs w:val="22"/>
              </w:rPr>
              <w:t>57</w:t>
            </w:r>
            <w:r w:rsidR="005106ED" w:rsidRPr="00EE753B">
              <w:rPr>
                <w:iCs/>
                <w:sz w:val="22"/>
                <w:szCs w:val="22"/>
              </w:rPr>
              <w:t xml:space="preserve"> šilumos apskaitos prietaisų. </w:t>
            </w:r>
          </w:p>
          <w:p w14:paraId="0175D392" w14:textId="61529728" w:rsidR="005106ED" w:rsidRPr="00EE753B" w:rsidRDefault="00D64EA7" w:rsidP="005106ED">
            <w:pPr>
              <w:pStyle w:val="ListParagraph"/>
              <w:numPr>
                <w:ilvl w:val="0"/>
                <w:numId w:val="38"/>
              </w:numPr>
              <w:tabs>
                <w:tab w:val="left" w:pos="360"/>
              </w:tabs>
              <w:jc w:val="both"/>
              <w:rPr>
                <w:iCs/>
                <w:sz w:val="22"/>
                <w:szCs w:val="22"/>
              </w:rPr>
            </w:pPr>
            <w:r w:rsidRPr="00EE753B">
              <w:rPr>
                <w:iCs/>
                <w:sz w:val="22"/>
                <w:szCs w:val="22"/>
              </w:rPr>
              <w:t>Veikla 4. Šilumos (vėsumos) apskaitos prietaisų su nuotolinio duomenų nuskaitymo funkcija įrengimas Vidurio ir Vakarų Lietuvoje</w:t>
            </w:r>
            <w:r w:rsidR="005106ED" w:rsidRPr="00EE753B">
              <w:rPr>
                <w:iCs/>
                <w:sz w:val="22"/>
                <w:szCs w:val="22"/>
              </w:rPr>
              <w:t xml:space="preserve">. Veiklai </w:t>
            </w:r>
            <w:r w:rsidR="00384B47" w:rsidRPr="00EE753B">
              <w:rPr>
                <w:iCs/>
                <w:sz w:val="22"/>
                <w:szCs w:val="22"/>
              </w:rPr>
              <w:t xml:space="preserve">4 </w:t>
            </w:r>
            <w:r w:rsidR="005106ED" w:rsidRPr="00EE753B">
              <w:rPr>
                <w:iCs/>
                <w:sz w:val="22"/>
                <w:szCs w:val="22"/>
              </w:rPr>
              <w:t xml:space="preserve">įgyvendinti reikalingų lėšų suma yra </w:t>
            </w:r>
            <w:r w:rsidR="00A31A95" w:rsidRPr="00EE753B">
              <w:rPr>
                <w:iCs/>
                <w:sz w:val="22"/>
                <w:szCs w:val="22"/>
              </w:rPr>
              <w:t>8,</w:t>
            </w:r>
            <w:r w:rsidR="005C3699" w:rsidRPr="00EE753B">
              <w:rPr>
                <w:iCs/>
                <w:sz w:val="22"/>
                <w:szCs w:val="22"/>
              </w:rPr>
              <w:t>32</w:t>
            </w:r>
            <w:r w:rsidR="004F2461" w:rsidRPr="00EE753B">
              <w:rPr>
                <w:iCs/>
                <w:sz w:val="22"/>
                <w:szCs w:val="22"/>
              </w:rPr>
              <w:t>7</w:t>
            </w:r>
            <w:r w:rsidR="005106ED" w:rsidRPr="00EE753B">
              <w:rPr>
                <w:iCs/>
                <w:sz w:val="22"/>
                <w:szCs w:val="22"/>
              </w:rPr>
              <w:t xml:space="preserve"> mln.</w:t>
            </w:r>
            <w:r w:rsidR="00A847DD" w:rsidRPr="00EE753B">
              <w:rPr>
                <w:iCs/>
                <w:sz w:val="22"/>
                <w:szCs w:val="22"/>
              </w:rPr>
              <w:t xml:space="preserve"> </w:t>
            </w:r>
            <w:r w:rsidR="005106ED" w:rsidRPr="00EE753B">
              <w:rPr>
                <w:iCs/>
                <w:sz w:val="22"/>
                <w:szCs w:val="22"/>
              </w:rPr>
              <w:t>Eur, iš jų 2021</w:t>
            </w:r>
            <w:r w:rsidR="00A847DD" w:rsidRPr="00EE753B">
              <w:rPr>
                <w:iCs/>
                <w:sz w:val="22"/>
                <w:szCs w:val="22"/>
              </w:rPr>
              <w:t>–</w:t>
            </w:r>
            <w:r w:rsidR="005106ED" w:rsidRPr="00EE753B">
              <w:rPr>
                <w:iCs/>
                <w:sz w:val="22"/>
                <w:szCs w:val="22"/>
              </w:rPr>
              <w:t xml:space="preserve">2027 IP lėšų </w:t>
            </w:r>
            <w:r w:rsidR="00022189" w:rsidRPr="00EE753B">
              <w:rPr>
                <w:iCs/>
                <w:sz w:val="22"/>
                <w:szCs w:val="22"/>
              </w:rPr>
              <w:t>6</w:t>
            </w:r>
            <w:r w:rsidR="00A31A95" w:rsidRPr="00EE753B">
              <w:rPr>
                <w:iCs/>
                <w:sz w:val="22"/>
                <w:szCs w:val="22"/>
              </w:rPr>
              <w:t>,</w:t>
            </w:r>
            <w:r w:rsidR="005106ED" w:rsidRPr="00EE753B">
              <w:rPr>
                <w:iCs/>
                <w:sz w:val="22"/>
                <w:szCs w:val="22"/>
              </w:rPr>
              <w:t>75 mln.</w:t>
            </w:r>
            <w:r w:rsidR="00A847DD" w:rsidRPr="00EE753B">
              <w:rPr>
                <w:iCs/>
                <w:sz w:val="22"/>
                <w:szCs w:val="22"/>
              </w:rPr>
              <w:t xml:space="preserve"> </w:t>
            </w:r>
            <w:r w:rsidR="005106ED" w:rsidRPr="00EE753B">
              <w:rPr>
                <w:iCs/>
                <w:sz w:val="22"/>
                <w:szCs w:val="22"/>
              </w:rPr>
              <w:t xml:space="preserve">Eur. Juos investavus bus pakeista </w:t>
            </w:r>
            <w:r w:rsidR="000D7407" w:rsidRPr="00EE753B">
              <w:rPr>
                <w:iCs/>
                <w:sz w:val="22"/>
                <w:szCs w:val="22"/>
              </w:rPr>
              <w:t>5</w:t>
            </w:r>
            <w:r w:rsidR="00470C50">
              <w:rPr>
                <w:iCs/>
                <w:sz w:val="22"/>
                <w:szCs w:val="22"/>
              </w:rPr>
              <w:t xml:space="preserve"> </w:t>
            </w:r>
            <w:r w:rsidR="000D7407" w:rsidRPr="00EE753B">
              <w:rPr>
                <w:iCs/>
                <w:sz w:val="22"/>
                <w:szCs w:val="22"/>
              </w:rPr>
              <w:t>2</w:t>
            </w:r>
            <w:r w:rsidR="003F1211" w:rsidRPr="00EE753B">
              <w:rPr>
                <w:iCs/>
                <w:sz w:val="22"/>
                <w:szCs w:val="22"/>
              </w:rPr>
              <w:t>57</w:t>
            </w:r>
            <w:r w:rsidR="005106ED" w:rsidRPr="00EE753B">
              <w:rPr>
                <w:iCs/>
                <w:sz w:val="22"/>
                <w:szCs w:val="22"/>
              </w:rPr>
              <w:t xml:space="preserve"> šilumos apskaitos prietaisų. </w:t>
            </w:r>
          </w:p>
          <w:p w14:paraId="26FFA25D" w14:textId="77777777" w:rsidR="00BA03B0" w:rsidRPr="00EE753B" w:rsidRDefault="00BA03B0" w:rsidP="00BA03B0">
            <w:pPr>
              <w:ind w:firstLine="567"/>
              <w:jc w:val="both"/>
              <w:rPr>
                <w:iCs/>
                <w:sz w:val="22"/>
                <w:szCs w:val="22"/>
              </w:rPr>
            </w:pPr>
          </w:p>
          <w:p w14:paraId="380485E1" w14:textId="7FD45B95" w:rsidR="00BA03B0" w:rsidRPr="00EE753B" w:rsidRDefault="00BA03B0" w:rsidP="00BA03B0">
            <w:pPr>
              <w:ind w:firstLine="567"/>
              <w:jc w:val="both"/>
              <w:rPr>
                <w:iCs/>
                <w:sz w:val="22"/>
                <w:szCs w:val="22"/>
              </w:rPr>
            </w:pPr>
            <w:r w:rsidRPr="00EE753B">
              <w:rPr>
                <w:iCs/>
                <w:sz w:val="22"/>
                <w:szCs w:val="22"/>
              </w:rPr>
              <w:t xml:space="preserve">Remiantis jautrumo analizės rezultatais (skaičiuoklės darbalapis „Jautrumo analizė“), ši pažangos priemonės įgyvendinimo alternatyva turi </w:t>
            </w:r>
            <w:r w:rsidR="00A46C76" w:rsidRPr="00EE753B">
              <w:rPr>
                <w:iCs/>
                <w:sz w:val="22"/>
                <w:szCs w:val="22"/>
              </w:rPr>
              <w:t xml:space="preserve">1 </w:t>
            </w:r>
            <w:r w:rsidRPr="00EE753B">
              <w:rPr>
                <w:iCs/>
                <w:sz w:val="22"/>
                <w:szCs w:val="22"/>
              </w:rPr>
              <w:t>kritin</w:t>
            </w:r>
            <w:r w:rsidR="00A46C76" w:rsidRPr="00EE753B">
              <w:rPr>
                <w:iCs/>
                <w:sz w:val="22"/>
                <w:szCs w:val="22"/>
              </w:rPr>
              <w:t>į</w:t>
            </w:r>
            <w:r w:rsidRPr="00EE753B">
              <w:rPr>
                <w:iCs/>
                <w:sz w:val="22"/>
                <w:szCs w:val="22"/>
              </w:rPr>
              <w:t xml:space="preserve"> kintam</w:t>
            </w:r>
            <w:r w:rsidR="00A46C76" w:rsidRPr="00EE753B">
              <w:rPr>
                <w:iCs/>
                <w:sz w:val="22"/>
                <w:szCs w:val="22"/>
              </w:rPr>
              <w:t xml:space="preserve">ąjį </w:t>
            </w:r>
            <w:r w:rsidR="00A847DD" w:rsidRPr="00EE753B">
              <w:rPr>
                <w:iCs/>
                <w:sz w:val="22"/>
                <w:szCs w:val="22"/>
              </w:rPr>
              <w:t xml:space="preserve">– </w:t>
            </w:r>
            <w:r w:rsidR="00F13BB7" w:rsidRPr="00EE753B">
              <w:rPr>
                <w:iCs/>
                <w:sz w:val="22"/>
                <w:szCs w:val="22"/>
              </w:rPr>
              <w:t>socialinę diskonto normą</w:t>
            </w:r>
            <w:r w:rsidRPr="00EE753B">
              <w:rPr>
                <w:iCs/>
                <w:sz w:val="22"/>
                <w:szCs w:val="22"/>
              </w:rPr>
              <w:t xml:space="preserve">. </w:t>
            </w:r>
          </w:p>
          <w:p w14:paraId="2090D624" w14:textId="2A658927" w:rsidR="00BA03B0" w:rsidRPr="00EE753B" w:rsidRDefault="00BA03B0" w:rsidP="00BA03B0">
            <w:pPr>
              <w:ind w:firstLine="567"/>
              <w:jc w:val="both"/>
              <w:rPr>
                <w:iCs/>
                <w:sz w:val="22"/>
                <w:szCs w:val="22"/>
              </w:rPr>
            </w:pPr>
            <w:r w:rsidRPr="00EE753B">
              <w:rPr>
                <w:iCs/>
                <w:sz w:val="22"/>
                <w:szCs w:val="22"/>
              </w:rPr>
              <w:t>Scenarijų analizės rezultatai atskleidžia, kad pesimistinio scenarijaus atveju (investicijoms ir veiklos sąnaudoms pabrangus 25</w:t>
            </w:r>
            <w:r w:rsidR="00A847DD" w:rsidRPr="00EE753B">
              <w:rPr>
                <w:iCs/>
                <w:sz w:val="22"/>
                <w:szCs w:val="22"/>
              </w:rPr>
              <w:t xml:space="preserve"> </w:t>
            </w:r>
            <w:r w:rsidRPr="00EE753B">
              <w:rPr>
                <w:iCs/>
                <w:sz w:val="22"/>
                <w:szCs w:val="22"/>
              </w:rPr>
              <w:t>%, o pajamoms ir socialinei naudai sumažėjus 25</w:t>
            </w:r>
            <w:r w:rsidR="00A847DD" w:rsidRPr="00EE753B">
              <w:rPr>
                <w:iCs/>
                <w:sz w:val="22"/>
                <w:szCs w:val="22"/>
              </w:rPr>
              <w:t xml:space="preserve"> </w:t>
            </w:r>
            <w:r w:rsidRPr="00EE753B">
              <w:rPr>
                <w:iCs/>
                <w:sz w:val="22"/>
                <w:szCs w:val="22"/>
              </w:rPr>
              <w:t xml:space="preserve">%), Alternatyvos 1 ENIS būtų lygus </w:t>
            </w:r>
            <w:r w:rsidR="00234344" w:rsidRPr="00EE753B">
              <w:rPr>
                <w:iCs/>
                <w:sz w:val="22"/>
                <w:szCs w:val="22"/>
              </w:rPr>
              <w:t>1,3</w:t>
            </w:r>
            <w:r w:rsidR="005016D3" w:rsidRPr="00EE753B">
              <w:rPr>
                <w:iCs/>
                <w:sz w:val="22"/>
                <w:szCs w:val="22"/>
              </w:rPr>
              <w:t>3</w:t>
            </w:r>
            <w:r w:rsidRPr="00EE753B">
              <w:rPr>
                <w:iCs/>
                <w:sz w:val="22"/>
                <w:szCs w:val="22"/>
              </w:rPr>
              <w:t xml:space="preserve"> todėl vertinama, kad pažangos priemonės įgyvendinimas nėra rizikingas.</w:t>
            </w:r>
          </w:p>
          <w:p w14:paraId="20BAD0F2" w14:textId="00DBE226" w:rsidR="003A421F" w:rsidRPr="00EE753B" w:rsidRDefault="007A4359" w:rsidP="003A421F">
            <w:pPr>
              <w:ind w:firstLine="567"/>
              <w:jc w:val="both"/>
              <w:rPr>
                <w:sz w:val="22"/>
                <w:szCs w:val="22"/>
              </w:rPr>
            </w:pPr>
            <w:r w:rsidRPr="00EE753B">
              <w:rPr>
                <w:sz w:val="22"/>
                <w:szCs w:val="22"/>
              </w:rPr>
              <w:t>P</w:t>
            </w:r>
            <w:r w:rsidR="003A421F" w:rsidRPr="00EE753B">
              <w:rPr>
                <w:sz w:val="22"/>
                <w:szCs w:val="22"/>
              </w:rPr>
              <w:t>ažangos priemon</w:t>
            </w:r>
            <w:r w:rsidRPr="00EE753B">
              <w:rPr>
                <w:sz w:val="22"/>
                <w:szCs w:val="22"/>
              </w:rPr>
              <w:t>ės įgyvendinimu</w:t>
            </w:r>
            <w:r w:rsidR="003A421F" w:rsidRPr="00EE753B">
              <w:rPr>
                <w:sz w:val="22"/>
                <w:szCs w:val="22"/>
              </w:rPr>
              <w:t xml:space="preserve"> prisidedama prie Nacionalinės darnaus vystymosi strategijo</w:t>
            </w:r>
            <w:r w:rsidR="00661EE1" w:rsidRPr="00EE753B">
              <w:rPr>
                <w:sz w:val="22"/>
                <w:szCs w:val="22"/>
              </w:rPr>
              <w:t>s</w:t>
            </w:r>
            <w:r w:rsidR="003A421F" w:rsidRPr="00EE753B">
              <w:rPr>
                <w:sz w:val="22"/>
                <w:szCs w:val="22"/>
              </w:rPr>
              <w:t>, patvirtinto</w:t>
            </w:r>
            <w:r w:rsidR="00661EE1" w:rsidRPr="00EE753B">
              <w:rPr>
                <w:sz w:val="22"/>
                <w:szCs w:val="22"/>
              </w:rPr>
              <w:t>s</w:t>
            </w:r>
            <w:r w:rsidR="003A421F" w:rsidRPr="00EE753B">
              <w:rPr>
                <w:sz w:val="22"/>
                <w:szCs w:val="22"/>
              </w:rPr>
              <w:t xml:space="preserve"> Lietuvos Respublikos Vyriausybės 2003 m. rugsėjo 11 d. nutarimu Nr. </w:t>
            </w:r>
            <w:r w:rsidR="006C5707" w:rsidRPr="00EE753B">
              <w:rPr>
                <w:sz w:val="22"/>
                <w:szCs w:val="22"/>
              </w:rPr>
              <w:t>1160</w:t>
            </w:r>
            <w:r w:rsidR="003A421F" w:rsidRPr="00EE753B">
              <w:rPr>
                <w:sz w:val="22"/>
                <w:szCs w:val="22"/>
              </w:rPr>
              <w:t xml:space="preserve"> „Dėl Nacionalinės darnaus vystymosi strategijos patvirtinimo ir įgyvendinimo“, </w:t>
            </w:r>
            <w:r w:rsidR="00661EE1" w:rsidRPr="00EE753B">
              <w:rPr>
                <w:sz w:val="22"/>
                <w:szCs w:val="22"/>
              </w:rPr>
              <w:t>įgyvendinimo priemonių plan</w:t>
            </w:r>
            <w:r w:rsidR="006C4FB2" w:rsidRPr="00EE753B">
              <w:rPr>
                <w:sz w:val="22"/>
                <w:szCs w:val="22"/>
              </w:rPr>
              <w:t>e nustatyto energetikos srities uždavin</w:t>
            </w:r>
            <w:r w:rsidR="001E344D" w:rsidRPr="00EE753B">
              <w:rPr>
                <w:sz w:val="22"/>
                <w:szCs w:val="22"/>
              </w:rPr>
              <w:t xml:space="preserve">io 1.2 </w:t>
            </w:r>
            <w:r w:rsidR="00792C16" w:rsidRPr="00EE753B">
              <w:rPr>
                <w:sz w:val="22"/>
                <w:szCs w:val="22"/>
              </w:rPr>
              <w:t>„Didinti elektros energijos, šilumos gamybos, skirstymo ir vartojimo efektyvumą, sumažinti energijos nuostolius skirstomuosiuose tinkluose“</w:t>
            </w:r>
            <w:r w:rsidR="003A421F" w:rsidRPr="00EE753B">
              <w:rPr>
                <w:sz w:val="22"/>
                <w:szCs w:val="22"/>
              </w:rPr>
              <w:t xml:space="preserve">. </w:t>
            </w:r>
            <w:r w:rsidR="004C4F20" w:rsidRPr="00EE753B">
              <w:rPr>
                <w:sz w:val="22"/>
                <w:szCs w:val="22"/>
              </w:rPr>
              <w:t>Pastara</w:t>
            </w:r>
            <w:r w:rsidR="00602D85" w:rsidRPr="00EE753B">
              <w:rPr>
                <w:sz w:val="22"/>
                <w:szCs w:val="22"/>
              </w:rPr>
              <w:t xml:space="preserve">sis uždavinys </w:t>
            </w:r>
            <w:r w:rsidR="00273AC9" w:rsidRPr="00EE753B">
              <w:rPr>
                <w:sz w:val="22"/>
                <w:szCs w:val="22"/>
              </w:rPr>
              <w:t>užtikrina ilgalaikio tiksl</w:t>
            </w:r>
            <w:r w:rsidR="00783282" w:rsidRPr="00EE753B">
              <w:rPr>
                <w:sz w:val="22"/>
                <w:szCs w:val="22"/>
              </w:rPr>
              <w:t xml:space="preserve">o pasiekimą - </w:t>
            </w:r>
            <w:r w:rsidR="00273AC9" w:rsidRPr="00EE753B">
              <w:rPr>
                <w:sz w:val="22"/>
                <w:szCs w:val="22"/>
              </w:rPr>
              <w:t>sukurti saugų, palankų aplinkai, konkurencingą ir į bendrą ES energetikos sistemą integruotą energetikos sektorių, užtikrinti patikimą ir diversifikuotą energijos išteklių tiekimą, padidinti energijos gamybos, skirstymo ir vartojimo</w:t>
            </w:r>
            <w:r w:rsidR="00783282" w:rsidRPr="00EE753B">
              <w:rPr>
                <w:sz w:val="22"/>
                <w:szCs w:val="22"/>
              </w:rPr>
              <w:t xml:space="preserve"> </w:t>
            </w:r>
            <w:r w:rsidR="00783282" w:rsidRPr="00EE753B">
              <w:rPr>
                <w:color w:val="000000"/>
                <w:sz w:val="22"/>
                <w:szCs w:val="22"/>
              </w:rPr>
              <w:t xml:space="preserve">efektyvumą, išplėsti atsinaujinančių ir </w:t>
            </w:r>
            <w:proofErr w:type="spellStart"/>
            <w:r w:rsidR="00783282" w:rsidRPr="00EE753B">
              <w:rPr>
                <w:color w:val="000000"/>
                <w:sz w:val="22"/>
                <w:szCs w:val="22"/>
              </w:rPr>
              <w:t>atliekinių</w:t>
            </w:r>
            <w:proofErr w:type="spellEnd"/>
            <w:r w:rsidR="00783282" w:rsidRPr="00EE753B">
              <w:rPr>
                <w:color w:val="000000"/>
                <w:sz w:val="22"/>
                <w:szCs w:val="22"/>
              </w:rPr>
              <w:t xml:space="preserve"> energijos išteklių naudojimą.</w:t>
            </w:r>
            <w:r w:rsidR="00273AC9" w:rsidRPr="00EE753B">
              <w:rPr>
                <w:sz w:val="22"/>
                <w:szCs w:val="22"/>
              </w:rPr>
              <w:t xml:space="preserve"> </w:t>
            </w:r>
            <w:r w:rsidR="007D63F8" w:rsidRPr="00EE753B">
              <w:rPr>
                <w:sz w:val="22"/>
                <w:szCs w:val="22"/>
              </w:rPr>
              <w:t xml:space="preserve">Kartu pažangos priemonė sprendžia uždavinį 2.3 </w:t>
            </w:r>
            <w:r w:rsidR="00210BF7" w:rsidRPr="00EE753B">
              <w:rPr>
                <w:sz w:val="22"/>
                <w:szCs w:val="22"/>
              </w:rPr>
              <w:t>„</w:t>
            </w:r>
            <w:r w:rsidR="00210BF7" w:rsidRPr="00EE753B">
              <w:rPr>
                <w:color w:val="000000"/>
                <w:sz w:val="22"/>
                <w:szCs w:val="22"/>
              </w:rPr>
              <w:t xml:space="preserve">Didinti energijos taupymą ir vartojimo efektyvumą“, kuriuo užtikrinamas trumpalaikio tikslo </w:t>
            </w:r>
            <w:r w:rsidR="00342318" w:rsidRPr="00EE753B">
              <w:rPr>
                <w:color w:val="000000"/>
                <w:sz w:val="22"/>
                <w:szCs w:val="22"/>
              </w:rPr>
              <w:t xml:space="preserve">- užtikrinti patikimą ir saugų, neviršijantį numatytųjų taršos limitų energijos tiekimą visoms Lietuvos ūkio šakoms, didinti energijos taupymą ir naudojimo efektyvumą, tinkamai naudojant ES struktūrinių paramos fondų, valstybės ir privačias lėšas - pasiekimas. </w:t>
            </w:r>
          </w:p>
          <w:p w14:paraId="614AB354" w14:textId="21024942" w:rsidR="002E08FC" w:rsidRPr="00EE753B" w:rsidRDefault="00BA03B0" w:rsidP="002E08FC">
            <w:pPr>
              <w:ind w:firstLine="567"/>
              <w:jc w:val="both"/>
              <w:rPr>
                <w:iCs/>
                <w:sz w:val="22"/>
                <w:szCs w:val="22"/>
              </w:rPr>
            </w:pPr>
            <w:r w:rsidRPr="00EE753B">
              <w:rPr>
                <w:iCs/>
                <w:sz w:val="22"/>
                <w:szCs w:val="22"/>
              </w:rPr>
              <w:t xml:space="preserve">Alternatyvos </w:t>
            </w:r>
            <w:r w:rsidR="00234344" w:rsidRPr="00EE753B">
              <w:rPr>
                <w:iCs/>
                <w:sz w:val="22"/>
                <w:szCs w:val="22"/>
              </w:rPr>
              <w:t>1</w:t>
            </w:r>
            <w:r w:rsidRPr="00EE753B">
              <w:rPr>
                <w:iCs/>
                <w:sz w:val="22"/>
                <w:szCs w:val="22"/>
              </w:rPr>
              <w:t xml:space="preserve"> veikl</w:t>
            </w:r>
            <w:r w:rsidR="00B059C2" w:rsidRPr="00EE753B">
              <w:rPr>
                <w:iCs/>
                <w:sz w:val="22"/>
                <w:szCs w:val="22"/>
              </w:rPr>
              <w:t>os</w:t>
            </w:r>
            <w:r w:rsidRPr="00EE753B">
              <w:rPr>
                <w:iCs/>
                <w:sz w:val="22"/>
                <w:szCs w:val="22"/>
              </w:rPr>
              <w:t xml:space="preserve"> tiesiogiai įgyvendina 7-ąjį darnaus vystymosi tikslą „Užtikrinti visiems galimybę naudotis prieinama, patikima, darnia ir modernia energija“. Konkretūs Jungtinių Tautų ir Lietuvos rodikliai, prie kurio prisideda pažangos priemonės veiklos „7.3.1a Galutinės energijos intensyvumas“ (visos veiklos) ir „7.3.1e. Galutinės energijos suvartojimas namų ūkiuose, tenkantis vienam gyventojui“ (</w:t>
            </w:r>
            <w:r w:rsidR="00B72D74" w:rsidRPr="00EE753B">
              <w:rPr>
                <w:iCs/>
                <w:sz w:val="22"/>
                <w:szCs w:val="22"/>
              </w:rPr>
              <w:t>V</w:t>
            </w:r>
            <w:r w:rsidRPr="00EE753B">
              <w:rPr>
                <w:iCs/>
                <w:sz w:val="22"/>
                <w:szCs w:val="22"/>
              </w:rPr>
              <w:t xml:space="preserve">eiklos </w:t>
            </w:r>
            <w:r w:rsidR="00B72D74" w:rsidRPr="00EE753B">
              <w:rPr>
                <w:iCs/>
                <w:sz w:val="22"/>
                <w:szCs w:val="22"/>
              </w:rPr>
              <w:t>3</w:t>
            </w:r>
            <w:r w:rsidR="00A847DD" w:rsidRPr="00EE753B">
              <w:rPr>
                <w:iCs/>
                <w:sz w:val="22"/>
                <w:szCs w:val="22"/>
              </w:rPr>
              <w:t>–</w:t>
            </w:r>
            <w:r w:rsidR="0042115F">
              <w:rPr>
                <w:iCs/>
                <w:sz w:val="22"/>
                <w:szCs w:val="22"/>
              </w:rPr>
              <w:t>4</w:t>
            </w:r>
            <w:r w:rsidRPr="00EE753B">
              <w:rPr>
                <w:iCs/>
                <w:sz w:val="22"/>
                <w:szCs w:val="22"/>
              </w:rPr>
              <w:t>).</w:t>
            </w:r>
            <w:r w:rsidR="00BF0D42" w:rsidRPr="00EE753B">
              <w:rPr>
                <w:iCs/>
                <w:sz w:val="22"/>
                <w:szCs w:val="22"/>
              </w:rPr>
              <w:t xml:space="preserve"> </w:t>
            </w:r>
            <w:r w:rsidR="00B059C2" w:rsidRPr="00EE753B">
              <w:rPr>
                <w:iCs/>
                <w:sz w:val="22"/>
                <w:szCs w:val="22"/>
              </w:rPr>
              <w:t xml:space="preserve">Atitinkamai, </w:t>
            </w:r>
            <w:r w:rsidR="009541C2" w:rsidRPr="00EE753B">
              <w:rPr>
                <w:iCs/>
                <w:sz w:val="22"/>
                <w:szCs w:val="22"/>
              </w:rPr>
              <w:t xml:space="preserve">vertinama, kad </w:t>
            </w:r>
            <w:r w:rsidR="00341739" w:rsidRPr="00EE753B">
              <w:rPr>
                <w:iCs/>
                <w:sz w:val="22"/>
                <w:szCs w:val="22"/>
              </w:rPr>
              <w:t>pažangos priemon</w:t>
            </w:r>
            <w:r w:rsidR="000366F5" w:rsidRPr="00EE753B">
              <w:rPr>
                <w:iCs/>
                <w:sz w:val="22"/>
                <w:szCs w:val="22"/>
              </w:rPr>
              <w:t>ės turiniu laikomasi</w:t>
            </w:r>
            <w:r w:rsidR="00341739" w:rsidRPr="00EE753B">
              <w:rPr>
                <w:iCs/>
                <w:sz w:val="22"/>
                <w:szCs w:val="22"/>
              </w:rPr>
              <w:t xml:space="preserve"> </w:t>
            </w:r>
            <w:r w:rsidR="00C66EA6" w:rsidRPr="00EE753B">
              <w:rPr>
                <w:iCs/>
                <w:sz w:val="22"/>
                <w:szCs w:val="22"/>
              </w:rPr>
              <w:t xml:space="preserve">horizontaliojo </w:t>
            </w:r>
            <w:r w:rsidR="00834886" w:rsidRPr="00EE753B">
              <w:rPr>
                <w:iCs/>
                <w:sz w:val="22"/>
                <w:szCs w:val="22"/>
              </w:rPr>
              <w:t>darnaus vystymosi</w:t>
            </w:r>
            <w:r w:rsidR="00C66EA6" w:rsidRPr="00EE753B">
              <w:rPr>
                <w:iCs/>
                <w:sz w:val="22"/>
                <w:szCs w:val="22"/>
              </w:rPr>
              <w:t xml:space="preserve"> principo (</w:t>
            </w:r>
            <w:r w:rsidR="00834886" w:rsidRPr="00EE753B">
              <w:rPr>
                <w:iCs/>
                <w:sz w:val="22"/>
                <w:szCs w:val="22"/>
              </w:rPr>
              <w:t>įskaitant reikšmingos žalos nedarymo principą</w:t>
            </w:r>
            <w:r w:rsidR="00C66EA6" w:rsidRPr="00EE753B">
              <w:rPr>
                <w:iCs/>
                <w:sz w:val="22"/>
                <w:szCs w:val="22"/>
              </w:rPr>
              <w:t>).</w:t>
            </w:r>
            <w:r w:rsidR="00834886" w:rsidRPr="00EE753B">
              <w:rPr>
                <w:iCs/>
                <w:sz w:val="22"/>
                <w:szCs w:val="22"/>
              </w:rPr>
              <w:t xml:space="preserve"> </w:t>
            </w:r>
            <w:r w:rsidR="00BF0D42" w:rsidRPr="00EE753B">
              <w:rPr>
                <w:iCs/>
                <w:sz w:val="22"/>
                <w:szCs w:val="22"/>
              </w:rPr>
              <w:t xml:space="preserve">Pažangos priemonės veiklos </w:t>
            </w:r>
            <w:r w:rsidR="003C72FA" w:rsidRPr="00EE753B">
              <w:rPr>
                <w:iCs/>
                <w:sz w:val="22"/>
                <w:szCs w:val="22"/>
              </w:rPr>
              <w:t>taip pat</w:t>
            </w:r>
            <w:r w:rsidR="00FC0E2A" w:rsidRPr="00EE753B">
              <w:rPr>
                <w:iCs/>
                <w:sz w:val="22"/>
                <w:szCs w:val="22"/>
              </w:rPr>
              <w:t xml:space="preserve"> prisideda prie </w:t>
            </w:r>
            <w:r w:rsidR="009D7783" w:rsidRPr="00EE753B">
              <w:rPr>
                <w:iCs/>
                <w:sz w:val="22"/>
                <w:szCs w:val="22"/>
              </w:rPr>
              <w:t xml:space="preserve">horizontaliojo </w:t>
            </w:r>
            <w:r w:rsidR="00FC0E2A" w:rsidRPr="00EE753B">
              <w:rPr>
                <w:iCs/>
                <w:sz w:val="22"/>
                <w:szCs w:val="22"/>
              </w:rPr>
              <w:t xml:space="preserve">inovatyvumo </w:t>
            </w:r>
            <w:r w:rsidR="009D7783" w:rsidRPr="00EE753B">
              <w:rPr>
                <w:iCs/>
                <w:sz w:val="22"/>
                <w:szCs w:val="22"/>
              </w:rPr>
              <w:t xml:space="preserve">principo, </w:t>
            </w:r>
            <w:r w:rsidR="00FC0E2A" w:rsidRPr="00EE753B">
              <w:rPr>
                <w:iCs/>
                <w:sz w:val="22"/>
                <w:szCs w:val="22"/>
              </w:rPr>
              <w:t xml:space="preserve">kadangi </w:t>
            </w:r>
            <w:r w:rsidR="00B75A55" w:rsidRPr="00EE753B">
              <w:rPr>
                <w:iCs/>
                <w:sz w:val="22"/>
                <w:szCs w:val="22"/>
              </w:rPr>
              <w:t xml:space="preserve">įgalina </w:t>
            </w:r>
            <w:r w:rsidR="009E18ED" w:rsidRPr="00EE753B">
              <w:rPr>
                <w:iCs/>
                <w:sz w:val="22"/>
                <w:szCs w:val="22"/>
              </w:rPr>
              <w:t xml:space="preserve">praktikoje taikyti naujas </w:t>
            </w:r>
            <w:r w:rsidR="0006773F" w:rsidRPr="00EE753B">
              <w:rPr>
                <w:iCs/>
                <w:sz w:val="22"/>
                <w:szCs w:val="22"/>
              </w:rPr>
              <w:t xml:space="preserve">šilumos </w:t>
            </w:r>
            <w:r w:rsidR="00D70254" w:rsidRPr="00EE753B">
              <w:rPr>
                <w:iCs/>
                <w:sz w:val="22"/>
                <w:szCs w:val="22"/>
              </w:rPr>
              <w:t xml:space="preserve">suvartojimo apskaitos technologijas. </w:t>
            </w:r>
            <w:r w:rsidR="007375A2" w:rsidRPr="00EE753B">
              <w:rPr>
                <w:iCs/>
                <w:sz w:val="22"/>
                <w:szCs w:val="22"/>
              </w:rPr>
              <w:t xml:space="preserve">Horizontaliojo lygių galimybių ir nediskriminavimo principo įgyvendinimas užtikrinamas </w:t>
            </w:r>
            <w:r w:rsidR="007D11A5" w:rsidRPr="00EE753B">
              <w:rPr>
                <w:iCs/>
                <w:sz w:val="22"/>
                <w:szCs w:val="22"/>
              </w:rPr>
              <w:t>netaikant selektyvumo šilumos vartotojų atžvilgiu</w:t>
            </w:r>
            <w:r w:rsidR="0003223D" w:rsidRPr="00EE753B">
              <w:rPr>
                <w:iCs/>
                <w:sz w:val="22"/>
                <w:szCs w:val="22"/>
              </w:rPr>
              <w:t xml:space="preserve"> – pažangos priemonės veiklos įgyvendinamos </w:t>
            </w:r>
            <w:r w:rsidR="006D5BE9" w:rsidRPr="00EE753B">
              <w:rPr>
                <w:iCs/>
                <w:sz w:val="22"/>
                <w:szCs w:val="22"/>
              </w:rPr>
              <w:t xml:space="preserve">atsižvelgiant į techninius infrastruktūros rodiklius, siekiant </w:t>
            </w:r>
            <w:r w:rsidR="007C301C" w:rsidRPr="00EE753B">
              <w:rPr>
                <w:iCs/>
                <w:sz w:val="22"/>
                <w:szCs w:val="22"/>
              </w:rPr>
              <w:t xml:space="preserve">optimalaus poveikio energijos </w:t>
            </w:r>
            <w:r w:rsidR="00697DD6" w:rsidRPr="00EE753B">
              <w:rPr>
                <w:iCs/>
                <w:sz w:val="22"/>
                <w:szCs w:val="22"/>
              </w:rPr>
              <w:t>naudojimo efektyvumo augimui</w:t>
            </w:r>
            <w:r w:rsidR="007C301C" w:rsidRPr="00EE753B">
              <w:rPr>
                <w:iCs/>
                <w:sz w:val="22"/>
                <w:szCs w:val="22"/>
              </w:rPr>
              <w:t xml:space="preserve">. </w:t>
            </w:r>
          </w:p>
          <w:p w14:paraId="735F30E7" w14:textId="2E620E93" w:rsidR="00381712" w:rsidRPr="00EE753B" w:rsidRDefault="00381712" w:rsidP="002E08FC">
            <w:pPr>
              <w:ind w:firstLine="567"/>
              <w:jc w:val="both"/>
              <w:rPr>
                <w:i/>
                <w:sz w:val="22"/>
                <w:szCs w:val="22"/>
              </w:rPr>
            </w:pPr>
            <w:r w:rsidRPr="00EE753B">
              <w:rPr>
                <w:color w:val="000000"/>
                <w:sz w:val="22"/>
                <w:szCs w:val="22"/>
              </w:rPr>
              <w:t xml:space="preserve">Įgyvendinant pažangos priemonės veiklas bus laikomasi horizontaliųjų principų ir atitinkamų Europos Sąjungos pagrindinių teisių chartijos nuostatų pagal </w:t>
            </w:r>
            <w:r w:rsidR="00442B4A" w:rsidRPr="00EE753B">
              <w:rPr>
                <w:color w:val="000000"/>
                <w:sz w:val="22"/>
                <w:szCs w:val="22"/>
              </w:rPr>
              <w:t xml:space="preserve">2021-2027 metų Europos Sąjungos fondų investicijų programos ir </w:t>
            </w:r>
            <w:r w:rsidR="00A01C59" w:rsidRPr="00EE753B">
              <w:rPr>
                <w:color w:val="000000"/>
                <w:sz w:val="22"/>
                <w:szCs w:val="22"/>
              </w:rPr>
              <w:t xml:space="preserve">ekonomikos gaivinimo ir atsparumo didinimo plano „Naujos kartos Lietuva“ administravimo </w:t>
            </w:r>
            <w:r w:rsidR="006C5707" w:rsidRPr="00EE753B">
              <w:rPr>
                <w:color w:val="000000"/>
                <w:sz w:val="22"/>
                <w:szCs w:val="22"/>
              </w:rPr>
              <w:t>taisyklių</w:t>
            </w:r>
            <w:r w:rsidRPr="00EE753B">
              <w:rPr>
                <w:color w:val="000000"/>
                <w:sz w:val="22"/>
                <w:szCs w:val="22"/>
              </w:rPr>
              <w:t xml:space="preserve"> 344–347 punktuose nustatytus reikalavimus.</w:t>
            </w:r>
          </w:p>
        </w:tc>
      </w:tr>
    </w:tbl>
    <w:p w14:paraId="0DE4210A" w14:textId="77777777" w:rsidR="00A13816" w:rsidRDefault="00020307">
      <w:pPr>
        <w:ind w:firstLine="567"/>
        <w:jc w:val="center"/>
        <w:rPr>
          <w:sz w:val="22"/>
          <w:szCs w:val="22"/>
        </w:rPr>
      </w:pPr>
      <w:r w:rsidRPr="00EE753B">
        <w:rPr>
          <w:sz w:val="22"/>
          <w:szCs w:val="22"/>
        </w:rPr>
        <w:t>___________________________</w:t>
      </w:r>
    </w:p>
    <w:sectPr w:rsidR="00A13816" w:rsidSect="009A5804">
      <w:headerReference w:type="default" r:id="rId11"/>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D742" w14:textId="77777777" w:rsidR="002C0C0D" w:rsidRDefault="002C0C0D">
      <w:pPr>
        <w:rPr>
          <w:sz w:val="22"/>
          <w:szCs w:val="22"/>
        </w:rPr>
      </w:pPr>
      <w:r>
        <w:rPr>
          <w:sz w:val="22"/>
          <w:szCs w:val="22"/>
        </w:rPr>
        <w:separator/>
      </w:r>
    </w:p>
  </w:endnote>
  <w:endnote w:type="continuationSeparator" w:id="0">
    <w:p w14:paraId="16FDF8D4" w14:textId="77777777" w:rsidR="002C0C0D" w:rsidRDefault="002C0C0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2EDE" w14:textId="77777777" w:rsidR="002C0C0D" w:rsidRDefault="002C0C0D">
      <w:pPr>
        <w:rPr>
          <w:sz w:val="22"/>
          <w:szCs w:val="22"/>
        </w:rPr>
      </w:pPr>
      <w:r>
        <w:rPr>
          <w:sz w:val="22"/>
          <w:szCs w:val="22"/>
        </w:rPr>
        <w:separator/>
      </w:r>
    </w:p>
  </w:footnote>
  <w:footnote w:type="continuationSeparator" w:id="0">
    <w:p w14:paraId="658455F0" w14:textId="77777777" w:rsidR="002C0C0D" w:rsidRDefault="002C0C0D">
      <w:pPr>
        <w:rPr>
          <w:sz w:val="22"/>
          <w:szCs w:val="22"/>
        </w:rPr>
      </w:pPr>
      <w:r>
        <w:rPr>
          <w:sz w:val="22"/>
          <w:szCs w:val="22"/>
        </w:rPr>
        <w:continuationSeparator/>
      </w:r>
    </w:p>
  </w:footnote>
  <w:footnote w:id="1">
    <w:p w14:paraId="7A98C42F" w14:textId="726DB6C1" w:rsidR="00C16568" w:rsidRPr="00C16568" w:rsidRDefault="00C16568">
      <w:pPr>
        <w:pStyle w:val="FootnoteText"/>
        <w:rPr>
          <w:lang w:val="en-US"/>
        </w:rPr>
      </w:pPr>
      <w:r>
        <w:rPr>
          <w:rStyle w:val="FootnoteReference"/>
        </w:rPr>
        <w:footnoteRef/>
      </w:r>
      <w:r>
        <w:t xml:space="preserve"> Į </w:t>
      </w:r>
      <w:proofErr w:type="spellStart"/>
      <w:r w:rsidRPr="00895A4B">
        <w:rPr>
          <w:i/>
          <w:iCs/>
        </w:rPr>
        <w:t>Eurostat</w:t>
      </w:r>
      <w:proofErr w:type="spellEnd"/>
      <w:r w:rsidRPr="00895A4B">
        <w:rPr>
          <w:i/>
          <w:iCs/>
        </w:rPr>
        <w:t xml:space="preserve"> </w:t>
      </w:r>
      <w:r w:rsidR="00895A4B">
        <w:t xml:space="preserve">statistiką iki Didžiosios Britanijos išstojimo iš ES buvo įskaičiuojami ir šios šalies rodikliai.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91400"/>
      <w:docPartObj>
        <w:docPartGallery w:val="Page Numbers (Top of Page)"/>
        <w:docPartUnique/>
      </w:docPartObj>
    </w:sdtPr>
    <w:sdtEndPr/>
    <w:sdtContent>
      <w:p w14:paraId="5B2BA311" w14:textId="0BBB66C5" w:rsidR="00020307" w:rsidRDefault="00020307">
        <w:pPr>
          <w:pStyle w:val="Header"/>
          <w:jc w:val="center"/>
        </w:pPr>
        <w:r>
          <w:fldChar w:fldCharType="begin"/>
        </w:r>
        <w:r>
          <w:instrText>PAGE   \* MERGEFORMAT</w:instrText>
        </w:r>
        <w:r>
          <w:fldChar w:fldCharType="separate"/>
        </w:r>
        <w:r>
          <w:rPr>
            <w:noProof/>
          </w:rPr>
          <w:t>4</w:t>
        </w:r>
        <w:r>
          <w:fldChar w:fldCharType="end"/>
        </w:r>
      </w:p>
    </w:sdtContent>
  </w:sdt>
  <w:p w14:paraId="341BB9A3" w14:textId="76D6F0B1" w:rsidR="00A13816" w:rsidRDefault="00A13816" w:rsidP="006421C2">
    <w:pPr>
      <w:tabs>
        <w:tab w:val="center" w:pos="4819"/>
        <w:tab w:val="right" w:pos="9638"/>
      </w:tabs>
      <w:ind w:firstLine="1296"/>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5C4"/>
    <w:multiLevelType w:val="multilevel"/>
    <w:tmpl w:val="ABA0BC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BBE38ED"/>
    <w:multiLevelType w:val="hybridMultilevel"/>
    <w:tmpl w:val="97F04828"/>
    <w:lvl w:ilvl="0" w:tplc="042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575623"/>
    <w:multiLevelType w:val="hybridMultilevel"/>
    <w:tmpl w:val="3E1649BC"/>
    <w:lvl w:ilvl="0" w:tplc="891C7B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34C46"/>
    <w:multiLevelType w:val="hybridMultilevel"/>
    <w:tmpl w:val="C110FE9E"/>
    <w:lvl w:ilvl="0" w:tplc="EEB8C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D0596"/>
    <w:multiLevelType w:val="hybridMultilevel"/>
    <w:tmpl w:val="3B269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671C4"/>
    <w:multiLevelType w:val="hybridMultilevel"/>
    <w:tmpl w:val="340CFBBA"/>
    <w:lvl w:ilvl="0" w:tplc="38905556">
      <w:start w:val="1"/>
      <w:numFmt w:val="decimal"/>
      <w:lvlText w:val="%1."/>
      <w:lvlJc w:val="left"/>
      <w:pPr>
        <w:ind w:left="720" w:hanging="360"/>
      </w:pPr>
      <w:rPr>
        <w:rFonts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104FC"/>
    <w:multiLevelType w:val="hybridMultilevel"/>
    <w:tmpl w:val="91701B16"/>
    <w:lvl w:ilvl="0" w:tplc="674EB552">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1FBE7B6C"/>
    <w:multiLevelType w:val="hybridMultilevel"/>
    <w:tmpl w:val="FEE67000"/>
    <w:lvl w:ilvl="0" w:tplc="0427000D">
      <w:start w:val="1"/>
      <w:numFmt w:val="bullet"/>
      <w:lvlText w:val=""/>
      <w:lvlJc w:val="left"/>
      <w:pPr>
        <w:ind w:left="360" w:hanging="360"/>
      </w:pPr>
      <w:rPr>
        <w:rFonts w:ascii="Wingdings" w:hAnsi="Wingdings" w:hint="default"/>
      </w:rPr>
    </w:lvl>
    <w:lvl w:ilvl="1" w:tplc="26B2DE46">
      <w:numFmt w:val="bullet"/>
      <w:lvlText w:val="-"/>
      <w:lvlJc w:val="left"/>
      <w:pPr>
        <w:ind w:left="1080" w:hanging="360"/>
      </w:pPr>
      <w:rPr>
        <w:rFonts w:ascii="Calibri" w:eastAsiaTheme="minorHAnsi" w:hAnsi="Calibri" w:cs="Calibri"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24D2DA8"/>
    <w:multiLevelType w:val="hybridMultilevel"/>
    <w:tmpl w:val="AC76A7EA"/>
    <w:lvl w:ilvl="0" w:tplc="ACCA4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30075"/>
    <w:multiLevelType w:val="hybridMultilevel"/>
    <w:tmpl w:val="61DCCD10"/>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93A4FC9"/>
    <w:multiLevelType w:val="hybridMultilevel"/>
    <w:tmpl w:val="833886A6"/>
    <w:lvl w:ilvl="0" w:tplc="D0B66692">
      <w:start w:val="2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B295A"/>
    <w:multiLevelType w:val="hybridMultilevel"/>
    <w:tmpl w:val="2CCE65A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B7655D"/>
    <w:multiLevelType w:val="hybridMultilevel"/>
    <w:tmpl w:val="755015A8"/>
    <w:lvl w:ilvl="0" w:tplc="0F72EB54">
      <w:start w:val="1"/>
      <w:numFmt w:val="lowerRoman"/>
      <w:lvlText w:val="%1."/>
      <w:lvlJc w:val="left"/>
      <w:pPr>
        <w:ind w:left="1363" w:hanging="72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3" w15:restartNumberingAfterBreak="0">
    <w:nsid w:val="333D670E"/>
    <w:multiLevelType w:val="hybridMultilevel"/>
    <w:tmpl w:val="CBF62408"/>
    <w:lvl w:ilvl="0" w:tplc="1BC82FD8">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AF33139"/>
    <w:multiLevelType w:val="hybridMultilevel"/>
    <w:tmpl w:val="3CA60474"/>
    <w:lvl w:ilvl="0" w:tplc="2FFAD6A8">
      <w:start w:val="1"/>
      <w:numFmt w:val="decimal"/>
      <w:lvlText w:val="%1)"/>
      <w:lvlJc w:val="left"/>
      <w:pPr>
        <w:ind w:left="720" w:hanging="360"/>
      </w:pPr>
      <w:rPr>
        <w:i w:val="0"/>
        <w:iCs/>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68470C"/>
    <w:multiLevelType w:val="hybridMultilevel"/>
    <w:tmpl w:val="D8FCF8B2"/>
    <w:lvl w:ilvl="0" w:tplc="0427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021597A"/>
    <w:multiLevelType w:val="multilevel"/>
    <w:tmpl w:val="F146D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11008E9"/>
    <w:multiLevelType w:val="multilevel"/>
    <w:tmpl w:val="2A1844A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5041B1"/>
    <w:multiLevelType w:val="hybridMultilevel"/>
    <w:tmpl w:val="B232CB8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3F6438A"/>
    <w:multiLevelType w:val="hybridMultilevel"/>
    <w:tmpl w:val="AF98E35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5270E0E"/>
    <w:multiLevelType w:val="hybridMultilevel"/>
    <w:tmpl w:val="3B269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052915"/>
    <w:multiLevelType w:val="hybridMultilevel"/>
    <w:tmpl w:val="A2CA985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844010B"/>
    <w:multiLevelType w:val="hybridMultilevel"/>
    <w:tmpl w:val="61DEDFC2"/>
    <w:lvl w:ilvl="0" w:tplc="FFFFFFFF">
      <w:start w:val="1"/>
      <w:numFmt w:val="bullet"/>
      <w:lvlText w:val=""/>
      <w:lvlJc w:val="left"/>
      <w:pPr>
        <w:ind w:left="360" w:hanging="360"/>
      </w:pPr>
      <w:rPr>
        <w:rFonts w:ascii="Wingdings" w:hAnsi="Wingdings" w:hint="default"/>
      </w:rPr>
    </w:lvl>
    <w:lvl w:ilvl="1" w:tplc="0427000D">
      <w:start w:val="1"/>
      <w:numFmt w:val="bullet"/>
      <w:lvlText w:val=""/>
      <w:lvlJc w:val="left"/>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A203B12"/>
    <w:multiLevelType w:val="hybridMultilevel"/>
    <w:tmpl w:val="B406F8E2"/>
    <w:lvl w:ilvl="0" w:tplc="78C6E4F2">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800A87"/>
    <w:multiLevelType w:val="hybridMultilevel"/>
    <w:tmpl w:val="13D64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31324"/>
    <w:multiLevelType w:val="hybridMultilevel"/>
    <w:tmpl w:val="DF8EE902"/>
    <w:lvl w:ilvl="0" w:tplc="AEE2B9F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707ACD"/>
    <w:multiLevelType w:val="hybridMultilevel"/>
    <w:tmpl w:val="5770EAF0"/>
    <w:lvl w:ilvl="0" w:tplc="FB9A0DEC">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659B2D73"/>
    <w:multiLevelType w:val="hybridMultilevel"/>
    <w:tmpl w:val="8CD068C4"/>
    <w:lvl w:ilvl="0" w:tplc="B81EF9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54E5E"/>
    <w:multiLevelType w:val="hybridMultilevel"/>
    <w:tmpl w:val="7ED2BDF8"/>
    <w:lvl w:ilvl="0" w:tplc="0427000D">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A853364"/>
    <w:multiLevelType w:val="hybridMultilevel"/>
    <w:tmpl w:val="180E2CEC"/>
    <w:lvl w:ilvl="0" w:tplc="CD98E4E8">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BC05C5"/>
    <w:multiLevelType w:val="multilevel"/>
    <w:tmpl w:val="145A3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B444B1B"/>
    <w:multiLevelType w:val="hybridMultilevel"/>
    <w:tmpl w:val="1BDAF2D2"/>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DE4126C"/>
    <w:multiLevelType w:val="hybridMultilevel"/>
    <w:tmpl w:val="4C9A27F4"/>
    <w:lvl w:ilvl="0" w:tplc="22660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62857"/>
    <w:multiLevelType w:val="hybridMultilevel"/>
    <w:tmpl w:val="DB1445AC"/>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39857CA"/>
    <w:multiLevelType w:val="hybridMultilevel"/>
    <w:tmpl w:val="007256B6"/>
    <w:lvl w:ilvl="0" w:tplc="1E76D5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424B90"/>
    <w:multiLevelType w:val="hybridMultilevel"/>
    <w:tmpl w:val="3B26970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B0CD8"/>
    <w:multiLevelType w:val="hybridMultilevel"/>
    <w:tmpl w:val="738E9CFC"/>
    <w:lvl w:ilvl="0" w:tplc="E19490A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9F1A0B"/>
    <w:multiLevelType w:val="hybridMultilevel"/>
    <w:tmpl w:val="9EFA5B68"/>
    <w:lvl w:ilvl="0" w:tplc="04489C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1972B2"/>
    <w:multiLevelType w:val="hybridMultilevel"/>
    <w:tmpl w:val="3B269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5D1848"/>
    <w:multiLevelType w:val="hybridMultilevel"/>
    <w:tmpl w:val="1250CC18"/>
    <w:lvl w:ilvl="0" w:tplc="F95A7DBC">
      <w:start w:val="20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DC010D7"/>
    <w:multiLevelType w:val="multilevel"/>
    <w:tmpl w:val="8196D6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7ED92DEF"/>
    <w:multiLevelType w:val="hybridMultilevel"/>
    <w:tmpl w:val="A9081508"/>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653220672">
    <w:abstractNumId w:val="30"/>
  </w:num>
  <w:num w:numId="2" w16cid:durableId="1099523568">
    <w:abstractNumId w:val="40"/>
  </w:num>
  <w:num w:numId="3" w16cid:durableId="1655181213">
    <w:abstractNumId w:val="16"/>
  </w:num>
  <w:num w:numId="4" w16cid:durableId="520438492">
    <w:abstractNumId w:val="0"/>
  </w:num>
  <w:num w:numId="5" w16cid:durableId="1097598726">
    <w:abstractNumId w:val="17"/>
  </w:num>
  <w:num w:numId="6" w16cid:durableId="604725679">
    <w:abstractNumId w:val="23"/>
  </w:num>
  <w:num w:numId="7" w16cid:durableId="1262177132">
    <w:abstractNumId w:val="6"/>
  </w:num>
  <w:num w:numId="8" w16cid:durableId="843014776">
    <w:abstractNumId w:val="26"/>
  </w:num>
  <w:num w:numId="9" w16cid:durableId="1747534385">
    <w:abstractNumId w:val="12"/>
  </w:num>
  <w:num w:numId="10" w16cid:durableId="14549523">
    <w:abstractNumId w:val="10"/>
  </w:num>
  <w:num w:numId="11" w16cid:durableId="894046367">
    <w:abstractNumId w:val="13"/>
  </w:num>
  <w:num w:numId="12" w16cid:durableId="1605306742">
    <w:abstractNumId w:val="19"/>
  </w:num>
  <w:num w:numId="13" w16cid:durableId="1008095150">
    <w:abstractNumId w:val="9"/>
  </w:num>
  <w:num w:numId="14" w16cid:durableId="154616132">
    <w:abstractNumId w:val="7"/>
  </w:num>
  <w:num w:numId="15" w16cid:durableId="284118329">
    <w:abstractNumId w:val="28"/>
  </w:num>
  <w:num w:numId="16" w16cid:durableId="1477793271">
    <w:abstractNumId w:val="21"/>
  </w:num>
  <w:num w:numId="17" w16cid:durableId="841897767">
    <w:abstractNumId w:val="15"/>
  </w:num>
  <w:num w:numId="18" w16cid:durableId="1222523119">
    <w:abstractNumId w:val="22"/>
  </w:num>
  <w:num w:numId="19" w16cid:durableId="1656177730">
    <w:abstractNumId w:val="31"/>
  </w:num>
  <w:num w:numId="20" w16cid:durableId="1221213832">
    <w:abstractNumId w:val="41"/>
  </w:num>
  <w:num w:numId="21" w16cid:durableId="465319092">
    <w:abstractNumId w:val="18"/>
  </w:num>
  <w:num w:numId="22" w16cid:durableId="569116055">
    <w:abstractNumId w:val="11"/>
  </w:num>
  <w:num w:numId="23" w16cid:durableId="143353921">
    <w:abstractNumId w:val="1"/>
  </w:num>
  <w:num w:numId="24" w16cid:durableId="1430083959">
    <w:abstractNumId w:val="29"/>
  </w:num>
  <w:num w:numId="25" w16cid:durableId="977103461">
    <w:abstractNumId w:val="33"/>
  </w:num>
  <w:num w:numId="26" w16cid:durableId="500197843">
    <w:abstractNumId w:val="5"/>
  </w:num>
  <w:num w:numId="27" w16cid:durableId="1987317730">
    <w:abstractNumId w:val="32"/>
  </w:num>
  <w:num w:numId="28" w16cid:durableId="368914250">
    <w:abstractNumId w:val="35"/>
  </w:num>
  <w:num w:numId="29" w16cid:durableId="806505924">
    <w:abstractNumId w:val="34"/>
  </w:num>
  <w:num w:numId="30" w16cid:durableId="1504319387">
    <w:abstractNumId w:val="38"/>
  </w:num>
  <w:num w:numId="31" w16cid:durableId="1393575470">
    <w:abstractNumId w:val="2"/>
  </w:num>
  <w:num w:numId="32" w16cid:durableId="1963077638">
    <w:abstractNumId w:val="4"/>
  </w:num>
  <w:num w:numId="33" w16cid:durableId="1587612957">
    <w:abstractNumId w:val="8"/>
  </w:num>
  <w:num w:numId="34" w16cid:durableId="15425875">
    <w:abstractNumId w:val="3"/>
  </w:num>
  <w:num w:numId="35" w16cid:durableId="603339645">
    <w:abstractNumId w:val="24"/>
  </w:num>
  <w:num w:numId="36" w16cid:durableId="1571502534">
    <w:abstractNumId w:val="20"/>
  </w:num>
  <w:num w:numId="37" w16cid:durableId="534316537">
    <w:abstractNumId w:val="14"/>
  </w:num>
  <w:num w:numId="38" w16cid:durableId="842010714">
    <w:abstractNumId w:val="25"/>
  </w:num>
  <w:num w:numId="39" w16cid:durableId="1744529120">
    <w:abstractNumId w:val="36"/>
  </w:num>
  <w:num w:numId="40" w16cid:durableId="932589348">
    <w:abstractNumId w:val="37"/>
  </w:num>
  <w:num w:numId="41" w16cid:durableId="587930301">
    <w:abstractNumId w:val="39"/>
  </w:num>
  <w:num w:numId="42" w16cid:durableId="16603824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085B"/>
    <w:rsid w:val="00002722"/>
    <w:rsid w:val="00005275"/>
    <w:rsid w:val="00015CB4"/>
    <w:rsid w:val="000172C4"/>
    <w:rsid w:val="00020307"/>
    <w:rsid w:val="00020CA9"/>
    <w:rsid w:val="00021E34"/>
    <w:rsid w:val="00022189"/>
    <w:rsid w:val="00023335"/>
    <w:rsid w:val="00024574"/>
    <w:rsid w:val="0002703D"/>
    <w:rsid w:val="000275DA"/>
    <w:rsid w:val="00027A08"/>
    <w:rsid w:val="0003223D"/>
    <w:rsid w:val="00032FB0"/>
    <w:rsid w:val="000336BB"/>
    <w:rsid w:val="00034123"/>
    <w:rsid w:val="00035C22"/>
    <w:rsid w:val="000366F5"/>
    <w:rsid w:val="00036B4B"/>
    <w:rsid w:val="00041A5A"/>
    <w:rsid w:val="00044A52"/>
    <w:rsid w:val="00054B26"/>
    <w:rsid w:val="00054E69"/>
    <w:rsid w:val="00056BA8"/>
    <w:rsid w:val="00057B40"/>
    <w:rsid w:val="00060230"/>
    <w:rsid w:val="00064321"/>
    <w:rsid w:val="00064D3C"/>
    <w:rsid w:val="000669FA"/>
    <w:rsid w:val="0006773F"/>
    <w:rsid w:val="000821F4"/>
    <w:rsid w:val="000826B5"/>
    <w:rsid w:val="000867DF"/>
    <w:rsid w:val="00096D4E"/>
    <w:rsid w:val="000A05EC"/>
    <w:rsid w:val="000A318A"/>
    <w:rsid w:val="000A4484"/>
    <w:rsid w:val="000A44A4"/>
    <w:rsid w:val="000B0EF2"/>
    <w:rsid w:val="000B389B"/>
    <w:rsid w:val="000B3934"/>
    <w:rsid w:val="000B74B5"/>
    <w:rsid w:val="000C0CF0"/>
    <w:rsid w:val="000C0E9F"/>
    <w:rsid w:val="000C2C33"/>
    <w:rsid w:val="000C38D7"/>
    <w:rsid w:val="000C4FC9"/>
    <w:rsid w:val="000C51B3"/>
    <w:rsid w:val="000D237B"/>
    <w:rsid w:val="000D4DDD"/>
    <w:rsid w:val="000D66DD"/>
    <w:rsid w:val="000D7407"/>
    <w:rsid w:val="000E1E35"/>
    <w:rsid w:val="000E48F0"/>
    <w:rsid w:val="000E4FB6"/>
    <w:rsid w:val="000F01C1"/>
    <w:rsid w:val="000F21FF"/>
    <w:rsid w:val="000F2C95"/>
    <w:rsid w:val="000F33CA"/>
    <w:rsid w:val="000F5700"/>
    <w:rsid w:val="000F656F"/>
    <w:rsid w:val="001018B9"/>
    <w:rsid w:val="00101AAC"/>
    <w:rsid w:val="00101F80"/>
    <w:rsid w:val="00103AEA"/>
    <w:rsid w:val="00105986"/>
    <w:rsid w:val="00105B72"/>
    <w:rsid w:val="0010637B"/>
    <w:rsid w:val="00110191"/>
    <w:rsid w:val="00111EA2"/>
    <w:rsid w:val="0011475A"/>
    <w:rsid w:val="00117109"/>
    <w:rsid w:val="00121BB9"/>
    <w:rsid w:val="00121D72"/>
    <w:rsid w:val="001251DC"/>
    <w:rsid w:val="00131604"/>
    <w:rsid w:val="00134B09"/>
    <w:rsid w:val="00136AE4"/>
    <w:rsid w:val="00140650"/>
    <w:rsid w:val="00142F61"/>
    <w:rsid w:val="00143293"/>
    <w:rsid w:val="00143490"/>
    <w:rsid w:val="00145D9A"/>
    <w:rsid w:val="00151D2C"/>
    <w:rsid w:val="001526DE"/>
    <w:rsid w:val="001529F5"/>
    <w:rsid w:val="00153537"/>
    <w:rsid w:val="00156074"/>
    <w:rsid w:val="001652D6"/>
    <w:rsid w:val="00165C05"/>
    <w:rsid w:val="0017296B"/>
    <w:rsid w:val="00182658"/>
    <w:rsid w:val="00185486"/>
    <w:rsid w:val="0019036B"/>
    <w:rsid w:val="00191C0F"/>
    <w:rsid w:val="001925C3"/>
    <w:rsid w:val="001955E2"/>
    <w:rsid w:val="001A0327"/>
    <w:rsid w:val="001A59E6"/>
    <w:rsid w:val="001B0770"/>
    <w:rsid w:val="001B329F"/>
    <w:rsid w:val="001B58F6"/>
    <w:rsid w:val="001B5B39"/>
    <w:rsid w:val="001B7581"/>
    <w:rsid w:val="001C012B"/>
    <w:rsid w:val="001C274E"/>
    <w:rsid w:val="001C5680"/>
    <w:rsid w:val="001C716D"/>
    <w:rsid w:val="001D0F32"/>
    <w:rsid w:val="001D4E6E"/>
    <w:rsid w:val="001E0E0D"/>
    <w:rsid w:val="001E344D"/>
    <w:rsid w:val="001F00B1"/>
    <w:rsid w:val="001F1592"/>
    <w:rsid w:val="001F4358"/>
    <w:rsid w:val="001F4C0B"/>
    <w:rsid w:val="00204A9F"/>
    <w:rsid w:val="00205E30"/>
    <w:rsid w:val="002079A2"/>
    <w:rsid w:val="00210BF7"/>
    <w:rsid w:val="0021258D"/>
    <w:rsid w:val="00212F76"/>
    <w:rsid w:val="00221C7F"/>
    <w:rsid w:val="0022234B"/>
    <w:rsid w:val="00222903"/>
    <w:rsid w:val="00234344"/>
    <w:rsid w:val="0023630F"/>
    <w:rsid w:val="00237056"/>
    <w:rsid w:val="00237E5A"/>
    <w:rsid w:val="00243028"/>
    <w:rsid w:val="002505B3"/>
    <w:rsid w:val="00251645"/>
    <w:rsid w:val="0025188B"/>
    <w:rsid w:val="00257036"/>
    <w:rsid w:val="00257AE2"/>
    <w:rsid w:val="00261343"/>
    <w:rsid w:val="002619FB"/>
    <w:rsid w:val="00264F52"/>
    <w:rsid w:val="002671EA"/>
    <w:rsid w:val="00271603"/>
    <w:rsid w:val="00273AC9"/>
    <w:rsid w:val="002802F3"/>
    <w:rsid w:val="00281532"/>
    <w:rsid w:val="002828CA"/>
    <w:rsid w:val="00285599"/>
    <w:rsid w:val="00286BED"/>
    <w:rsid w:val="0028713C"/>
    <w:rsid w:val="002878C1"/>
    <w:rsid w:val="00290162"/>
    <w:rsid w:val="0029210F"/>
    <w:rsid w:val="002949F8"/>
    <w:rsid w:val="002967F6"/>
    <w:rsid w:val="002A203D"/>
    <w:rsid w:val="002B17A7"/>
    <w:rsid w:val="002B1E34"/>
    <w:rsid w:val="002B1EE0"/>
    <w:rsid w:val="002B3B7C"/>
    <w:rsid w:val="002B6F0C"/>
    <w:rsid w:val="002B7C1F"/>
    <w:rsid w:val="002C0C0D"/>
    <w:rsid w:val="002C0E8D"/>
    <w:rsid w:val="002C4F48"/>
    <w:rsid w:val="002C52C0"/>
    <w:rsid w:val="002C6429"/>
    <w:rsid w:val="002D2D2B"/>
    <w:rsid w:val="002D5B0A"/>
    <w:rsid w:val="002E08FC"/>
    <w:rsid w:val="002E1F5B"/>
    <w:rsid w:val="002E2CE6"/>
    <w:rsid w:val="002F2685"/>
    <w:rsid w:val="002F29B6"/>
    <w:rsid w:val="002F3732"/>
    <w:rsid w:val="002F476C"/>
    <w:rsid w:val="00300EF0"/>
    <w:rsid w:val="00305F97"/>
    <w:rsid w:val="00312167"/>
    <w:rsid w:val="003121F1"/>
    <w:rsid w:val="00312A28"/>
    <w:rsid w:val="00317A09"/>
    <w:rsid w:val="00324DD6"/>
    <w:rsid w:val="0032556C"/>
    <w:rsid w:val="0034043A"/>
    <w:rsid w:val="0034110C"/>
    <w:rsid w:val="00341739"/>
    <w:rsid w:val="00342318"/>
    <w:rsid w:val="0034359E"/>
    <w:rsid w:val="003457FF"/>
    <w:rsid w:val="00360956"/>
    <w:rsid w:val="0036144E"/>
    <w:rsid w:val="003618AA"/>
    <w:rsid w:val="00364961"/>
    <w:rsid w:val="00370EB4"/>
    <w:rsid w:val="003745D5"/>
    <w:rsid w:val="003752F0"/>
    <w:rsid w:val="00375617"/>
    <w:rsid w:val="00375A7B"/>
    <w:rsid w:val="00375DA5"/>
    <w:rsid w:val="00376F40"/>
    <w:rsid w:val="00377C92"/>
    <w:rsid w:val="00381712"/>
    <w:rsid w:val="00382788"/>
    <w:rsid w:val="00382B0A"/>
    <w:rsid w:val="00384B47"/>
    <w:rsid w:val="00384D5C"/>
    <w:rsid w:val="003966AF"/>
    <w:rsid w:val="003A0526"/>
    <w:rsid w:val="003A2457"/>
    <w:rsid w:val="003A421F"/>
    <w:rsid w:val="003A5269"/>
    <w:rsid w:val="003B0029"/>
    <w:rsid w:val="003B066D"/>
    <w:rsid w:val="003B6F41"/>
    <w:rsid w:val="003C639E"/>
    <w:rsid w:val="003C72FA"/>
    <w:rsid w:val="003C73B4"/>
    <w:rsid w:val="003D0550"/>
    <w:rsid w:val="003D2D39"/>
    <w:rsid w:val="003D7197"/>
    <w:rsid w:val="003E1BDC"/>
    <w:rsid w:val="003E3359"/>
    <w:rsid w:val="003E46B1"/>
    <w:rsid w:val="003F1211"/>
    <w:rsid w:val="003F3D15"/>
    <w:rsid w:val="00401FB8"/>
    <w:rsid w:val="004022DE"/>
    <w:rsid w:val="00402515"/>
    <w:rsid w:val="004059E2"/>
    <w:rsid w:val="0041528E"/>
    <w:rsid w:val="004210A6"/>
    <w:rsid w:val="0042115F"/>
    <w:rsid w:val="004253FF"/>
    <w:rsid w:val="00430175"/>
    <w:rsid w:val="00436CAE"/>
    <w:rsid w:val="004421AB"/>
    <w:rsid w:val="00442B4A"/>
    <w:rsid w:val="00445423"/>
    <w:rsid w:val="00445D16"/>
    <w:rsid w:val="0045029C"/>
    <w:rsid w:val="00452C2F"/>
    <w:rsid w:val="0045592F"/>
    <w:rsid w:val="00463076"/>
    <w:rsid w:val="00464C0D"/>
    <w:rsid w:val="004655A3"/>
    <w:rsid w:val="0047056A"/>
    <w:rsid w:val="00470C50"/>
    <w:rsid w:val="00473C05"/>
    <w:rsid w:val="004742F9"/>
    <w:rsid w:val="00474F19"/>
    <w:rsid w:val="00475243"/>
    <w:rsid w:val="00475DD1"/>
    <w:rsid w:val="00480DD7"/>
    <w:rsid w:val="00480FA4"/>
    <w:rsid w:val="004810C0"/>
    <w:rsid w:val="00482C6D"/>
    <w:rsid w:val="00483649"/>
    <w:rsid w:val="00485F03"/>
    <w:rsid w:val="00493587"/>
    <w:rsid w:val="004956F0"/>
    <w:rsid w:val="00496FD0"/>
    <w:rsid w:val="004A0E67"/>
    <w:rsid w:val="004A29E1"/>
    <w:rsid w:val="004A7E8B"/>
    <w:rsid w:val="004B1A90"/>
    <w:rsid w:val="004B1D10"/>
    <w:rsid w:val="004B4456"/>
    <w:rsid w:val="004B6EA8"/>
    <w:rsid w:val="004C2F49"/>
    <w:rsid w:val="004C4F20"/>
    <w:rsid w:val="004C7BE5"/>
    <w:rsid w:val="004D406B"/>
    <w:rsid w:val="004D54BF"/>
    <w:rsid w:val="004D7500"/>
    <w:rsid w:val="004E0812"/>
    <w:rsid w:val="004E3A1D"/>
    <w:rsid w:val="004E5CFE"/>
    <w:rsid w:val="004F23FA"/>
    <w:rsid w:val="004F2461"/>
    <w:rsid w:val="004F2569"/>
    <w:rsid w:val="004F3AB4"/>
    <w:rsid w:val="004F64D2"/>
    <w:rsid w:val="005016D3"/>
    <w:rsid w:val="00503DBF"/>
    <w:rsid w:val="00504A92"/>
    <w:rsid w:val="005106ED"/>
    <w:rsid w:val="00510D07"/>
    <w:rsid w:val="005228CC"/>
    <w:rsid w:val="00526133"/>
    <w:rsid w:val="0053087F"/>
    <w:rsid w:val="005340FC"/>
    <w:rsid w:val="00537A18"/>
    <w:rsid w:val="005423C4"/>
    <w:rsid w:val="00544C04"/>
    <w:rsid w:val="0055123F"/>
    <w:rsid w:val="005518FF"/>
    <w:rsid w:val="00552990"/>
    <w:rsid w:val="00552A23"/>
    <w:rsid w:val="00556EA5"/>
    <w:rsid w:val="005633F8"/>
    <w:rsid w:val="005636E7"/>
    <w:rsid w:val="005664DB"/>
    <w:rsid w:val="00570EFD"/>
    <w:rsid w:val="00580E4D"/>
    <w:rsid w:val="005828ED"/>
    <w:rsid w:val="00582F23"/>
    <w:rsid w:val="00583FA5"/>
    <w:rsid w:val="00587D66"/>
    <w:rsid w:val="005919F3"/>
    <w:rsid w:val="005922FD"/>
    <w:rsid w:val="00594C5D"/>
    <w:rsid w:val="00595770"/>
    <w:rsid w:val="005A018D"/>
    <w:rsid w:val="005A2FEB"/>
    <w:rsid w:val="005A597F"/>
    <w:rsid w:val="005B0049"/>
    <w:rsid w:val="005B3FD1"/>
    <w:rsid w:val="005B41F4"/>
    <w:rsid w:val="005B5B6C"/>
    <w:rsid w:val="005C0543"/>
    <w:rsid w:val="005C18BD"/>
    <w:rsid w:val="005C3699"/>
    <w:rsid w:val="005C391E"/>
    <w:rsid w:val="005C6543"/>
    <w:rsid w:val="005C7790"/>
    <w:rsid w:val="005D340D"/>
    <w:rsid w:val="005D6524"/>
    <w:rsid w:val="005D68B8"/>
    <w:rsid w:val="005E15B2"/>
    <w:rsid w:val="005E3959"/>
    <w:rsid w:val="005F1145"/>
    <w:rsid w:val="005F1AA1"/>
    <w:rsid w:val="005F270F"/>
    <w:rsid w:val="005F751C"/>
    <w:rsid w:val="005F796B"/>
    <w:rsid w:val="00602D85"/>
    <w:rsid w:val="00611D8C"/>
    <w:rsid w:val="00614718"/>
    <w:rsid w:val="0061499D"/>
    <w:rsid w:val="00615144"/>
    <w:rsid w:val="00622395"/>
    <w:rsid w:val="00633DCB"/>
    <w:rsid w:val="006379F3"/>
    <w:rsid w:val="00640093"/>
    <w:rsid w:val="006421C2"/>
    <w:rsid w:val="00653227"/>
    <w:rsid w:val="0065686A"/>
    <w:rsid w:val="0065716E"/>
    <w:rsid w:val="006600E7"/>
    <w:rsid w:val="00660B40"/>
    <w:rsid w:val="00661EE1"/>
    <w:rsid w:val="006630B0"/>
    <w:rsid w:val="0066578D"/>
    <w:rsid w:val="00666ABC"/>
    <w:rsid w:val="00670F3A"/>
    <w:rsid w:val="00673599"/>
    <w:rsid w:val="006738D9"/>
    <w:rsid w:val="00676E0C"/>
    <w:rsid w:val="00681337"/>
    <w:rsid w:val="0068462A"/>
    <w:rsid w:val="00685428"/>
    <w:rsid w:val="006860A1"/>
    <w:rsid w:val="00686106"/>
    <w:rsid w:val="00686AC0"/>
    <w:rsid w:val="00692796"/>
    <w:rsid w:val="00694DA5"/>
    <w:rsid w:val="00694DF0"/>
    <w:rsid w:val="00695215"/>
    <w:rsid w:val="006960BD"/>
    <w:rsid w:val="00696B8B"/>
    <w:rsid w:val="00697070"/>
    <w:rsid w:val="00697DD6"/>
    <w:rsid w:val="006A325B"/>
    <w:rsid w:val="006A3437"/>
    <w:rsid w:val="006A497A"/>
    <w:rsid w:val="006A498F"/>
    <w:rsid w:val="006B2D75"/>
    <w:rsid w:val="006B3EBA"/>
    <w:rsid w:val="006B5014"/>
    <w:rsid w:val="006C044E"/>
    <w:rsid w:val="006C3944"/>
    <w:rsid w:val="006C4FB2"/>
    <w:rsid w:val="006C5047"/>
    <w:rsid w:val="006C5707"/>
    <w:rsid w:val="006C67D7"/>
    <w:rsid w:val="006D0321"/>
    <w:rsid w:val="006D1AF8"/>
    <w:rsid w:val="006D5BE9"/>
    <w:rsid w:val="006E19E5"/>
    <w:rsid w:val="006E5276"/>
    <w:rsid w:val="006E6B89"/>
    <w:rsid w:val="006F0E69"/>
    <w:rsid w:val="006F4193"/>
    <w:rsid w:val="006F6CBE"/>
    <w:rsid w:val="00701F9D"/>
    <w:rsid w:val="00703A19"/>
    <w:rsid w:val="00703E30"/>
    <w:rsid w:val="007065E7"/>
    <w:rsid w:val="00710C60"/>
    <w:rsid w:val="00716C68"/>
    <w:rsid w:val="00720867"/>
    <w:rsid w:val="00720D66"/>
    <w:rsid w:val="00721B85"/>
    <w:rsid w:val="007256B0"/>
    <w:rsid w:val="007261FA"/>
    <w:rsid w:val="0073031E"/>
    <w:rsid w:val="00730CAC"/>
    <w:rsid w:val="00734EB4"/>
    <w:rsid w:val="00734F12"/>
    <w:rsid w:val="007375A2"/>
    <w:rsid w:val="00744E06"/>
    <w:rsid w:val="00745BF2"/>
    <w:rsid w:val="00753E93"/>
    <w:rsid w:val="0075687C"/>
    <w:rsid w:val="00764134"/>
    <w:rsid w:val="0076493B"/>
    <w:rsid w:val="0076582E"/>
    <w:rsid w:val="00770570"/>
    <w:rsid w:val="0077729E"/>
    <w:rsid w:val="00783196"/>
    <w:rsid w:val="00783282"/>
    <w:rsid w:val="00783DA4"/>
    <w:rsid w:val="0078536D"/>
    <w:rsid w:val="00786707"/>
    <w:rsid w:val="007909A8"/>
    <w:rsid w:val="00791E17"/>
    <w:rsid w:val="00792C16"/>
    <w:rsid w:val="00795140"/>
    <w:rsid w:val="00796961"/>
    <w:rsid w:val="007A00F8"/>
    <w:rsid w:val="007A3406"/>
    <w:rsid w:val="007A385A"/>
    <w:rsid w:val="007A42EB"/>
    <w:rsid w:val="007A4359"/>
    <w:rsid w:val="007A6A6D"/>
    <w:rsid w:val="007A6F29"/>
    <w:rsid w:val="007A710A"/>
    <w:rsid w:val="007B087C"/>
    <w:rsid w:val="007B2201"/>
    <w:rsid w:val="007B2475"/>
    <w:rsid w:val="007B6EFC"/>
    <w:rsid w:val="007B75E6"/>
    <w:rsid w:val="007C0511"/>
    <w:rsid w:val="007C301C"/>
    <w:rsid w:val="007D0D7B"/>
    <w:rsid w:val="007D11A5"/>
    <w:rsid w:val="007D2971"/>
    <w:rsid w:val="007D4BB6"/>
    <w:rsid w:val="007D53B5"/>
    <w:rsid w:val="007D63F8"/>
    <w:rsid w:val="007D7FA1"/>
    <w:rsid w:val="007E1A59"/>
    <w:rsid w:val="007E6014"/>
    <w:rsid w:val="007F0350"/>
    <w:rsid w:val="007F45D4"/>
    <w:rsid w:val="007F5F48"/>
    <w:rsid w:val="007F6E47"/>
    <w:rsid w:val="007F72A2"/>
    <w:rsid w:val="00800A05"/>
    <w:rsid w:val="00800DA2"/>
    <w:rsid w:val="008016CE"/>
    <w:rsid w:val="0080267D"/>
    <w:rsid w:val="00804281"/>
    <w:rsid w:val="008053D3"/>
    <w:rsid w:val="00810531"/>
    <w:rsid w:val="00813928"/>
    <w:rsid w:val="008258CE"/>
    <w:rsid w:val="00831BA6"/>
    <w:rsid w:val="008329DE"/>
    <w:rsid w:val="0083400A"/>
    <w:rsid w:val="00834886"/>
    <w:rsid w:val="00834CF6"/>
    <w:rsid w:val="00836282"/>
    <w:rsid w:val="00837199"/>
    <w:rsid w:val="00843CEB"/>
    <w:rsid w:val="0084597D"/>
    <w:rsid w:val="008466FD"/>
    <w:rsid w:val="00855FE5"/>
    <w:rsid w:val="00860DF1"/>
    <w:rsid w:val="0086131B"/>
    <w:rsid w:val="00861AAE"/>
    <w:rsid w:val="00861D59"/>
    <w:rsid w:val="00862A75"/>
    <w:rsid w:val="008653E7"/>
    <w:rsid w:val="008678BB"/>
    <w:rsid w:val="008719FE"/>
    <w:rsid w:val="00873B01"/>
    <w:rsid w:val="00874A55"/>
    <w:rsid w:val="0087792A"/>
    <w:rsid w:val="00884EA0"/>
    <w:rsid w:val="00885922"/>
    <w:rsid w:val="00886245"/>
    <w:rsid w:val="0089285C"/>
    <w:rsid w:val="00895A4B"/>
    <w:rsid w:val="00896B48"/>
    <w:rsid w:val="008977F4"/>
    <w:rsid w:val="008A098F"/>
    <w:rsid w:val="008A0E81"/>
    <w:rsid w:val="008A5030"/>
    <w:rsid w:val="008A5883"/>
    <w:rsid w:val="008B4A30"/>
    <w:rsid w:val="008B5BEA"/>
    <w:rsid w:val="008B6879"/>
    <w:rsid w:val="008C0D96"/>
    <w:rsid w:val="008C151E"/>
    <w:rsid w:val="008C729B"/>
    <w:rsid w:val="008D0291"/>
    <w:rsid w:val="008D2676"/>
    <w:rsid w:val="008D298B"/>
    <w:rsid w:val="008D2A7A"/>
    <w:rsid w:val="008D4FE7"/>
    <w:rsid w:val="008D50D0"/>
    <w:rsid w:val="008D5510"/>
    <w:rsid w:val="008E25C6"/>
    <w:rsid w:val="008E3C31"/>
    <w:rsid w:val="008E7563"/>
    <w:rsid w:val="008F171B"/>
    <w:rsid w:val="008F1BC4"/>
    <w:rsid w:val="008F1CD0"/>
    <w:rsid w:val="008F343D"/>
    <w:rsid w:val="009003E4"/>
    <w:rsid w:val="00900DF3"/>
    <w:rsid w:val="00902081"/>
    <w:rsid w:val="009035CC"/>
    <w:rsid w:val="00904BAB"/>
    <w:rsid w:val="0091016B"/>
    <w:rsid w:val="00914696"/>
    <w:rsid w:val="00923C37"/>
    <w:rsid w:val="00930109"/>
    <w:rsid w:val="0093041F"/>
    <w:rsid w:val="00932170"/>
    <w:rsid w:val="00932999"/>
    <w:rsid w:val="00932A3F"/>
    <w:rsid w:val="009333B8"/>
    <w:rsid w:val="009373B0"/>
    <w:rsid w:val="0094103C"/>
    <w:rsid w:val="0094689E"/>
    <w:rsid w:val="0095223C"/>
    <w:rsid w:val="00953208"/>
    <w:rsid w:val="009541C2"/>
    <w:rsid w:val="00955577"/>
    <w:rsid w:val="009709D4"/>
    <w:rsid w:val="00972177"/>
    <w:rsid w:val="00973D07"/>
    <w:rsid w:val="00974B92"/>
    <w:rsid w:val="00991803"/>
    <w:rsid w:val="00991C79"/>
    <w:rsid w:val="0099364F"/>
    <w:rsid w:val="009A2189"/>
    <w:rsid w:val="009A288B"/>
    <w:rsid w:val="009A5804"/>
    <w:rsid w:val="009A5FCB"/>
    <w:rsid w:val="009B3F65"/>
    <w:rsid w:val="009B4140"/>
    <w:rsid w:val="009B63C0"/>
    <w:rsid w:val="009C1322"/>
    <w:rsid w:val="009C283C"/>
    <w:rsid w:val="009C2DF6"/>
    <w:rsid w:val="009C4F33"/>
    <w:rsid w:val="009C5CE3"/>
    <w:rsid w:val="009C7416"/>
    <w:rsid w:val="009D14FC"/>
    <w:rsid w:val="009D7783"/>
    <w:rsid w:val="009D7E5E"/>
    <w:rsid w:val="009E18ED"/>
    <w:rsid w:val="009F0680"/>
    <w:rsid w:val="009F3F08"/>
    <w:rsid w:val="009F5CFA"/>
    <w:rsid w:val="009F7D33"/>
    <w:rsid w:val="00A01C59"/>
    <w:rsid w:val="00A01EBE"/>
    <w:rsid w:val="00A02C25"/>
    <w:rsid w:val="00A0353B"/>
    <w:rsid w:val="00A079D7"/>
    <w:rsid w:val="00A117F0"/>
    <w:rsid w:val="00A11B7A"/>
    <w:rsid w:val="00A13816"/>
    <w:rsid w:val="00A166E1"/>
    <w:rsid w:val="00A1695A"/>
    <w:rsid w:val="00A16A55"/>
    <w:rsid w:val="00A17942"/>
    <w:rsid w:val="00A2669F"/>
    <w:rsid w:val="00A266CD"/>
    <w:rsid w:val="00A27403"/>
    <w:rsid w:val="00A31A95"/>
    <w:rsid w:val="00A36F58"/>
    <w:rsid w:val="00A37055"/>
    <w:rsid w:val="00A41374"/>
    <w:rsid w:val="00A431E8"/>
    <w:rsid w:val="00A46C76"/>
    <w:rsid w:val="00A514C5"/>
    <w:rsid w:val="00A53527"/>
    <w:rsid w:val="00A55153"/>
    <w:rsid w:val="00A60CC1"/>
    <w:rsid w:val="00A610BB"/>
    <w:rsid w:val="00A64534"/>
    <w:rsid w:val="00A65A9C"/>
    <w:rsid w:val="00A65F6C"/>
    <w:rsid w:val="00A66962"/>
    <w:rsid w:val="00A67BD2"/>
    <w:rsid w:val="00A67C4E"/>
    <w:rsid w:val="00A70425"/>
    <w:rsid w:val="00A725B9"/>
    <w:rsid w:val="00A75797"/>
    <w:rsid w:val="00A770C2"/>
    <w:rsid w:val="00A805C5"/>
    <w:rsid w:val="00A818FF"/>
    <w:rsid w:val="00A8193A"/>
    <w:rsid w:val="00A81B7C"/>
    <w:rsid w:val="00A831B5"/>
    <w:rsid w:val="00A847DD"/>
    <w:rsid w:val="00A851FA"/>
    <w:rsid w:val="00A858DE"/>
    <w:rsid w:val="00A8773F"/>
    <w:rsid w:val="00A9120C"/>
    <w:rsid w:val="00A93BF8"/>
    <w:rsid w:val="00A96497"/>
    <w:rsid w:val="00A97193"/>
    <w:rsid w:val="00AA5A97"/>
    <w:rsid w:val="00AB1120"/>
    <w:rsid w:val="00AB1147"/>
    <w:rsid w:val="00AB1B5C"/>
    <w:rsid w:val="00AB2632"/>
    <w:rsid w:val="00AB350D"/>
    <w:rsid w:val="00AB357A"/>
    <w:rsid w:val="00AB50EA"/>
    <w:rsid w:val="00AB742C"/>
    <w:rsid w:val="00AC55C9"/>
    <w:rsid w:val="00AC6FEB"/>
    <w:rsid w:val="00AD0629"/>
    <w:rsid w:val="00AD28C1"/>
    <w:rsid w:val="00AD5BBC"/>
    <w:rsid w:val="00AD6B09"/>
    <w:rsid w:val="00AD78BC"/>
    <w:rsid w:val="00AE01D7"/>
    <w:rsid w:val="00AE1C37"/>
    <w:rsid w:val="00AE40A5"/>
    <w:rsid w:val="00AE45D6"/>
    <w:rsid w:val="00AE6F19"/>
    <w:rsid w:val="00AF470C"/>
    <w:rsid w:val="00AF4BDC"/>
    <w:rsid w:val="00AF769A"/>
    <w:rsid w:val="00B0337A"/>
    <w:rsid w:val="00B05311"/>
    <w:rsid w:val="00B059C2"/>
    <w:rsid w:val="00B077A1"/>
    <w:rsid w:val="00B114EC"/>
    <w:rsid w:val="00B13FB4"/>
    <w:rsid w:val="00B162A7"/>
    <w:rsid w:val="00B16A55"/>
    <w:rsid w:val="00B34363"/>
    <w:rsid w:val="00B44C1B"/>
    <w:rsid w:val="00B50DF8"/>
    <w:rsid w:val="00B5344C"/>
    <w:rsid w:val="00B54FBF"/>
    <w:rsid w:val="00B553C9"/>
    <w:rsid w:val="00B57E80"/>
    <w:rsid w:val="00B622CC"/>
    <w:rsid w:val="00B6292D"/>
    <w:rsid w:val="00B64449"/>
    <w:rsid w:val="00B64A36"/>
    <w:rsid w:val="00B66775"/>
    <w:rsid w:val="00B71A64"/>
    <w:rsid w:val="00B72D74"/>
    <w:rsid w:val="00B73988"/>
    <w:rsid w:val="00B75A55"/>
    <w:rsid w:val="00B75EDF"/>
    <w:rsid w:val="00B76F9A"/>
    <w:rsid w:val="00B81713"/>
    <w:rsid w:val="00B82A15"/>
    <w:rsid w:val="00B8730F"/>
    <w:rsid w:val="00B90F07"/>
    <w:rsid w:val="00B9316F"/>
    <w:rsid w:val="00B94972"/>
    <w:rsid w:val="00B96611"/>
    <w:rsid w:val="00BA03B0"/>
    <w:rsid w:val="00BA05D3"/>
    <w:rsid w:val="00BA0667"/>
    <w:rsid w:val="00BA1195"/>
    <w:rsid w:val="00BA3F75"/>
    <w:rsid w:val="00BA72CF"/>
    <w:rsid w:val="00BA7BCF"/>
    <w:rsid w:val="00BB10A0"/>
    <w:rsid w:val="00BB2DAD"/>
    <w:rsid w:val="00BB2FB1"/>
    <w:rsid w:val="00BB632E"/>
    <w:rsid w:val="00BB7678"/>
    <w:rsid w:val="00BC1974"/>
    <w:rsid w:val="00BC6561"/>
    <w:rsid w:val="00BD00CA"/>
    <w:rsid w:val="00BD210A"/>
    <w:rsid w:val="00BD3E80"/>
    <w:rsid w:val="00BE75B1"/>
    <w:rsid w:val="00BF00AC"/>
    <w:rsid w:val="00BF0D42"/>
    <w:rsid w:val="00BF25F0"/>
    <w:rsid w:val="00BF3695"/>
    <w:rsid w:val="00BF37D2"/>
    <w:rsid w:val="00BF6A55"/>
    <w:rsid w:val="00BF6E3A"/>
    <w:rsid w:val="00C05449"/>
    <w:rsid w:val="00C10F15"/>
    <w:rsid w:val="00C11EEA"/>
    <w:rsid w:val="00C11FFA"/>
    <w:rsid w:val="00C12E3C"/>
    <w:rsid w:val="00C16568"/>
    <w:rsid w:val="00C16580"/>
    <w:rsid w:val="00C2265A"/>
    <w:rsid w:val="00C23C00"/>
    <w:rsid w:val="00C26D20"/>
    <w:rsid w:val="00C313FF"/>
    <w:rsid w:val="00C317E0"/>
    <w:rsid w:val="00C35D6F"/>
    <w:rsid w:val="00C40F9C"/>
    <w:rsid w:val="00C43332"/>
    <w:rsid w:val="00C4381D"/>
    <w:rsid w:val="00C459E5"/>
    <w:rsid w:val="00C45BE9"/>
    <w:rsid w:val="00C47101"/>
    <w:rsid w:val="00C474AB"/>
    <w:rsid w:val="00C502A9"/>
    <w:rsid w:val="00C50A7E"/>
    <w:rsid w:val="00C5498D"/>
    <w:rsid w:val="00C562E4"/>
    <w:rsid w:val="00C61BDF"/>
    <w:rsid w:val="00C63F0D"/>
    <w:rsid w:val="00C64A80"/>
    <w:rsid w:val="00C66EA6"/>
    <w:rsid w:val="00C674A5"/>
    <w:rsid w:val="00C710FF"/>
    <w:rsid w:val="00C71D21"/>
    <w:rsid w:val="00C744EC"/>
    <w:rsid w:val="00C74831"/>
    <w:rsid w:val="00C7505D"/>
    <w:rsid w:val="00C75EE2"/>
    <w:rsid w:val="00C7765A"/>
    <w:rsid w:val="00C80D59"/>
    <w:rsid w:val="00C8229D"/>
    <w:rsid w:val="00C82E61"/>
    <w:rsid w:val="00C83D64"/>
    <w:rsid w:val="00C92AF7"/>
    <w:rsid w:val="00C931CF"/>
    <w:rsid w:val="00C935F8"/>
    <w:rsid w:val="00CA26F6"/>
    <w:rsid w:val="00CA365D"/>
    <w:rsid w:val="00CA678C"/>
    <w:rsid w:val="00CB1EF1"/>
    <w:rsid w:val="00CB3BDE"/>
    <w:rsid w:val="00CB76FC"/>
    <w:rsid w:val="00CB76FD"/>
    <w:rsid w:val="00CC479F"/>
    <w:rsid w:val="00CC78CC"/>
    <w:rsid w:val="00CD1853"/>
    <w:rsid w:val="00CD2B80"/>
    <w:rsid w:val="00CD3927"/>
    <w:rsid w:val="00CD4134"/>
    <w:rsid w:val="00CD4942"/>
    <w:rsid w:val="00CD4DDE"/>
    <w:rsid w:val="00CD6862"/>
    <w:rsid w:val="00CD7537"/>
    <w:rsid w:val="00CD75FE"/>
    <w:rsid w:val="00CE0FDC"/>
    <w:rsid w:val="00CE17CA"/>
    <w:rsid w:val="00CE3A87"/>
    <w:rsid w:val="00CE6D77"/>
    <w:rsid w:val="00CF1275"/>
    <w:rsid w:val="00CF491A"/>
    <w:rsid w:val="00D00240"/>
    <w:rsid w:val="00D009CE"/>
    <w:rsid w:val="00D04CE2"/>
    <w:rsid w:val="00D05AC7"/>
    <w:rsid w:val="00D05BB9"/>
    <w:rsid w:val="00D07CF0"/>
    <w:rsid w:val="00D07EF5"/>
    <w:rsid w:val="00D10B44"/>
    <w:rsid w:val="00D120B6"/>
    <w:rsid w:val="00D1247C"/>
    <w:rsid w:val="00D14733"/>
    <w:rsid w:val="00D21C91"/>
    <w:rsid w:val="00D22262"/>
    <w:rsid w:val="00D23689"/>
    <w:rsid w:val="00D26494"/>
    <w:rsid w:val="00D26BC6"/>
    <w:rsid w:val="00D33DB1"/>
    <w:rsid w:val="00D3473E"/>
    <w:rsid w:val="00D41C8E"/>
    <w:rsid w:val="00D443AB"/>
    <w:rsid w:val="00D46635"/>
    <w:rsid w:val="00D476B8"/>
    <w:rsid w:val="00D5091C"/>
    <w:rsid w:val="00D51631"/>
    <w:rsid w:val="00D519DB"/>
    <w:rsid w:val="00D51A93"/>
    <w:rsid w:val="00D51F3B"/>
    <w:rsid w:val="00D5340D"/>
    <w:rsid w:val="00D5674B"/>
    <w:rsid w:val="00D615F7"/>
    <w:rsid w:val="00D64EA7"/>
    <w:rsid w:val="00D66189"/>
    <w:rsid w:val="00D701E5"/>
    <w:rsid w:val="00D70254"/>
    <w:rsid w:val="00D7058D"/>
    <w:rsid w:val="00D729E3"/>
    <w:rsid w:val="00D75AE0"/>
    <w:rsid w:val="00D83E32"/>
    <w:rsid w:val="00D85784"/>
    <w:rsid w:val="00D85941"/>
    <w:rsid w:val="00D85BD8"/>
    <w:rsid w:val="00D86793"/>
    <w:rsid w:val="00D95ADA"/>
    <w:rsid w:val="00D974A3"/>
    <w:rsid w:val="00DA0005"/>
    <w:rsid w:val="00DA0A75"/>
    <w:rsid w:val="00DA1777"/>
    <w:rsid w:val="00DA2CFD"/>
    <w:rsid w:val="00DA4E5E"/>
    <w:rsid w:val="00DA5045"/>
    <w:rsid w:val="00DA64F5"/>
    <w:rsid w:val="00DA6A7D"/>
    <w:rsid w:val="00DB6989"/>
    <w:rsid w:val="00DC1057"/>
    <w:rsid w:val="00DC3474"/>
    <w:rsid w:val="00DC72A1"/>
    <w:rsid w:val="00DD38FF"/>
    <w:rsid w:val="00DD6D7A"/>
    <w:rsid w:val="00DE07B4"/>
    <w:rsid w:val="00DE39F7"/>
    <w:rsid w:val="00DE4778"/>
    <w:rsid w:val="00DE51A3"/>
    <w:rsid w:val="00DE5C48"/>
    <w:rsid w:val="00E075B3"/>
    <w:rsid w:val="00E205CF"/>
    <w:rsid w:val="00E2090B"/>
    <w:rsid w:val="00E21E97"/>
    <w:rsid w:val="00E22A92"/>
    <w:rsid w:val="00E23C11"/>
    <w:rsid w:val="00E244EE"/>
    <w:rsid w:val="00E270D4"/>
    <w:rsid w:val="00E27FE9"/>
    <w:rsid w:val="00E3248A"/>
    <w:rsid w:val="00E41297"/>
    <w:rsid w:val="00E415BD"/>
    <w:rsid w:val="00E42579"/>
    <w:rsid w:val="00E42933"/>
    <w:rsid w:val="00E45AE7"/>
    <w:rsid w:val="00E47010"/>
    <w:rsid w:val="00E47940"/>
    <w:rsid w:val="00E50A06"/>
    <w:rsid w:val="00E52829"/>
    <w:rsid w:val="00E54A6B"/>
    <w:rsid w:val="00E57105"/>
    <w:rsid w:val="00E60640"/>
    <w:rsid w:val="00E60B21"/>
    <w:rsid w:val="00E61841"/>
    <w:rsid w:val="00E6566F"/>
    <w:rsid w:val="00E7256B"/>
    <w:rsid w:val="00E75207"/>
    <w:rsid w:val="00E7741D"/>
    <w:rsid w:val="00E8012F"/>
    <w:rsid w:val="00E82CF1"/>
    <w:rsid w:val="00E841C8"/>
    <w:rsid w:val="00E85690"/>
    <w:rsid w:val="00E859A1"/>
    <w:rsid w:val="00E877FC"/>
    <w:rsid w:val="00E9316F"/>
    <w:rsid w:val="00E938E5"/>
    <w:rsid w:val="00E95658"/>
    <w:rsid w:val="00E956D9"/>
    <w:rsid w:val="00EA03B2"/>
    <w:rsid w:val="00EA11ED"/>
    <w:rsid w:val="00EA12E2"/>
    <w:rsid w:val="00EB13E7"/>
    <w:rsid w:val="00EB351B"/>
    <w:rsid w:val="00EB49A1"/>
    <w:rsid w:val="00EB5878"/>
    <w:rsid w:val="00EC18BC"/>
    <w:rsid w:val="00EC6F43"/>
    <w:rsid w:val="00ED31EA"/>
    <w:rsid w:val="00ED4411"/>
    <w:rsid w:val="00EE0D0B"/>
    <w:rsid w:val="00EE1391"/>
    <w:rsid w:val="00EE3430"/>
    <w:rsid w:val="00EE653F"/>
    <w:rsid w:val="00EE753B"/>
    <w:rsid w:val="00EF3A6F"/>
    <w:rsid w:val="00EF5C06"/>
    <w:rsid w:val="00EF79F6"/>
    <w:rsid w:val="00EF7BF2"/>
    <w:rsid w:val="00F06ADD"/>
    <w:rsid w:val="00F11922"/>
    <w:rsid w:val="00F13BB7"/>
    <w:rsid w:val="00F16EE7"/>
    <w:rsid w:val="00F17277"/>
    <w:rsid w:val="00F20133"/>
    <w:rsid w:val="00F21F8C"/>
    <w:rsid w:val="00F22690"/>
    <w:rsid w:val="00F23409"/>
    <w:rsid w:val="00F27B7D"/>
    <w:rsid w:val="00F318A3"/>
    <w:rsid w:val="00F32251"/>
    <w:rsid w:val="00F330A4"/>
    <w:rsid w:val="00F364C3"/>
    <w:rsid w:val="00F417A9"/>
    <w:rsid w:val="00F44AFD"/>
    <w:rsid w:val="00F458F1"/>
    <w:rsid w:val="00F471A0"/>
    <w:rsid w:val="00F47810"/>
    <w:rsid w:val="00F51275"/>
    <w:rsid w:val="00F51E15"/>
    <w:rsid w:val="00F536E5"/>
    <w:rsid w:val="00F5476D"/>
    <w:rsid w:val="00F55C34"/>
    <w:rsid w:val="00F605AE"/>
    <w:rsid w:val="00F62B58"/>
    <w:rsid w:val="00F66004"/>
    <w:rsid w:val="00F665CC"/>
    <w:rsid w:val="00F73370"/>
    <w:rsid w:val="00F76472"/>
    <w:rsid w:val="00F8297F"/>
    <w:rsid w:val="00F85318"/>
    <w:rsid w:val="00F85EFA"/>
    <w:rsid w:val="00F91769"/>
    <w:rsid w:val="00F936A7"/>
    <w:rsid w:val="00FA064B"/>
    <w:rsid w:val="00FA3160"/>
    <w:rsid w:val="00FA4CB8"/>
    <w:rsid w:val="00FA7007"/>
    <w:rsid w:val="00FB1D31"/>
    <w:rsid w:val="00FB2F86"/>
    <w:rsid w:val="00FB3184"/>
    <w:rsid w:val="00FB44E9"/>
    <w:rsid w:val="00FB7BB6"/>
    <w:rsid w:val="00FC068A"/>
    <w:rsid w:val="00FC0E2A"/>
    <w:rsid w:val="00FC174C"/>
    <w:rsid w:val="00FC1FF0"/>
    <w:rsid w:val="00FC5102"/>
    <w:rsid w:val="00FD577E"/>
    <w:rsid w:val="00FD7797"/>
    <w:rsid w:val="00FF7A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79EC"/>
  <w15:docId w15:val="{24CDE830-815A-48E0-8377-8F17282D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character" w:styleId="Hyperlink">
    <w:name w:val="Hyperlink"/>
    <w:basedOn w:val="DefaultParagraphFont"/>
    <w:uiPriority w:val="99"/>
    <w:unhideWhenUsed/>
    <w:rsid w:val="00BD3E80"/>
    <w:rPr>
      <w:color w:val="0000FF" w:themeColor="hyperlink"/>
      <w:u w:val="singl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qFormat/>
    <w:rsid w:val="00BD3E80"/>
    <w:pPr>
      <w:ind w:left="720"/>
      <w:contextualSpacing/>
    </w:pPr>
    <w:rPr>
      <w:szCs w:val="24"/>
      <w:lang w:eastAsia="lt-L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Char1,f,FoodNote"/>
    <w:basedOn w:val="Normal"/>
    <w:link w:val="FootnoteTextChar"/>
    <w:uiPriority w:val="99"/>
    <w:unhideWhenUsed/>
    <w:qFormat/>
    <w:rsid w:val="00BD3E80"/>
    <w:rPr>
      <w:sz w:val="20"/>
      <w:szCs w:val="24"/>
      <w:lang w:eastAsia="lt-LT"/>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BD3E80"/>
    <w:rPr>
      <w:sz w:val="20"/>
      <w:szCs w:val="24"/>
      <w:lang w:eastAsia="lt-LT"/>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number"/>
    <w:basedOn w:val="DefaultParagraphFont"/>
    <w:link w:val="FootnoteReferenceCharCarCharCharCarCharCarCharCarCharCarCharCharCarCarCharCharCharCharCharCarCharCarCharCharCarCharCar"/>
    <w:uiPriority w:val="99"/>
    <w:unhideWhenUsed/>
    <w:qFormat/>
    <w:rsid w:val="00BD3E80"/>
    <w:rPr>
      <w:vertAlign w:val="superscript"/>
    </w:rPr>
  </w:style>
  <w:style w:type="paragraph" w:styleId="Caption">
    <w:name w:val="caption"/>
    <w:basedOn w:val="Normal"/>
    <w:next w:val="Normal"/>
    <w:unhideWhenUsed/>
    <w:qFormat/>
    <w:rsid w:val="00BD3E80"/>
    <w:pPr>
      <w:spacing w:after="200"/>
    </w:pPr>
    <w:rPr>
      <w:i/>
      <w:iCs/>
      <w:color w:val="1F497D" w:themeColor="text2"/>
      <w:sz w:val="18"/>
      <w:szCs w:val="18"/>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qFormat/>
    <w:rsid w:val="00BD3E80"/>
    <w:rPr>
      <w:szCs w:val="24"/>
      <w:lang w:eastAsia="lt-L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BD3E80"/>
    <w:rPr>
      <w:vertAlign w:val="superscript"/>
    </w:rPr>
  </w:style>
  <w:style w:type="character" w:styleId="FollowedHyperlink">
    <w:name w:val="FollowedHyperlink"/>
    <w:basedOn w:val="DefaultParagraphFont"/>
    <w:semiHidden/>
    <w:unhideWhenUsed/>
    <w:rsid w:val="00436CAE"/>
    <w:rPr>
      <w:color w:val="800080" w:themeColor="followedHyperlink"/>
      <w:u w:val="single"/>
    </w:rPr>
  </w:style>
  <w:style w:type="character" w:styleId="UnresolvedMention">
    <w:name w:val="Unresolved Mention"/>
    <w:basedOn w:val="DefaultParagraphFont"/>
    <w:uiPriority w:val="99"/>
    <w:semiHidden/>
    <w:unhideWhenUsed/>
    <w:rsid w:val="005340FC"/>
    <w:rPr>
      <w:color w:val="605E5C"/>
      <w:shd w:val="clear" w:color="auto" w:fill="E1DFDD"/>
    </w:rPr>
  </w:style>
  <w:style w:type="paragraph" w:customStyle="1" w:styleId="SUPERSChar">
    <w:name w:val="SUPERS Char"/>
    <w:aliases w:val="EN Footnote Reference Char"/>
    <w:basedOn w:val="Normal"/>
    <w:uiPriority w:val="99"/>
    <w:rsid w:val="0091016B"/>
    <w:pPr>
      <w:spacing w:after="160" w:line="240" w:lineRule="exact"/>
    </w:pPr>
    <w:rPr>
      <w:vertAlign w:val="superscript"/>
    </w:rPr>
  </w:style>
  <w:style w:type="table" w:styleId="TableGrid">
    <w:name w:val="Table Grid"/>
    <w:aliases w:val="CV table,CV1,Lentelė (default'inė)"/>
    <w:basedOn w:val="TableNormal"/>
    <w:uiPriority w:val="59"/>
    <w:rsid w:val="00A3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F37D2"/>
    <w:rPr>
      <w:sz w:val="16"/>
      <w:szCs w:val="16"/>
    </w:rPr>
  </w:style>
  <w:style w:type="paragraph" w:styleId="CommentText">
    <w:name w:val="annotation text"/>
    <w:basedOn w:val="Normal"/>
    <w:link w:val="CommentTextChar"/>
    <w:unhideWhenUsed/>
    <w:rsid w:val="00BF37D2"/>
    <w:rPr>
      <w:sz w:val="20"/>
    </w:rPr>
  </w:style>
  <w:style w:type="character" w:customStyle="1" w:styleId="CommentTextChar">
    <w:name w:val="Comment Text Char"/>
    <w:basedOn w:val="DefaultParagraphFont"/>
    <w:link w:val="CommentText"/>
    <w:rsid w:val="00BF37D2"/>
    <w:rPr>
      <w:sz w:val="20"/>
    </w:rPr>
  </w:style>
  <w:style w:type="paragraph" w:styleId="CommentSubject">
    <w:name w:val="annotation subject"/>
    <w:basedOn w:val="CommentText"/>
    <w:next w:val="CommentText"/>
    <w:link w:val="CommentSubjectChar"/>
    <w:semiHidden/>
    <w:unhideWhenUsed/>
    <w:rsid w:val="00BF37D2"/>
    <w:rPr>
      <w:b/>
      <w:bCs/>
    </w:rPr>
  </w:style>
  <w:style w:type="character" w:customStyle="1" w:styleId="CommentSubjectChar">
    <w:name w:val="Comment Subject Char"/>
    <w:basedOn w:val="CommentTextChar"/>
    <w:link w:val="CommentSubject"/>
    <w:semiHidden/>
    <w:rsid w:val="00BF37D2"/>
    <w:rPr>
      <w:b/>
      <w:bCs/>
      <w:sz w:val="20"/>
    </w:rPr>
  </w:style>
  <w:style w:type="paragraph" w:styleId="Revision">
    <w:name w:val="Revision"/>
    <w:hidden/>
    <w:semiHidden/>
    <w:rsid w:val="00F6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23237">
      <w:bodyDiv w:val="1"/>
      <w:marLeft w:val="0"/>
      <w:marRight w:val="0"/>
      <w:marTop w:val="0"/>
      <w:marBottom w:val="0"/>
      <w:divBdr>
        <w:top w:val="none" w:sz="0" w:space="0" w:color="auto"/>
        <w:left w:val="none" w:sz="0" w:space="0" w:color="auto"/>
        <w:bottom w:val="none" w:sz="0" w:space="0" w:color="auto"/>
        <w:right w:val="none" w:sz="0" w:space="0" w:color="auto"/>
      </w:divBdr>
      <w:divsChild>
        <w:div w:id="1047680167">
          <w:marLeft w:val="0"/>
          <w:marRight w:val="0"/>
          <w:marTop w:val="0"/>
          <w:marBottom w:val="0"/>
          <w:divBdr>
            <w:top w:val="none" w:sz="0" w:space="0" w:color="auto"/>
            <w:left w:val="none" w:sz="0" w:space="0" w:color="auto"/>
            <w:bottom w:val="none" w:sz="0" w:space="0" w:color="auto"/>
            <w:right w:val="none" w:sz="0" w:space="0" w:color="auto"/>
          </w:divBdr>
        </w:div>
      </w:divsChild>
    </w:div>
    <w:div w:id="931009229">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82733480">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611626804">
      <w:bodyDiv w:val="1"/>
      <w:marLeft w:val="0"/>
      <w:marRight w:val="0"/>
      <w:marTop w:val="0"/>
      <w:marBottom w:val="0"/>
      <w:divBdr>
        <w:top w:val="none" w:sz="0" w:space="0" w:color="auto"/>
        <w:left w:val="none" w:sz="0" w:space="0" w:color="auto"/>
        <w:bottom w:val="none" w:sz="0" w:space="0" w:color="auto"/>
        <w:right w:val="none" w:sz="0" w:space="0" w:color="auto"/>
      </w:divBdr>
    </w:div>
    <w:div w:id="1757286429">
      <w:bodyDiv w:val="1"/>
      <w:marLeft w:val="0"/>
      <w:marRight w:val="0"/>
      <w:marTop w:val="0"/>
      <w:marBottom w:val="0"/>
      <w:divBdr>
        <w:top w:val="none" w:sz="0" w:space="0" w:color="auto"/>
        <w:left w:val="none" w:sz="0" w:space="0" w:color="auto"/>
        <w:bottom w:val="none" w:sz="0" w:space="0" w:color="auto"/>
        <w:right w:val="none" w:sz="0" w:space="0" w:color="auto"/>
      </w:divBdr>
    </w:div>
    <w:div w:id="1869679762">
      <w:bodyDiv w:val="1"/>
      <w:marLeft w:val="0"/>
      <w:marRight w:val="0"/>
      <w:marTop w:val="0"/>
      <w:marBottom w:val="0"/>
      <w:divBdr>
        <w:top w:val="none" w:sz="0" w:space="0" w:color="auto"/>
        <w:left w:val="none" w:sz="0" w:space="0" w:color="auto"/>
        <w:bottom w:val="none" w:sz="0" w:space="0" w:color="auto"/>
        <w:right w:val="none" w:sz="0" w:space="0" w:color="auto"/>
      </w:divBdr>
    </w:div>
    <w:div w:id="20957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pplietuva.lt/lt/docview/?file=%2Fdocuments%2Ffiles%2FPriemoniu+skaiciuokle_v1_0_20210211.xlsm" TargetMode="External"/><Relationship Id="rId4" Type="http://schemas.openxmlformats.org/officeDocument/2006/relationships/settings" Target="settings.xml"/><Relationship Id="rId9" Type="http://schemas.openxmlformats.org/officeDocument/2006/relationships/hyperlink" Target="https://eur-lex.europa.eu/legal-content/LT/TXT/?uri=CELEX:32018R1999"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Pazangos%20Ataskaitai\3.1.%20pav%20Eurostat_Energy_productivity.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736581004297538E-2"/>
          <c:y val="3.9532794249775384E-2"/>
          <c:w val="0.89211646621095342"/>
          <c:h val="0.68532433445819396"/>
        </c:manualLayout>
      </c:layout>
      <c:barChart>
        <c:barDir val="col"/>
        <c:grouping val="clustered"/>
        <c:varyColors val="0"/>
        <c:ser>
          <c:idx val="0"/>
          <c:order val="0"/>
          <c:tx>
            <c:strRef>
              <c:f>Data!$A$11</c:f>
              <c:strCache>
                <c:ptCount val="1"/>
                <c:pt idx="0">
                  <c:v>European Union - 28 countries (2013-2020)</c:v>
                </c:pt>
              </c:strCache>
            </c:strRef>
          </c:tx>
          <c:spPr>
            <a:solidFill>
              <a:schemeClr val="accent1"/>
            </a:solidFill>
            <a:ln>
              <a:noFill/>
            </a:ln>
            <a:effectLst/>
          </c:spPr>
          <c:invertIfNegative val="0"/>
          <c:cat>
            <c:strRef>
              <c:f>Data!$A$13:$A$49</c:f>
              <c:strCache>
                <c:ptCount val="35"/>
                <c:pt idx="0">
                  <c:v>Ireland</c:v>
                </c:pt>
                <c:pt idx="1">
                  <c:v>Denmark</c:v>
                </c:pt>
                <c:pt idx="2">
                  <c:v>Norway</c:v>
                </c:pt>
                <c:pt idx="3">
                  <c:v>United Kingdom</c:v>
                </c:pt>
                <c:pt idx="4">
                  <c:v>Luxembourg</c:v>
                </c:pt>
                <c:pt idx="5">
                  <c:v>Italy</c:v>
                </c:pt>
                <c:pt idx="6">
                  <c:v>Austria</c:v>
                </c:pt>
                <c:pt idx="7">
                  <c:v>Germany</c:v>
                </c:pt>
                <c:pt idx="8">
                  <c:v>France</c:v>
                </c:pt>
                <c:pt idx="9">
                  <c:v>Sweden</c:v>
                </c:pt>
                <c:pt idx="10">
                  <c:v>Spain</c:v>
                </c:pt>
                <c:pt idx="11">
                  <c:v>Netherlands</c:v>
                </c:pt>
                <c:pt idx="12">
                  <c:v>Portugal</c:v>
                </c:pt>
                <c:pt idx="13">
                  <c:v>Greece</c:v>
                </c:pt>
                <c:pt idx="14">
                  <c:v>Cyprus</c:v>
                </c:pt>
                <c:pt idx="15">
                  <c:v>Belgium</c:v>
                </c:pt>
                <c:pt idx="16">
                  <c:v>Turkey</c:v>
                </c:pt>
                <c:pt idx="17">
                  <c:v>Slovenia</c:v>
                </c:pt>
                <c:pt idx="18">
                  <c:v>Finland</c:v>
                </c:pt>
                <c:pt idx="19">
                  <c:v>Croatia</c:v>
                </c:pt>
                <c:pt idx="20">
                  <c:v>Romania</c:v>
                </c:pt>
                <c:pt idx="21">
                  <c:v>Slovakia</c:v>
                </c:pt>
                <c:pt idx="22">
                  <c:v>Latvia</c:v>
                </c:pt>
                <c:pt idx="23">
                  <c:v>Lithuania</c:v>
                </c:pt>
                <c:pt idx="24">
                  <c:v>Albania</c:v>
                </c:pt>
                <c:pt idx="25">
                  <c:v>Hungary</c:v>
                </c:pt>
                <c:pt idx="26">
                  <c:v>Poland</c:v>
                </c:pt>
                <c:pt idx="27">
                  <c:v>Czechia</c:v>
                </c:pt>
                <c:pt idx="28">
                  <c:v>Montenegro</c:v>
                </c:pt>
                <c:pt idx="29">
                  <c:v>Malta</c:v>
                </c:pt>
                <c:pt idx="30">
                  <c:v>North Macedonia</c:v>
                </c:pt>
                <c:pt idx="31">
                  <c:v>Estonia</c:v>
                </c:pt>
                <c:pt idx="32">
                  <c:v>Bulgaria</c:v>
                </c:pt>
                <c:pt idx="33">
                  <c:v>Serbia</c:v>
                </c:pt>
                <c:pt idx="34">
                  <c:v>Iceland</c:v>
                </c:pt>
              </c:strCache>
            </c:strRef>
          </c:cat>
          <c:val>
            <c:numRef>
              <c:f>Data!$B$11:$K$11</c:f>
            </c:numRef>
          </c:val>
          <c:extLst>
            <c:ext xmlns:c16="http://schemas.microsoft.com/office/drawing/2014/chart" uri="{C3380CC4-5D6E-409C-BE32-E72D297353CC}">
              <c16:uniqueId val="{00000000-5FF8-4348-B014-F6DD6E670089}"/>
            </c:ext>
          </c:extLst>
        </c:ser>
        <c:ser>
          <c:idx val="1"/>
          <c:order val="1"/>
          <c:tx>
            <c:strRef>
              <c:f>Data!$K$9</c:f>
              <c:strCache>
                <c:ptCount val="1"/>
                <c:pt idx="0">
                  <c:v>2018</c:v>
                </c:pt>
              </c:strCache>
            </c:strRef>
          </c:tx>
          <c:spPr>
            <a:solidFill>
              <a:schemeClr val="accent2"/>
            </a:solidFill>
            <a:ln>
              <a:noFill/>
            </a:ln>
            <a:effectLst/>
          </c:spPr>
          <c:invertIfNegative val="0"/>
          <c:cat>
            <c:strRef>
              <c:f>Data!$A$13:$A$49</c:f>
              <c:strCache>
                <c:ptCount val="35"/>
                <c:pt idx="0">
                  <c:v>Ireland</c:v>
                </c:pt>
                <c:pt idx="1">
                  <c:v>Denmark</c:v>
                </c:pt>
                <c:pt idx="2">
                  <c:v>Norway</c:v>
                </c:pt>
                <c:pt idx="3">
                  <c:v>United Kingdom</c:v>
                </c:pt>
                <c:pt idx="4">
                  <c:v>Luxembourg</c:v>
                </c:pt>
                <c:pt idx="5">
                  <c:v>Italy</c:v>
                </c:pt>
                <c:pt idx="6">
                  <c:v>Austria</c:v>
                </c:pt>
                <c:pt idx="7">
                  <c:v>Germany</c:v>
                </c:pt>
                <c:pt idx="8">
                  <c:v>France</c:v>
                </c:pt>
                <c:pt idx="9">
                  <c:v>Sweden</c:v>
                </c:pt>
                <c:pt idx="10">
                  <c:v>Spain</c:v>
                </c:pt>
                <c:pt idx="11">
                  <c:v>Netherlands</c:v>
                </c:pt>
                <c:pt idx="12">
                  <c:v>Portugal</c:v>
                </c:pt>
                <c:pt idx="13">
                  <c:v>Greece</c:v>
                </c:pt>
                <c:pt idx="14">
                  <c:v>Cyprus</c:v>
                </c:pt>
                <c:pt idx="15">
                  <c:v>Belgium</c:v>
                </c:pt>
                <c:pt idx="16">
                  <c:v>Turkey</c:v>
                </c:pt>
                <c:pt idx="17">
                  <c:v>Slovenia</c:v>
                </c:pt>
                <c:pt idx="18">
                  <c:v>Finland</c:v>
                </c:pt>
                <c:pt idx="19">
                  <c:v>Croatia</c:v>
                </c:pt>
                <c:pt idx="20">
                  <c:v>Romania</c:v>
                </c:pt>
                <c:pt idx="21">
                  <c:v>Slovakia</c:v>
                </c:pt>
                <c:pt idx="22">
                  <c:v>Latvia</c:v>
                </c:pt>
                <c:pt idx="23">
                  <c:v>Lithuania</c:v>
                </c:pt>
                <c:pt idx="24">
                  <c:v>Albania</c:v>
                </c:pt>
                <c:pt idx="25">
                  <c:v>Hungary</c:v>
                </c:pt>
                <c:pt idx="26">
                  <c:v>Poland</c:v>
                </c:pt>
                <c:pt idx="27">
                  <c:v>Czechia</c:v>
                </c:pt>
                <c:pt idx="28">
                  <c:v>Montenegro</c:v>
                </c:pt>
                <c:pt idx="29">
                  <c:v>Malta</c:v>
                </c:pt>
                <c:pt idx="30">
                  <c:v>North Macedonia</c:v>
                </c:pt>
                <c:pt idx="31">
                  <c:v>Estonia</c:v>
                </c:pt>
                <c:pt idx="32">
                  <c:v>Bulgaria</c:v>
                </c:pt>
                <c:pt idx="33">
                  <c:v>Serbia</c:v>
                </c:pt>
                <c:pt idx="34">
                  <c:v>Iceland</c:v>
                </c:pt>
              </c:strCache>
            </c:strRef>
          </c:cat>
          <c:val>
            <c:numRef>
              <c:f>Data!$K$13:$K$49</c:f>
              <c:numCache>
                <c:formatCode>#,##0.000</c:formatCode>
                <c:ptCount val="35"/>
                <c:pt idx="0">
                  <c:v>18.8</c:v>
                </c:pt>
                <c:pt idx="1">
                  <c:v>14.682</c:v>
                </c:pt>
                <c:pt idx="2">
                  <c:v>12.541</c:v>
                </c:pt>
                <c:pt idx="3">
                  <c:v>11.569000000000004</c:v>
                </c:pt>
                <c:pt idx="4">
                  <c:v>11.27</c:v>
                </c:pt>
                <c:pt idx="5">
                  <c:v>10.122</c:v>
                </c:pt>
                <c:pt idx="6">
                  <c:v>9.8280000000000012</c:v>
                </c:pt>
                <c:pt idx="7">
                  <c:v>9.4040000000000035</c:v>
                </c:pt>
                <c:pt idx="8">
                  <c:v>8.6080000000000005</c:v>
                </c:pt>
                <c:pt idx="9">
                  <c:v>8.4990000000000006</c:v>
                </c:pt>
                <c:pt idx="10">
                  <c:v>8.4480000000000004</c:v>
                </c:pt>
                <c:pt idx="11">
                  <c:v>8.06</c:v>
                </c:pt>
                <c:pt idx="12">
                  <c:v>7.5060000000000002</c:v>
                </c:pt>
                <c:pt idx="13">
                  <c:v>7.3869999999999996</c:v>
                </c:pt>
                <c:pt idx="14">
                  <c:v>7.1239999999999917</c:v>
                </c:pt>
                <c:pt idx="15">
                  <c:v>6.3569999999999975</c:v>
                </c:pt>
                <c:pt idx="16">
                  <c:v>6.266</c:v>
                </c:pt>
                <c:pt idx="17">
                  <c:v>5.9239999999999995</c:v>
                </c:pt>
                <c:pt idx="18">
                  <c:v>5.7859999999999996</c:v>
                </c:pt>
                <c:pt idx="19">
                  <c:v>5.6379999999999955</c:v>
                </c:pt>
                <c:pt idx="20">
                  <c:v>5.0789999999999997</c:v>
                </c:pt>
                <c:pt idx="21">
                  <c:v>4.9700000000000024</c:v>
                </c:pt>
                <c:pt idx="22">
                  <c:v>4.8569999999999975</c:v>
                </c:pt>
                <c:pt idx="23">
                  <c:v>4.8519999999999985</c:v>
                </c:pt>
                <c:pt idx="24">
                  <c:v>4.6059999999999945</c:v>
                </c:pt>
                <c:pt idx="25">
                  <c:v>4.5960000000000001</c:v>
                </c:pt>
                <c:pt idx="26">
                  <c:v>4.4619999999999997</c:v>
                </c:pt>
                <c:pt idx="27">
                  <c:v>4.3029999999999955</c:v>
                </c:pt>
                <c:pt idx="28">
                  <c:v>3.593</c:v>
                </c:pt>
                <c:pt idx="29">
                  <c:v>3.4470000000000001</c:v>
                </c:pt>
                <c:pt idx="30">
                  <c:v>3.3299999999999987</c:v>
                </c:pt>
                <c:pt idx="31">
                  <c:v>3.0209999999999999</c:v>
                </c:pt>
                <c:pt idx="32">
                  <c:v>2.4179999999999997</c:v>
                </c:pt>
                <c:pt idx="33">
                  <c:v>2.3329999999999966</c:v>
                </c:pt>
                <c:pt idx="34">
                  <c:v>2.0819999999999999</c:v>
                </c:pt>
              </c:numCache>
            </c:numRef>
          </c:val>
          <c:extLst>
            <c:ext xmlns:c16="http://schemas.microsoft.com/office/drawing/2014/chart" uri="{C3380CC4-5D6E-409C-BE32-E72D297353CC}">
              <c16:uniqueId val="{00000001-5FF8-4348-B014-F6DD6E670089}"/>
            </c:ext>
          </c:extLst>
        </c:ser>
        <c:ser>
          <c:idx val="2"/>
          <c:order val="2"/>
          <c:tx>
            <c:strRef>
              <c:f>Data!$J$9</c:f>
              <c:strCache>
                <c:ptCount val="1"/>
                <c:pt idx="0">
                  <c:v>2017</c:v>
                </c:pt>
              </c:strCache>
            </c:strRef>
          </c:tx>
          <c:spPr>
            <a:solidFill>
              <a:schemeClr val="accent3"/>
            </a:solidFill>
            <a:ln>
              <a:noFill/>
            </a:ln>
            <a:effectLst/>
          </c:spPr>
          <c:invertIfNegative val="0"/>
          <c:cat>
            <c:strRef>
              <c:f>Data!$A$13:$A$49</c:f>
              <c:strCache>
                <c:ptCount val="35"/>
                <c:pt idx="0">
                  <c:v>Ireland</c:v>
                </c:pt>
                <c:pt idx="1">
                  <c:v>Denmark</c:v>
                </c:pt>
                <c:pt idx="2">
                  <c:v>Norway</c:v>
                </c:pt>
                <c:pt idx="3">
                  <c:v>United Kingdom</c:v>
                </c:pt>
                <c:pt idx="4">
                  <c:v>Luxembourg</c:v>
                </c:pt>
                <c:pt idx="5">
                  <c:v>Italy</c:v>
                </c:pt>
                <c:pt idx="6">
                  <c:v>Austria</c:v>
                </c:pt>
                <c:pt idx="7">
                  <c:v>Germany</c:v>
                </c:pt>
                <c:pt idx="8">
                  <c:v>France</c:v>
                </c:pt>
                <c:pt idx="9">
                  <c:v>Sweden</c:v>
                </c:pt>
                <c:pt idx="10">
                  <c:v>Spain</c:v>
                </c:pt>
                <c:pt idx="11">
                  <c:v>Netherlands</c:v>
                </c:pt>
                <c:pt idx="12">
                  <c:v>Portugal</c:v>
                </c:pt>
                <c:pt idx="13">
                  <c:v>Greece</c:v>
                </c:pt>
                <c:pt idx="14">
                  <c:v>Cyprus</c:v>
                </c:pt>
                <c:pt idx="15">
                  <c:v>Belgium</c:v>
                </c:pt>
                <c:pt idx="16">
                  <c:v>Turkey</c:v>
                </c:pt>
                <c:pt idx="17">
                  <c:v>Slovenia</c:v>
                </c:pt>
                <c:pt idx="18">
                  <c:v>Finland</c:v>
                </c:pt>
                <c:pt idx="19">
                  <c:v>Croatia</c:v>
                </c:pt>
                <c:pt idx="20">
                  <c:v>Romania</c:v>
                </c:pt>
                <c:pt idx="21">
                  <c:v>Slovakia</c:v>
                </c:pt>
                <c:pt idx="22">
                  <c:v>Latvia</c:v>
                </c:pt>
                <c:pt idx="23">
                  <c:v>Lithuania</c:v>
                </c:pt>
                <c:pt idx="24">
                  <c:v>Albania</c:v>
                </c:pt>
                <c:pt idx="25">
                  <c:v>Hungary</c:v>
                </c:pt>
                <c:pt idx="26">
                  <c:v>Poland</c:v>
                </c:pt>
                <c:pt idx="27">
                  <c:v>Czechia</c:v>
                </c:pt>
                <c:pt idx="28">
                  <c:v>Montenegro</c:v>
                </c:pt>
                <c:pt idx="29">
                  <c:v>Malta</c:v>
                </c:pt>
                <c:pt idx="30">
                  <c:v>North Macedonia</c:v>
                </c:pt>
                <c:pt idx="31">
                  <c:v>Estonia</c:v>
                </c:pt>
                <c:pt idx="32">
                  <c:v>Bulgaria</c:v>
                </c:pt>
                <c:pt idx="33">
                  <c:v>Serbia</c:v>
                </c:pt>
                <c:pt idx="34">
                  <c:v>Iceland</c:v>
                </c:pt>
              </c:strCache>
            </c:strRef>
          </c:cat>
          <c:val>
            <c:numRef>
              <c:f>Data!$J$13:$J$49</c:f>
              <c:numCache>
                <c:formatCode>#,##0.000</c:formatCode>
                <c:ptCount val="35"/>
                <c:pt idx="0">
                  <c:v>17.562999999999967</c:v>
                </c:pt>
                <c:pt idx="1">
                  <c:v>14.49</c:v>
                </c:pt>
                <c:pt idx="2">
                  <c:v>11.876000000000015</c:v>
                </c:pt>
                <c:pt idx="3">
                  <c:v>11.382000000000014</c:v>
                </c:pt>
                <c:pt idx="4">
                  <c:v>11.38</c:v>
                </c:pt>
                <c:pt idx="5">
                  <c:v>9.9140000000000015</c:v>
                </c:pt>
                <c:pt idx="6">
                  <c:v>9.3710000000000004</c:v>
                </c:pt>
                <c:pt idx="7">
                  <c:v>9.0290000000000017</c:v>
                </c:pt>
                <c:pt idx="8">
                  <c:v>8.4370000000000012</c:v>
                </c:pt>
                <c:pt idx="9">
                  <c:v>8.2650000000000006</c:v>
                </c:pt>
                <c:pt idx="10">
                  <c:v>8.2279999999999998</c:v>
                </c:pt>
                <c:pt idx="11">
                  <c:v>7.7249999999999917</c:v>
                </c:pt>
                <c:pt idx="12">
                  <c:v>7.1519999999999975</c:v>
                </c:pt>
                <c:pt idx="13">
                  <c:v>7.1</c:v>
                </c:pt>
                <c:pt idx="14">
                  <c:v>7.03</c:v>
                </c:pt>
                <c:pt idx="15">
                  <c:v>6.2530000000000001</c:v>
                </c:pt>
                <c:pt idx="16">
                  <c:v>6.0030000000000001</c:v>
                </c:pt>
                <c:pt idx="17">
                  <c:v>5.7169999999999996</c:v>
                </c:pt>
                <c:pt idx="18">
                  <c:v>5.8090000000000002</c:v>
                </c:pt>
                <c:pt idx="19">
                  <c:v>5.3739999999999997</c:v>
                </c:pt>
                <c:pt idx="20">
                  <c:v>4.87</c:v>
                </c:pt>
                <c:pt idx="21">
                  <c:v>4.7210000000000001</c:v>
                </c:pt>
                <c:pt idx="22">
                  <c:v>4.6619999999999955</c:v>
                </c:pt>
                <c:pt idx="23">
                  <c:v>4.7699999999999996</c:v>
                </c:pt>
                <c:pt idx="24">
                  <c:v>4.3849999999999945</c:v>
                </c:pt>
                <c:pt idx="25">
                  <c:v>4.3739999999999997</c:v>
                </c:pt>
                <c:pt idx="26">
                  <c:v>4.3099999999999996</c:v>
                </c:pt>
                <c:pt idx="27">
                  <c:v>4.1919999999999975</c:v>
                </c:pt>
                <c:pt idx="28">
                  <c:v>3.589</c:v>
                </c:pt>
                <c:pt idx="29">
                  <c:v>3.3689999999999998</c:v>
                </c:pt>
                <c:pt idx="30">
                  <c:v>3.0319999999999987</c:v>
                </c:pt>
                <c:pt idx="31">
                  <c:v>3.1280000000000001</c:v>
                </c:pt>
                <c:pt idx="32">
                  <c:v>2.3519999999999968</c:v>
                </c:pt>
                <c:pt idx="33">
                  <c:v>2.2040000000000002</c:v>
                </c:pt>
                <c:pt idx="34">
                  <c:v>2.1800000000000002</c:v>
                </c:pt>
              </c:numCache>
            </c:numRef>
          </c:val>
          <c:extLst>
            <c:ext xmlns:c16="http://schemas.microsoft.com/office/drawing/2014/chart" uri="{C3380CC4-5D6E-409C-BE32-E72D297353CC}">
              <c16:uniqueId val="{00000002-5FF8-4348-B014-F6DD6E670089}"/>
            </c:ext>
          </c:extLst>
        </c:ser>
        <c:dLbls>
          <c:showLegendKey val="0"/>
          <c:showVal val="0"/>
          <c:showCatName val="0"/>
          <c:showSerName val="0"/>
          <c:showPercent val="0"/>
          <c:showBubbleSize val="0"/>
        </c:dLbls>
        <c:gapWidth val="50"/>
        <c:overlap val="-27"/>
        <c:axId val="192372224"/>
        <c:axId val="192849024"/>
      </c:barChart>
      <c:scatterChart>
        <c:scatterStyle val="smoothMarker"/>
        <c:varyColors val="0"/>
        <c:ser>
          <c:idx val="4"/>
          <c:order val="3"/>
          <c:tx>
            <c:strRef>
              <c:f>Data!$L$9</c:f>
              <c:strCache>
                <c:ptCount val="1"/>
                <c:pt idx="0">
                  <c:v>Vidurkis</c:v>
                </c:pt>
              </c:strCache>
            </c:strRef>
          </c:tx>
          <c:spPr>
            <a:ln w="15875" cap="rnd">
              <a:solidFill>
                <a:schemeClr val="accent5"/>
              </a:solidFill>
              <a:prstDash val="dash"/>
              <a:round/>
            </a:ln>
            <a:effectLst/>
          </c:spPr>
          <c:marker>
            <c:symbol val="none"/>
          </c:marker>
          <c:yVal>
            <c:numRef>
              <c:f>Data!$L$13:$L$47</c:f>
              <c:numCache>
                <c:formatCode>#,##0.000</c:formatCode>
                <c:ptCount val="35"/>
                <c:pt idx="0">
                  <c:v>8.4970000000000034</c:v>
                </c:pt>
                <c:pt idx="1">
                  <c:v>8.4970000000000034</c:v>
                </c:pt>
                <c:pt idx="2">
                  <c:v>8.4970000000000034</c:v>
                </c:pt>
                <c:pt idx="3">
                  <c:v>8.4970000000000034</c:v>
                </c:pt>
                <c:pt idx="4">
                  <c:v>8.4970000000000034</c:v>
                </c:pt>
                <c:pt idx="5">
                  <c:v>8.4970000000000034</c:v>
                </c:pt>
                <c:pt idx="6">
                  <c:v>8.4970000000000034</c:v>
                </c:pt>
                <c:pt idx="7">
                  <c:v>8.4970000000000034</c:v>
                </c:pt>
                <c:pt idx="8">
                  <c:v>8.4970000000000034</c:v>
                </c:pt>
                <c:pt idx="9">
                  <c:v>8.4970000000000034</c:v>
                </c:pt>
                <c:pt idx="10">
                  <c:v>8.4970000000000034</c:v>
                </c:pt>
                <c:pt idx="11">
                  <c:v>8.4970000000000034</c:v>
                </c:pt>
                <c:pt idx="12">
                  <c:v>8.4970000000000034</c:v>
                </c:pt>
                <c:pt idx="13">
                  <c:v>8.4970000000000034</c:v>
                </c:pt>
                <c:pt idx="14">
                  <c:v>8.4970000000000034</c:v>
                </c:pt>
                <c:pt idx="15">
                  <c:v>8.4970000000000034</c:v>
                </c:pt>
                <c:pt idx="16">
                  <c:v>8.4970000000000034</c:v>
                </c:pt>
                <c:pt idx="17">
                  <c:v>8.4970000000000034</c:v>
                </c:pt>
                <c:pt idx="18">
                  <c:v>8.4970000000000034</c:v>
                </c:pt>
                <c:pt idx="19">
                  <c:v>8.4970000000000034</c:v>
                </c:pt>
                <c:pt idx="20">
                  <c:v>8.4970000000000034</c:v>
                </c:pt>
                <c:pt idx="21">
                  <c:v>8.4970000000000034</c:v>
                </c:pt>
                <c:pt idx="22">
                  <c:v>8.4970000000000034</c:v>
                </c:pt>
                <c:pt idx="23">
                  <c:v>8.4970000000000034</c:v>
                </c:pt>
                <c:pt idx="24">
                  <c:v>8.4970000000000034</c:v>
                </c:pt>
                <c:pt idx="25">
                  <c:v>8.4970000000000034</c:v>
                </c:pt>
                <c:pt idx="26">
                  <c:v>8.4970000000000034</c:v>
                </c:pt>
                <c:pt idx="27">
                  <c:v>8.4970000000000034</c:v>
                </c:pt>
                <c:pt idx="28">
                  <c:v>8.4970000000000034</c:v>
                </c:pt>
                <c:pt idx="29">
                  <c:v>8.4970000000000034</c:v>
                </c:pt>
                <c:pt idx="30">
                  <c:v>8.4970000000000034</c:v>
                </c:pt>
                <c:pt idx="31">
                  <c:v>8.4970000000000034</c:v>
                </c:pt>
                <c:pt idx="32">
                  <c:v>8.4970000000000034</c:v>
                </c:pt>
                <c:pt idx="33">
                  <c:v>8.4970000000000034</c:v>
                </c:pt>
                <c:pt idx="34">
                  <c:v>8.4970000000000034</c:v>
                </c:pt>
              </c:numCache>
            </c:numRef>
          </c:yVal>
          <c:smooth val="1"/>
          <c:extLst>
            <c:ext xmlns:c16="http://schemas.microsoft.com/office/drawing/2014/chart" uri="{C3380CC4-5D6E-409C-BE32-E72D297353CC}">
              <c16:uniqueId val="{00000003-5FF8-4348-B014-F6DD6E670089}"/>
            </c:ext>
          </c:extLst>
        </c:ser>
        <c:dLbls>
          <c:showLegendKey val="0"/>
          <c:showVal val="0"/>
          <c:showCatName val="0"/>
          <c:showSerName val="0"/>
          <c:showPercent val="0"/>
          <c:showBubbleSize val="0"/>
        </c:dLbls>
        <c:axId val="192372224"/>
        <c:axId val="192849024"/>
      </c:scatterChart>
      <c:catAx>
        <c:axId val="19237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2849024"/>
        <c:crosses val="autoZero"/>
        <c:auto val="1"/>
        <c:lblAlgn val="ctr"/>
        <c:lblOffset val="100"/>
        <c:noMultiLvlLbl val="0"/>
      </c:catAx>
      <c:valAx>
        <c:axId val="192849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EUR/kgne</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2372224"/>
        <c:crosses val="autoZero"/>
        <c:crossBetween val="between"/>
      </c:valAx>
      <c:spPr>
        <a:noFill/>
        <a:ln w="25400">
          <a:noFill/>
        </a:ln>
      </c:spPr>
    </c:plotArea>
    <c:legend>
      <c:legendPos val="r"/>
      <c:layout>
        <c:manualLayout>
          <c:xMode val="edge"/>
          <c:yMode val="edge"/>
          <c:x val="0.75676175876245555"/>
          <c:y val="4.6722838890421808E-2"/>
          <c:w val="0.19467614335818637"/>
          <c:h val="0.23975223781066488"/>
        </c:manualLayout>
      </c:layout>
      <c:overlay val="0"/>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75B0-494A-4075-8981-659E576F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5871</Words>
  <Characters>33470</Characters>
  <Application>Microsoft Office Word</Application>
  <DocSecurity>0</DocSecurity>
  <Lines>278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39263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Algirdas Petkevičius</cp:lastModifiedBy>
  <cp:revision>2</cp:revision>
  <dcterms:created xsi:type="dcterms:W3CDTF">2025-04-30T09:36:00Z</dcterms:created>
  <dcterms:modified xsi:type="dcterms:W3CDTF">2025-04-30T09:36:00Z</dcterms:modified>
</cp:coreProperties>
</file>